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68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GENERATIVE AI ENGINEER  —  LLMs, RAG &amp; Prompt Engineering</w:t>
      </w:r>
    </w:p>
    <w:p>
      <w:pPr>
        <w:spacing w:after="93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Mumbai,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85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Vantara Retail (client PRD): built leakage-safe churn and 90-day customer-value pipeline on 1M+ retail transactions (monthly point-in-time snapshots, calibrated risk, test ROC-AUC 0.76); SHAP/LIME drivers translated into plain-English retention narratives and a rule-based recommendation engine, served via FastAPI, PostgreSQL, Docker, and Streamlit.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Northgate (quant research PRD): building return forecasts for 10 large-cap US stocks (4 ML and 4 deep-learning models vs. a random-walk baseline), testing whether session-aligned FinBERT news sentiment improves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FlowCast (Meridian Mobility PRD): building traffic, congestion, and accident-risk forecasts for a 25-segment corridor (178K sensor rows) with classical ML and from-scratch LSTM/GRU models in PyTorch.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Scoped and designed a company-wide mobile app (design stage);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51"/>
      </w:pPr>
      <w:r>
        <w:rPr>
          <w:i/>
        </w:rPr>
        <w:t>Python, FastAPI, Next.js, Supabase/pgvector, LangGraph, Groq, OpenAI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System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Other Projects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