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•  GENAI  •  AGENTIC SYSTEMS  —  LLMs, RAG &amp; Applied ML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Hybrid Search, pgvector, QLoRA, Prompt Engineering, scikit-learn, MLflow,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Docker, Kubernetes, Google Cloud Run, GitHub Actions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TypeScript, ETL Pipelines,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Sole engineer on three client PRDs: </w:t>
      </w:r>
      <w:r>
        <w:rPr>
          <w:rFonts w:ascii="Calibri" w:hAnsi="Calibri"/>
          <w:b w:val="0"/>
          <w:i w:val="0"/>
          <w:sz w:val="21"/>
          <w:u w:val="none"/>
        </w:rPr>
        <w:t>Vantara (churn/CLV pipeline on 1M+ transactions, calibrated test ROC-AUC 0.76, FastAPI/PostgreSQL/Docker, 124 tests); building FlowCast (traffic forecasting, from-scratch LSTM) and Northgate (FinBERT, max-Sharpe portfolio).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stage), covering client/employee onboarding, document access, product activation, and payments — mobile counterpart to PayGain core platform.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Kubernetes (K3s)</w:t>
        <w:br/>
        <w:t xml:space="preserve">Solo-built, Apr–Aug 2026 — ~144K source LOC across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 &amp; Multi-Agent Routing: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evidence-aware synthesis, abstention, lexical reranking, and routing across stock, fund, and 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 &amp; Microservice Architecture: </w:t>
      </w:r>
      <w:r>
        <w:rPr>
          <w:rFonts w:ascii="Calibri" w:hAnsi="Calibri"/>
          <w:b w:val="0"/>
          <w:i w:val="0"/>
          <w:sz w:val="21"/>
          <w:u w:val="none"/>
        </w:rPr>
        <w:t>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Resilient Data Engineering: </w:t>
      </w:r>
      <w:r>
        <w:rPr>
          <w:rFonts w:ascii="Calibri" w:hAnsi="Calibri"/>
          <w:b w:val="0"/>
          <w:i w:val="0"/>
          <w:sz w:val="21"/>
          <w:u w:val="none"/>
        </w:rPr>
        <w:t>automated official-disclosure collection and normalization with readiness checks and targeted normalizer repairs.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Cloud Storage &amp; Billing: </w:t>
      </w:r>
      <w:r>
        <w:rPr>
          <w:rFonts w:ascii="Calibri" w:hAnsi="Calibri"/>
          <w:b w:val="0"/>
          <w:i w:val="0"/>
          <w:sz w:val="21"/>
          <w:u w:val="none"/>
        </w:rPr>
        <w:t>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Solo-built, Aug 2026 —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Multi-Agent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Google ADK and LangGraph, ingesting ~2,900 postings/run with an 89.5% pre-LLM filter rate.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Full-Stack Delivery: </w:t>
      </w:r>
      <w:r>
        <w:rPr>
          <w:rFonts w:ascii="Calibri" w:hAnsi="Calibri"/>
          <w:b w:val="0"/>
          <w:i w:val="0"/>
          <w:sz w:val="21"/>
          <w:u w:val="none"/>
        </w:rPr>
        <w:t>shipped human send gates, Langfuse tracing, a 373-test hermetic suite (11s), and a Next.js dashboard on Google Cloud Run.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for Clinical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ChromaDB, Unsloth, Ollama  |  ~7,300 LOC — synthetic data (MITRE Synthea)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github.com/Naman6019/CareFlow-Intelligence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 &amp; Local Serving: </w:t>
      </w:r>
      <w:r>
        <w:rPr>
          <w:rFonts w:ascii="Calibri" w:hAnsi="Calibri"/>
          <w:b w:val="0"/>
          <w:i w:val="0"/>
          <w:sz w:val="21"/>
          <w:u w:val="none"/>
        </w:rPr>
        <w:t>fine-tuned Qwen2.5-1.5B with reference evidence and hard distractors via 4-bit QLoRA (r=16, alpha=16), then served it locally through Ollama.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RAG &amp; Ingestion: </w:t>
      </w:r>
      <w:r>
        <w:rPr>
          <w:rFonts w:ascii="Calibri" w:hAnsi="Calibri"/>
          <w:b w:val="0"/>
          <w:i w:val="0"/>
          <w:sz w:val="21"/>
          <w:u w:val="none"/>
        </w:rPr>
        <w:t>built bounded-tool citation-grounded RAG agent over 4 ingestion pipelines with Postgres GIN citation checks, plus a human-in-the-loop ingestion agent managing 18 FHIR R4 tables.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Human-in-the-Loop Data Agent: </w:t>
      </w:r>
      <w:r>
        <w:rPr>
          <w:rFonts w:ascii="Calibri" w:hAnsi="Calibri"/>
          <w:b w:val="0"/>
          <w:i w:val="0"/>
          <w:sz w:val="21"/>
          <w:u w:val="none"/>
        </w:rPr>
        <w:t>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 &amp;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