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—  Applied ML, RAG &amp; Production AI Systems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RAG, Hybrid Search, pgvector, ChromaDB, K-Means Clustering, Logistic Regression, MLflow, scikit-learn, Prompt Engineering, Hugging Face,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Vantara Retail (client PRD): built leakage-safe churn and 90-day value pipeline on 1M+ retail transactions (14 monthly snapshots, forward-chaining CV, isotonic calibration; test ROC-AUC 0.76; CLV model capturing 58% of value in the top decile), served via FastAPI, PostgreSQL, and Docker with PSI drift monitoring; 124 tests.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Building FlowCast (25-segment traffic forecasting, from-scratch LSTM) and Northgate (FinBERT sentiment, max-Sharpe portfolio).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 — client/employee onboarding, document access, product activation,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OpenAI, Cloudflare R2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/>
          <w:b w:val="0"/>
          <w:i w:val="0"/>
          <w:sz w:val="21"/>
          <w:u w:val="none"/>
        </w:rPr>
        <w:t>automated collection and normalization of official mutual-fund disclosures, with data-quality checks and targeted normalizer fixes for affected records.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+ Ingestion: </w:t>
      </w:r>
      <w:r>
        <w:rPr>
          <w:rFonts w:ascii="Calibri" w:hAnsi="Calibri"/>
          <w:b w:val="0"/>
          <w:i w:val="0"/>
          <w:sz w:val="21"/>
          <w:u w:val="none"/>
        </w:rPr>
        <w:t>built a citation-grounded document agent with automated ingestion from OpenFDA, PubMed, clinical-guideline, and media sources.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