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GENERATIVE AI ENGINEER  —  LLMs, RAG &amp; Prompt Engineering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Mumbai,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LLM &amp; GenAI: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Prompt Engineering, Hybrid Search, Reranking, pgvector, ChromaDB, Hugging Face, Ollama,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Model Development: </w:t>
      </w:r>
      <w:r>
        <w:rPr>
          <w:rFonts w:ascii="Calibri" w:hAnsi="Calibri"/>
          <w:b w:val="0"/>
          <w:i w:val="0"/>
          <w:sz w:val="21"/>
          <w:u w:val="none"/>
        </w:rPr>
        <w:t>MLflow, scikit-learn, K-Means Clustering, Logistic Regression, PyTorch, BERT Fine-Tuning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Docker, Kubernetes, GitHub Actions, Next.js, TypeScript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Vantara Retail (client PRD): built leakage-safe churn and 90-day customer-value pipeline on 1M+ retail transactions (monthly point-in-time snapshots, calibrated risk, test ROC-AUC 0.76); SHAP/LIME drivers translated into plain-English retention narratives and a rule-based recommendation engine, served via FastAPI, PostgreSQL, Docker, and Streamlit.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Northgate (quant research PRD): building return forecasts for 10 large-cap US stocks (4 ML and 4 deep-learning models vs. a random-walk baseline), testing whether session-aligned FinBERT news sentiment improves accuracy.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FlowCast (Meridian Mobility PRD): building traffic, congestion, and accident-risk forecasts for a 25-segment corridor (178K sensor rows) with classical ML and from-scratch LSTM/GRU models in PyTorch.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stage); also designed a lead-capture automation (Make) triggered on Google Form submissions, eliminating manual lead logging.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LangGraph, Groq, OpenAI  |  ~144K source LOC,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a query-rewrite loop, lexical reranking, citation-aware synthesis, and strict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Prompt Engineering: </w:t>
      </w:r>
      <w:r>
        <w:rPr>
          <w:rFonts w:ascii="Calibri" w:hAnsi="Calibri"/>
          <w:b w:val="0"/>
          <w:i w:val="0"/>
          <w:sz w:val="21"/>
          <w:u w:val="none"/>
        </w:rPr>
        <w:t>iterated few-shot/CoT prompts to control synthesis and abstention behavior across the pipeline.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bounded-tool document agent with query reformulation and mandatory citation validation against PostgreSQL full-text indexes, backed by automated OpenFDA, PubMed, guideline, and media ingestion.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generated training data with reference evidence, hard distractors, and abstention cases; fine-tuned Qwen2.5-1.5B via 4-bit QLoRA (rank 16, alpha 16), then quantized it to GGUF and served it locally via Ollama.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