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AI ENGINEER  —  Applied ML, RAG &amp; Production AI Systems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Kolkata,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AI/ML engineer who ships end-to-end research products spanning data pipelines, retrieval and model logic, backend APIs, and deployment. Independently developed FundersAI, a research platform combining deterministic financial metrics, hybrid retrieval, and explainable ML clustering, and CareFlow Intelligence, an agentic RAG and fine-tuning system. Currently developing AI products independently. Core technologies: Python, FastAPI, Next.js, Supabase/PostgreSQL, Docker, and Kubernetes.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ML &amp; AI: </w:t>
      </w:r>
      <w:r>
        <w:rPr>
          <w:rFonts w:ascii="Calibri" w:hAnsi="Calibri"/>
          <w:b w:val="0"/>
          <w:i w:val="0"/>
          <w:sz w:val="21"/>
          <w:u w:val="none"/>
        </w:rPr>
        <w:t>LangGraph, RAG, Hybrid Search, pgvector, ChromaDB, K-Means Clustering, Logistic Regression, MLflow, scikit-learn, Prompt Engineering, Hugging Face, Langfuse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Backend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SQL, PostgreSQL, Supabase, Redis, Docker, Kubernetes, GitHub Actions, Google Cloud Run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Web &amp; Data: </w:t>
      </w:r>
      <w:r>
        <w:rPr>
          <w:rFonts w:ascii="Calibri" w:hAnsi="Calibri"/>
          <w:b w:val="0"/>
          <w:i w:val="0"/>
          <w:sz w:val="21"/>
          <w:u w:val="none"/>
        </w:rPr>
        <w:t>Next.js, React, TypeScript, ETL Pipelines, Web Scraping, Data Validation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 (Remote)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Vantara: </w:t>
      </w:r>
      <w:r>
        <w:rPr>
          <w:rFonts w:ascii="Calibri" w:hAnsi="Calibri"/>
          <w:b w:val="0"/>
          <w:i w:val="0"/>
          <w:sz w:val="21"/>
          <w:u w:val="none"/>
        </w:rPr>
        <w:t>built churn and 90-day customer-value pipeline on 1M+ retail transactions with leakage-safe features, SHAP/LIME, and FastAPI/Streamlit/Docker. FlowCast: building traffic, congestion, and accident-risk forecasts (PyTorch LSTM/GRU). Northgate: building stock return forecasts with FinBERT sentiment and a max-Sharpe optimizer. Client-style project briefs.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Scoped and designed a company-wide mobile app (design stage) — client/employee onboarding, document access, product activation, and payments.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Designed and deployed a lead-capture automation (Make) triggered on Google Form submissions; also drove 30+ client conversions by building and managing the company website and digital discovery flows.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FastAPI, Next.js, Supabase/pgvector, LangGraph, Groq, OpenAI, Cloudflare R2  |  ~144K source LOC, 858 files, 443 commits, 179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seven-stage LangGraph workflow with retrieval grading, query rewriting, citation-aware synthesis, and explicit abstention when evidence is insufficient.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Explainable ML: </w:t>
      </w:r>
      <w:r>
        <w:rPr>
          <w:rFonts w:ascii="Calibri" w:hAnsi="Calibri"/>
          <w:b w:val="0"/>
          <w:i w:val="0"/>
          <w:sz w:val="21"/>
          <w:u w:val="none"/>
        </w:rPr>
        <w:t>fund-similarity engine using cosine similarity and k-means clustering over 13 standardized features, plus a logistic-regression triage model (MLflow) for parser-review prioritization.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Data Engineering: </w:t>
      </w:r>
      <w:r>
        <w:rPr>
          <w:rFonts w:ascii="Calibri" w:hAnsi="Calibri"/>
          <w:b w:val="0"/>
          <w:i w:val="0"/>
          <w:sz w:val="21"/>
          <w:u w:val="none"/>
        </w:rPr>
        <w:t>automated collection and normalization of official mutual-fund disclosures, with data-quality checks and targeted normalizer fixes for affected records.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System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ChromaDB, Unsloth, Ollama  |  ~7,300 LOC, non-clinical, synthetic-data-only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Agentic RAG + Ingestion: </w:t>
      </w:r>
      <w:r>
        <w:rPr>
          <w:rFonts w:ascii="Calibri" w:hAnsi="Calibri"/>
          <w:b w:val="0"/>
          <w:i w:val="0"/>
          <w:sz w:val="21"/>
          <w:u w:val="none"/>
        </w:rPr>
        <w:t>built a citation-grounded document agent with automated ingestion from OpenFDA, PubMed, clinical-guideline, and media sources.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RAFT Fine-Tuning: </w:t>
      </w:r>
      <w:r>
        <w:rPr>
          <w:rFonts w:ascii="Calibri" w:hAnsi="Calibri"/>
          <w:b w:val="0"/>
          <w:i w:val="0"/>
          <w:sz w:val="21"/>
          <w:u w:val="none"/>
        </w:rPr>
        <w:t>built a training-data pipeline with reference evidence, hard distractors, and abstention cases; fine-tuned Qwen2.5-1.5B via 4-bit QLoRA (rank 16, alpha 16), quantized it to GGUF, and served it locally via Ollama with human approval gates for data intake.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OTHER PROJECTS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(All Things Agentic Hackathon, Taskmaster Track): dual-pipeline opportunity platform using Google ADK, LangGraph, and Firestore to collect ~2,900 postings/run, apply deterministic pre-filtering that eliminates 89.5% before any LLM call, and generate human-reviewable application materials, backed by a 373-test hermetic offline suite (~11s). FundersAI Reports: decoupled LangGraph report-synthesis service hosted on K3s. SQuAD QA Benchmarking: fine-tuned and benchmarked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CGPA: 8.2/10  |  Published research paper on QA/NLP  |  Certifications: Azure Administrator Associate, AWS Certified Cloud Practitioner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