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—  Applied ML, RAG &amp; Production AI Systems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kzkurtc4_unlppdiruld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j8h0adhuxytd5k7hte1r-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AI/ML engineer who ships end-to-end research products spanning data pipelines, retrieval and model logic, backend APIs, and deployment. Independently developed FundersAI, a research platform combining deterministic financial metrics, hybrid retrieval, and explainable ML clustering, and CareFlow Intelligence, an agentic RAG and fine-tuning system. Currently developing AI products independently. Core technologies: Python, FastAPI, Next.js, Supabase/PostgreSQL, Docker, and Kubernetes.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ML &amp; AI: LangGraph, RAG, Hybrid Search, pgvector, ChromaDB, K-Means Clustering, Logistic Regression, MLflow, scikit-learn, Prompt Engineering, Hugging Face, Langfuse</w:t>
      </w:r>
    </w:p>
    <w:p>
      <w:pPr>
        <w:spacing w:after="40"/>
      </w:pPr>
      <w:r>
        <w:t>Backend &amp; Cloud: Python, FastAPI, REST APIs, SQL, PostgreSQL, Supabase, Redis, Docker, Kubernetes, GitHub Actions, Google Cloud Run</w:t>
      </w:r>
    </w:p>
    <w:p>
      <w:pPr>
        <w:spacing w:after="40"/>
      </w:pPr>
      <w:r>
        <w:t>Web &amp; Data: Next.js, React, TypeScript, ETL Pipelines, Web Scraping, Data Validation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t>Scoping and leading development of a company-wide mobile app as sole engineer — client/employee onboarding, document access, product activation, and payments.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submissions; also drove 30+ client conversions by building and managing the company website and digital discovery flows.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OpenAI, Cloudflare R2  |  ~137K source LOC, 826 files, 434 commits, 167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t>Citation-Grounded RAG: built a seven-stage LangGraph workflow with retrieval grading, query rewriting, citation-aware synthesis, and explicit abstention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5"/>
      </w:pPr>
      <w:r>
        <w:t>Data Engineering: automated collection and normalization of official mutual-fund disclosures, with data-quality checks and targeted normalizer fixes for affected records.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t>Agentic RAG + Ingestion: built a citation-grounded document agent with automated ingestion from OpenFDA, PubMed, clinical-guideline, and media sources.</w:t>
      </w:r>
    </w:p>
    <w:p>
      <w:pPr>
        <w:pStyle w:val="ListParagraph"/>
        <w:numPr>
          <w:ilvl w:val="0"/>
          <w:numId w:val="2"/>
        </w:numPr>
        <w:spacing w:after="45"/>
      </w:pPr>
      <w:r>
        <w:t>RAFT Fine-Tuning: built a training-data pipeline with reference evidence, hard distractors, and abstention cases; fine-tuned Qwen2.5-1.5B via 4-bit QLoRA (rank 16, alpha 16), quantized it to GGUF, and served it locally via Ollama with human approval gates for data intake.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opportunity platform using Google ADK, LangGraph, and Firestore to collect ~2,900 postings/run, apply deterministic pre-filtering that eliminates 89.5% before any LLM call, and generate human-reviewable application materials, backed by a 373-test hermetic offline suite (~11s). FundersAI Reports: decoupled LangGraph report-synthesis service hosted on K3s. SQuAD QA Benchmarking: fine-tuned and benchmarked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kurtc4_unlppdiruldt" Type="http://schemas.openxmlformats.org/officeDocument/2006/relationships/hyperlink" Target="https://www.linkedin.com/in/naman-manocha-45047721a/" TargetMode="External"/><Relationship Id="rIdj8h0adhuxytd5k7hte1r-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2026-08-21T06:58:22.738Z</dcterms:created>
  <dcterms:modified xsi:type="dcterms:W3CDTF">2026-08-21T06:58:22.738Z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