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LLMs, LangGraph, Google ADK, RAG, Hybrid Search, Prompt Engineering, Hugging Face, Ollama, pgvector, ChromaDB, K-Means Clustering, Logistic Regression, Langfuse, MLflow, scikit-learn</w:t>
      </w:r>
    </w:p>
    <w:p>
      <w:pPr>
        <w:spacing w:after="40"/>
      </w:pPr>
      <w:r>
        <w:t>Backend &amp; Cloud: Python, FastAPI, REST APIs, SQL, PostgreSQL, Supabase, Redis, Docker, Kubernetes, GitHub Actions, Google Cloud Run, Vercel, Prefect, Git</w:t>
      </w:r>
    </w:p>
    <w:p>
      <w:pPr>
        <w:spacing w:after="40"/>
      </w:pPr>
      <w:r>
        <w:t>Web &amp; Data: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Scoping and leading development of a company-wide mobile app as sole engineer, covering client/employee onboarding, document access, product activation,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~137K source LOC across 826 files, 434 commits, 167 test files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lexical reranking,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t>Data-Quality Debugging: diagnosed and fixed scheme-name normalization defects, then added safeguards to preserve correct mutual-fund grouping and coverage.</w:t>
      </w:r>
    </w:p>
    <w:p>
      <w:pPr>
        <w:pStyle w:val="ListParagraph"/>
        <w:numPr>
          <w:ilvl w:val="0"/>
          <w:numId w:val="2"/>
        </w:numPr>
        <w:spacing w:after="40"/>
      </w:pPr>
      <w:r>
        <w:t>Resilient Data Engineering: automated official disclosure collection and normalization with source-specific parsers, data-readiness checks, and manual promotion gates.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t>Kubernetes Service Operations: provisioned and administered an AWS EC2 instance running K3s, hosting the report-synthesis service with two replicas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source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designed a training-data pipeline with reference evidence, hard distractors, and abstention cases; fine-tuned Qwen2.5-1.5B via 4-bit QLoRA (rank 16, alpha 16), then quantized and served it locally through Ollama.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StateGraphs and Google ADK agents on Gemini, aggregating ~2,900 postings/run across 4 ATS platforms and 4 aggregator feeds into reviewable outputs.</w:t>
      </w:r>
    </w:p>
    <w:p>
      <w:pPr>
        <w:pStyle w:val="ListParagraph"/>
        <w:numPr>
          <w:ilvl w:val="0"/>
          <w:numId w:val="2"/>
        </w:numPr>
        <w:spacing w:after="40"/>
      </w:pPr>
      <w:r>
        <w:t>Cost-Disciplined Filtering &amp; Evaluation: 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pStyle w:val="ListParagraph"/>
        <w:numPr>
          <w:ilvl w:val="0"/>
          <w:numId w:val="2"/>
        </w:numPr>
        <w:spacing w:after="40"/>
      </w:pPr>
      <w:r>
        <w:t>Guardrails &amp; Observability: shipped human-in-the-loop send gates, platform-compliance checks, Langfuse tracing, and a 373-test hermetic offline suite (~11s) for agent behavior.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