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Hybrid Search, pgvector, QLoRA, Prompt Engineering, scikit-learn, MLflow,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Google Cloud Run,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Client-style ML projects: </w:t>
      </w:r>
      <w:r>
        <w:rPr>
          <w:rFonts w:ascii="Calibri" w:hAnsi="Calibri"/>
          <w:b w:val="0"/>
          <w:i w:val="0"/>
          <w:sz w:val="21"/>
          <w:u w:val="none"/>
        </w:rPr>
        <w:t>Vantara (churn/CLV, SHAP, FastAPI, Docker), FlowCast (traffic and accident-risk forecasting), Northgate (FinBERT, max-Sharpe).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and payments — mobile counterpart to PayGain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 &amp; Multi-Agent Routing: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evidence-aware synthesis, abstention, lexical reranking, and routing across stock, fund, and 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 &amp; Microservice Architecture: </w:t>
      </w:r>
      <w:r>
        <w:rPr>
          <w:rFonts w:ascii="Calibri" w:hAnsi="Calibri"/>
          <w:b w:val="0"/>
          <w:i w:val="0"/>
          <w:sz w:val="21"/>
          <w:u w:val="none"/>
        </w:rPr>
        <w:t>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official-disclosure collection and normalization with readiness checks and targeted normalizer repairs.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Multi-Agent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Google ADK and LangGraph, ingesting ~2,900 postings/run with an 89.5% pre-LLM filter rate.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Full-Stack Delivery: </w:t>
      </w:r>
      <w:r>
        <w:rPr>
          <w:rFonts w:ascii="Calibri" w:hAnsi="Calibri"/>
          <w:b w:val="0"/>
          <w:i w:val="0"/>
          <w:sz w:val="21"/>
          <w:u w:val="none"/>
        </w:rPr>
        <w:t>shipped human send gates, Langfuse tracing, a 373-test hermetic suite (11s), and a Next.js dashboard on Google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ChromaDB, Unsloth, Ollama  |  ~7,300 LOC — synthetic data (MITRE Synthea)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github.com/Naman6019/CareFlow-Intelligence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 &amp; Local Serving: </w:t>
      </w:r>
      <w:r>
        <w:rPr>
          <w:rFonts w:ascii="Calibri" w:hAnsi="Calibri"/>
          <w:b w:val="0"/>
          <w:i w:val="0"/>
          <w:sz w:val="21"/>
          <w:u w:val="none"/>
        </w:rPr>
        <w:t>fine-tuned Qwen2.5-1.5B with reference evidence and hard distractors via 4-bit QLoRA (r=16, alpha=16), then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&amp; Ingestion: </w:t>
      </w:r>
      <w:r>
        <w:rPr>
          <w:rFonts w:ascii="Calibri" w:hAnsi="Calibri"/>
          <w:b w:val="0"/>
          <w:i w:val="0"/>
          <w:sz w:val="21"/>
          <w:u w:val="none"/>
        </w:rPr>
        <w:t>built bounded-tool citation-grounded RAG agent over 4 ingestion pipelines with Postgres GIN citation checks, plus a human-in-the-loop ingestion agent managing 18 FHIR R4 tables.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 &amp;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