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with hands-on experience across classical ML, multi-agent LLM orchestration, and grounded RAG systems, with a track record of shipping AI products end-to-end.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live research platform for Indian stocks and mutual funds with deterministic financial metrics, hybrid vector/lexical retrieval, and explainable ML clustering across 12 asset management companies — plus a decoupled report-synthesis microservice containerized and deployed on a self-managed Kubernetes (K3s) cluster on AWS. Currently building evidence-first AI products independently to gain hands-on production deployment experience.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Comfortable end-to-end: Python/FastAPI, Next.js/React, Supabase/PostgreSQL, and cloud deployment (Vercel, Docker, Kubernetes). Also experienced translating business requirements into deployed systems as a technology lead.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LLMs, RAG (LangGraph), Multi-Agent Orchestration (LangGraph, Google ADK), Hybrid Search, Prompt Engineering (few-shot, CoT), Hugging Face, Ollama, Vector Embeddings (pgvector, ChromaDB), K-Means Clustering, Logistic Regression, AI Observability (Langfuse), MLflow, scikit-learn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 (Auth, RLS), Redis (Upstash), Docker, Kubernetes (K3s), GitHub Actions (CI/CD), Google Cloud Run, Vercel, Prefect, Git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engineer, covering client/employee onboarding, document access, product registration,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~143K lines of code across 864 files, 430 commits, 167+ test suites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abstention,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Data-Quality Debugging: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diagnosed and fixed a scheme-name normalizer bug that had collapsed 14,000+ mutual fund records into the wrong peer groups, raising field-level data coverage from as low as 83% to 100% on affected AMCs.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Resilient 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22-workflow GitHub Actions pipeline scraping and normalizing official disclosures from 12 AMCs, reaching 99.66% data-readiness across 871 tracked fund schemes.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Kubernetes Deployment: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provisioned and administered an AWS EC2 instance running K3s, deploying the service as a 2-replica Kubernetes Deployment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(list_documents/search_documents) with query reformulation and mandatory citation validation against Postgres full-text (GIN tsvector) indexes, backed by 4 automated ingestion pipelines (OpenFDA drug monographs, PubMed E-Utilities, ADA/AHA/KDIGO clinical guidelines, media transcripts) that indexed 37 documents into 620 searchable chunks.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and ran a Retrieval-Augmented Fine-Tuning pipeline generating training data with oracle evidence, hard distractors, and 20% abstention cases, then fine-tuned Qwen2.5-7B-Instruct via 4-bit QLoRA (Unsloth, rank 16/alpha 32) — achieving 88.5% citation precision, 92.3% citation recall, 84.6% distractor rejection, and 84.6% abstention accuracy on held-out clinical QA.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~23K LOC across 131 files, 69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Dual-Pipeline Agent System: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Careers pipeline and a parallel Studio freelance-lead pipeline (LangGraph StateGraphs orchestrating Google ADK agents on Gemini via Vertex AI) ingesting ~2,500 job postings/run across 8 ATS/aggregator sources (Greenhouse, Lever, Ashby, SmartRecruiters, Arbeitnow, Remotive, RemoteOK, Jobicy).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Cost-Disciplined Filtering &amp; Evaluation: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applies deterministic pre-filtering to cut 91% of postings before any LLM call, then runs a 3-state (MET/UNMET/NOT STATED) evaluator agent and a drafter agent to auto-generate tailored resumes, cover letters, and freelance pitches, with persistent run state in Firestore and Cloud Scheduler cron triggers.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Guardrails &amp; Observability: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shipped human-in-the-loop send gates and anti-automation platform-compliance checks, with Langfuse tracing and a 235+ test hermetic pytest suite (58 test functions across 21 files, ~6s offline run) validating agent behavior without live API calls.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26 files, 22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