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64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88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48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8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after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48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t>Agentic AI: LangGraph, Google ADK, RAG, Prompt Engineering, LLM Routing, Langfuse</w:t>
      </w:r>
    </w:p>
    <w:p w14:paraId="69A72E4F" w14:textId="77777777" w:rsidR="00B0697B" w:rsidRDefault="00000000">
      <w:pPr>
        <w:spacing w:after="40"/>
      </w:pPr>
      <w:r>
        <w:t>Engineering &amp; Cloud: Python, FastAPI, REST APIs, PostgreSQL, Supabase, Docker, Kubernetes, AWS EC2, GitHub Actions, Google Cloud Run</w:t>
      </w:r>
    </w:p>
    <w:p w14:paraId="4DA86AA9" w14:textId="77777777" w:rsidR="00B0697B" w:rsidRDefault="00000000">
      <w:pPr>
        <w:spacing w:after="40"/>
      </w:pPr>
      <w:r>
        <w:t>Web &amp; Data: Next.js, React, TypeScript,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48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>Artificial Intelligence Intern — Internmo (Remote)</w:t>
      </w:r>
      <w:proofErr w:type="spellStart"/>
      <w:r>
        <w:rPr>
          <w:rFonts w:ascii="Calibri" w:eastAsia="Calibri" w:hAnsi="Calibri" w:cs="Calibri"/>
          <w:b/>
          <w:bCs/>
          <w:color w:val="1A1A1A"/>
        </w:rPr>
      </w:r>
      <w:proofErr w:type="spellEnd"/>
      <w:r>
        <w:rPr>
          <w:rFonts w:ascii="Calibri" w:eastAsia="Calibri" w:hAnsi="Calibri" w:cs="Calibri"/>
          <w:b/>
          <w:bCs/>
          <w:color w:val="1A1A1A"/>
        </w:rPr>
      </w:r>
      <w:proofErr w:type="spellStart"/>
      <w:r>
        <w:rPr>
          <w:rFonts w:ascii="Calibri" w:eastAsia="Calibri" w:hAnsi="Calibri" w:cs="Calibri"/>
          <w:b/>
          <w:bCs/>
          <w:color w:val="1A1A1A"/>
        </w:rPr>
      </w:r>
      <w:proofErr w:type="spellEnd"/>
      <w:r>
        <w:rPr>
          <w:rFonts w:ascii="Calibri" w:eastAsia="Calibri" w:hAnsi="Calibri" w:cs="Calibri"/>
          <w:b/>
          <w:bCs/>
          <w:color w:val="1A1A1A"/>
        </w:rPr>
      </w:r>
      <w:proofErr w:type="spellStart"/>
      <w:r>
        <w:rPr>
          <w:rFonts w:ascii="Calibri" w:eastAsia="Calibri" w:hAnsi="Calibri" w:cs="Calibri"/>
          <w:b/>
          <w:bCs/>
          <w:color w:val="1A1A1A"/>
        </w:rPr>
      </w:r>
      <w:proofErr w:type="spellEnd"/>
      <w:r>
        <w:rPr>
          <w:rFonts w:ascii="Calibri" w:eastAsia="Calibri" w:hAnsi="Calibri" w:cs="Calibri"/>
          <w:b/>
          <w:bCs/>
          <w:color w:val="1A1A1A"/>
        </w:rPr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Sept 2026 – Present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Sole engineer on three client-style ML projects, PRD to dashboard: Vantara (churn and 90-day customer value; SHAP/LIME, FastAPI, Docker), FlowCast (traffic and accident-risk forecasting), Northgate (stock forecasting with FinBERT sentiment, max-Sharpe portfolio).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Sept 2026</w:t>
      </w:r>
    </w:p>
    <w:p w14:paraId="1BB64773" w14:textId="77777777" w:rsidR="00B0697B" w:rsidRDefault="00000000">
      <w:pPr>
        <w:spacing w:after="48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Sole owner of requirements and design for a company-wide mobile app spanning client/employee onboarding, document access, product activation,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Worked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48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48"/>
      </w:pPr>
      <w:r>
        <w:rPr>
          <w:i/>
        </w:rPr>
        <w:t>Python, FastAPI, Next.js, LangGraph, Groq, OpenAI  |  ~144K source LOC, 856 files, 442 commits, 178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End-to-End Ownership: designed and operated the citation-grounded research workflow across data, ML, backend, frontend, CI/CD, and a separately deployed report-synthesis service.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48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Dual-Pipeline Agent System: built Careers and Studio workflows with LangGraph and Google ADK agents, ingesting ~2,900 postings/run across 4 ATS platforms and 4 aggregator feeds into reviewable outputs.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Cost-Disciplined Evaluation: applied deterministic title/seniority pre-filtering that eliminates 89.5% of postings before any LLM call, then used evaluator and drafter steps to prepare reviewable application materials.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Guardrails &amp; Ownership: shipped human-in-the-loop send gates, compliance checks, Langfuse observability, Cloud Run deployment, and a 373-test hermetic offline suite running in ~11s.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48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0"/>
      </w:pPr>
      <w:r>
        <w:t>Second Agent System: built citation-grounded document RAG with automated ingestion and approval gates; fine-tuned Qwen2.5-1.5B via 4-bit QLoRA (r=16, alpha=16) and served it locally via Ollama.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48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600" w:bottom="288" w:left="6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