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with hands-on experience across classical ML, multi-agent LLM orchestration, and grounded RAG systems, with a track record of shipping AI products end-to-end.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live research platform for Indian stocks and mutual funds with deterministic financial metrics, hybrid vector/lexical retrieval, and explainable ML clustering across 12 asset management companies — plus a decoupled report-synthesis microservice containerized and deployed on a self-managed Kubernetes (K3s) cluster on AWS. Currently building evidence-first AI products independently to gain hands-on production deployment experience.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Comfortable end-to-end: Python/FastAPI, Next.js/React, Supabase/PostgreSQL, and cloud deployment (Vercel, Docker, Kubernetes). Also experienced translating business requirements into deployed systems as a technology lead.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LLMs, RAG (LangGraph), Multi-Agent Orchestration (LangGraph, Google ADK), Hybrid Search, Prompt Engineering (few-shot, CoT), Hugging Face, Ollama, Vector Embeddings (pgvector), K-Means Clustering, Logistic Regression, AI Observability (Langfuse), MLflow,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 (Auth, RLS), Redis (Upstash), Docker, Kubernetes (K3s), GitHub Actions (CI/CD), Google Cloud Run, Vercel, Prefect, Git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engineer, covering client/employee onboarding, document access, product registration,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~132K lines of code across 752 files, 410 commits, 142+ test suites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abstention,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Data-Quality Debugging: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diagnosed and fixed a scheme-name normalizer bug that had collapsed 14,000+ mutual fund records into the wrong peer groups, raising field-level data coverage from as low as 83% to 100% on affected AMCs.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Resilient 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22-workflow GitHub Actions pipeline scraping and normalizing official disclosures from 12 AMCs, reaching 99.66% data-readiness across 871 tracked fund schemes.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Kubernetes Deployment: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provisioned and administered an AWS EC2 instance running K3s, deploying the service as a 2-replica Kubernetes Deployment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(list_documents/search_documents) with query reformulation and mandatory citation validation against Postgres full-text (GIN tsvector) indexes, backed by 4 automated ingestion pipelines (OpenFDA drug monographs, PubMed E-Utilities, ADA/AHA/KDIGO clinical guidelines, media transcripts) that indexed 37 documents into 620 searchable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and ran a Retrieval-Augmented Fine-Tuning pipeline generating training data with oracle evidence, hard distractors, and 20% abstention cases, then fine-tuned Qwen2.5-7B-Instruct via 4-bit QLoRA (Unsloth, rank 16/alpha 32) — achieving 88.5% citation precision, 92.3% citation recall, 84.6% distractor rejection, and 84.6% abstention accuracy on held-out clinical QA.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~22K LOC across 130 files, 56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Dual-Pipeline Agent System: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Careers pipeline and a parallel Studio freelance-lead pipeline (LangGraph StateGraphs orchestrating Google ADK agents on Gemini via Vertex AI) ingesting ~2,500 job postings/run across 8 ATS/aggregator sources (Greenhouse, Lever, Ashby, SmartRecruiters, Arbeitnow, Remotive, RemoteOK, Jobicy).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Cost-Disciplined Filtering &amp; Evaluation: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applies deterministic pre-filtering to cut 91% of postings before any LLM call, then runs a 3-state (MET/UNMET/NOT STATED) evaluator agent and a drafter agent to auto-generate tailored resumes, cover letters, and freelance pitches, with persistent run state in Firestore and Cloud Scheduler cron triggers.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Guardrails &amp; Observability: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shipped human-in-the-loop send gates and anti-automation platform-compliance checks, with Langfuse tracing and a 235+ test hermetic pytest suite (58 test functions across 21 files, ~6s offline run) validating agent behavior without live API calls.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