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t>Agentic AI: LangGraph, Google ADK, RAG, Prompt Engineering, LLM Routing, Langfuse</w:t>
      </w:r>
    </w:p>
    <w:p w14:paraId="69A72E4F" w14:textId="77777777" w:rsidR="00B0697B" w:rsidRDefault="00000000">
      <w:pPr>
        <w:spacing w:after="40"/>
      </w:pPr>
      <w:r>
        <w:t>Engineering &amp; Cloud: Python, FastAPI, REST APIs, PostgreSQL, Supabase, Docker, Kubernetes, AWS EC2, GitHub Actions, Google Cloud Run</w:t>
      </w:r>
    </w:p>
    <w:p w14:paraId="4DA86AA9" w14:textId="77777777" w:rsidR="00B0697B" w:rsidRDefault="00000000">
      <w:pPr>
        <w:spacing w:after="40"/>
      </w:pPr>
      <w:r>
        <w:t>Web &amp; Data: Next.js, React, TypeScript,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Sole engineer for a company-wide mobile app spanning client/employee onboarding, document access, product activation,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~137K source LOC, 827 files, 435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End-to-End Ownership: designed and operated the citation-grounded research workflow across data, ML, backend, frontend, CI/CD, and a separately deployed report-synthesis service.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Dual-Pipeline Agent System: built Careers and Studio workflows with LangGraph and Google ADK agents, ingesting ~2,900 postings/run across 4 ATS platforms and 4 aggregator feeds into reviewable outputs.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Cost-Disciplined Evaluation: applied deterministic title/seniority pre-filtering that eliminates 89.5% of postings before any LLM call, then used evaluator and drafter steps to prepare reviewable application materials.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Guardrails &amp; Ownership: shipped human-in-the-loop send gates, compliance checks, Langfuse observability, Cloud Run deployment, and a 373-test hermetic offline suite running in ~11s.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Second Agent System: built citation-grounded document RAG with automated ingestion and approval gates; fine-tuned Qwen2.5-1.5B via 4-bit QLoRA (r=16, alpha=16) and served it locally via Ollama.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23 files, 28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