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Redline: LegacyCare (2025) vs. NovaShield Health (2026)</w:t>
      </w:r>
    </w:p>
    <w:p>
      <w:r>
        <w:t>Prepared by: Legal &amp; HR Benefits Team | Effective Date: October 21, 2026 | Clearance: L1-L3</w:t>
      </w:r>
    </w:p>
    <w:p>
      <w:pPr>
        <w:pStyle w:val="Heading1"/>
      </w:pPr>
      <w:r>
        <w:t>1. Core Coverage Upgrades</w:t>
      </w:r>
    </w:p>
    <w:p>
      <w:r>
        <w:t>Base Sum Insured remains INR 5,00,000 for L1-L3, INR 7,50,000 for L4-L5, and INR 10,00,000 for L6 executives. Employees may voluntarily top-up an additional INR 5,00,000 by October 22, 2026.</w:t>
      </w:r>
    </w:p>
    <w:p>
      <w:pPr>
        <w:pStyle w:val="Heading1"/>
      </w:pPr>
      <w:r>
        <w:t>2. Side-by-Side Benefit Comparison</w:t>
      </w:r>
    </w:p>
    <w:p>
      <w:r>
        <w:t>- Cataract Surgery: Increased from INR 35,000/eye (LegacyCare) to INR 45,000/eye (NovaShield).</w:t>
        <w:br/>
        <w:t>- Maternity Limit: Increased from INR 50,000 to INR 1,00,000.</w:t>
        <w:br/>
        <w:t>- Parental Co-pay: Reduced from 20% to 10%.</w:t>
        <w:br/>
        <w:t>- Pre-Existing Diseases (PED): 100% waived from Day 1 for both employees and enrolled parents provided parental opt-in is confirmed before the cutoff window.</w:t>
      </w:r>
    </w:p>
    <w:p>
      <w:pPr>
        <w:pStyle w:val="Heading1"/>
      </w:pPr>
      <w:r>
        <w:t>3. Critical Transition Warning (Parental Rider Re-Confirmation)</w:t>
      </w:r>
    </w:p>
    <w:p>
      <w:r>
        <w:t>Under Clause 9.4 of the NovaShield transition addendum, existing parental enrollments do NOT auto-renew without employee consent due to revised co-pay payroll structures. Every employee with enrolled parents must click 'Confirm Parental Rider' in the portal before the cutoff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