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Handling Emergency Admissions During Oct 20-21 Vendor Cutover</w:t>
      </w:r>
    </w:p>
    <w:p>
      <w:r>
        <w:t>Document Owner: HR Operations | Clearance: L1-L3</w:t>
      </w:r>
    </w:p>
    <w:p>
      <w:pPr>
        <w:pStyle w:val="Heading1"/>
      </w:pPr>
      <w:r>
        <w:t>1. Cutover Blackout Window Definition</w:t>
      </w:r>
    </w:p>
    <w:p>
      <w:r>
        <w:t>While policy coverage has zero gap between October 20 (23:59 IST) and October 21 (00:00 IST), the automated E-Card generation portal will undergo scheduled migration maintenance for 14 hours.</w:t>
      </w:r>
    </w:p>
    <w:p>
      <w:pPr>
        <w:pStyle w:val="Heading1"/>
      </w:pPr>
      <w:r>
        <w:t>2. Emergency Admission Protocol (Green Channel)</w:t>
      </w:r>
    </w:p>
    <w:p>
      <w:r>
        <w:t>If an employee or dependent is hospitalized during the migration window, show Corporate Policy Code 'NS-CORP-2026-9920' at the hospital desk and trigger an immediate Green Channel Provisional Approval via HR Escalation Lead Priya Kulkarni (+91-98200-11223). Hospital deposits are waived under our corporate guarantee.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