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Transcript: Executive Committee Insurance Vendor Sign-Off</w:t>
      </w:r>
    </w:p>
    <w:p>
      <w:r>
        <w:t>Date: October 13, 2026 | Attendees: CEO, Arvind Mehta (CFO), Kavita Nair (CHRO) | Clearance: L3 Upper Only</w:t>
      </w:r>
    </w:p>
    <w:p>
      <w:pPr>
        <w:pStyle w:val="Heading1"/>
      </w:pPr>
      <w:r>
        <w:t>00:04:12 - CHRO Kavita Nair on Employee Morale</w:t>
      </w:r>
    </w:p>
    <w:p>
      <w:r>
        <w:t>Kavita Nair (CHRO): 'We switched to NovaShield because LegacyCare delayed 19 cashless claims last quarter. NovaShield gives us a 2-hour cashless SLA, INR 45,000 per eye for cataract, and INR 1 Lakh maternity. If we pass the 14% parental premium hike (INR 38.4 Lakhs) onto employees right before Diwali, we will face severe pushback from Engineering.'</w:t>
      </w:r>
    </w:p>
    <w:p>
      <w:pPr>
        <w:pStyle w:val="Heading1"/>
      </w:pPr>
      <w:r>
        <w:t>00:11:45 - CFO Arvind Mehta on Budget Options</w:t>
      </w:r>
    </w:p>
    <w:p>
      <w:r>
        <w:t>Arvind Mehta (CFO): 'I agree we shouldn't shock employee payslips. LegacyCare owes us an INR 19.2 Lakh pro-rata refund on the old OPD buffer. If we apply that INR 19.2L refund and match the remaining INR 19.2L from our Q4 Staff Welfare Reserve (Option B), we can keep employee parental deductions completely flat at INR 600 per parent. Let's load the final numbers into the Decision Matrix for formal sign-off.'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