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>
          <w:rFonts w:ascii="Montserrat" w:cs="Montserrat" w:eastAsia="Montserrat" w:hAnsi="Montserrat"/>
          <w:b w:val="1"/>
          <w:bCs w:val="1"/>
          <w:color w:val="1f3a5f"/>
          <w:sz w:val="46"/>
          <w:szCs w:val="4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f3a5f"/>
          <w:sz w:val="46"/>
          <w:szCs w:val="46"/>
          <w:rtl w:val="0"/>
        </w:rPr>
        <w:t xml:space="preserve">NAMAN SHARMA</w:t>
      </w:r>
    </w:p>
    <w:p w:rsidR="00000000" w:rsidDel="00000000" w:rsidP="00000000" w:rsidRDefault="00000000" w:rsidRPr="00000000" w14:paraId="00000002">
      <w:pPr>
        <w:spacing w:after="80" w:line="240" w:lineRule="auto"/>
        <w:jc w:val="center"/>
        <w:rPr>
          <w:rFonts w:ascii="Nunito" w:cs="Nunito" w:eastAsia="Nunito" w:hAnsi="Nunito"/>
          <w:color w:val="555555"/>
        </w:rPr>
      </w:pPr>
      <w:r w:rsidDel="00000000" w:rsidR="00000000" w:rsidRPr="00000000">
        <w:rPr>
          <w:rFonts w:ascii="Nunito" w:cs="Nunito" w:eastAsia="Nunito" w:hAnsi="Nunito"/>
          <w:color w:val="555555"/>
          <w:rtl w:val="0"/>
        </w:rPr>
        <w:t xml:space="preserve">Automation Manager  |  Digital Transformation |  MBA, SPJIMR</w:t>
      </w:r>
    </w:p>
    <w:p w:rsidR="00000000" w:rsidDel="00000000" w:rsidP="00000000" w:rsidRDefault="00000000" w:rsidRPr="00000000" w14:paraId="00000003">
      <w:pPr>
        <w:spacing w:after="200" w:line="360" w:lineRule="auto"/>
        <w:jc w:val="center"/>
        <w:rPr>
          <w:rFonts w:ascii="Nunito" w:cs="Nunito" w:eastAsia="Nunito" w:hAnsi="Nunito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Mumbai, India  •  +91 8890033399  •  </w:t>
      </w:r>
      <w:r w:rsidDel="00000000" w:rsidR="00000000" w:rsidRPr="00000000">
        <w:rPr>
          <w:rFonts w:ascii="Nunito" w:cs="Nunito" w:eastAsia="Nunito" w:hAnsi="Nunito"/>
          <w:color w:val="1f3a5f"/>
          <w:sz w:val="20"/>
          <w:szCs w:val="20"/>
          <w:rtl w:val="0"/>
        </w:rPr>
        <w:t xml:space="preserve">namansharma0297@gmail.com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 • </w:t>
      </w:r>
      <w:hyperlink r:id="rId6">
        <w:r w:rsidDel="00000000" w:rsidR="00000000" w:rsidRPr="00000000">
          <w:rPr>
            <w:rFonts w:ascii="Nunito" w:cs="Nunito" w:eastAsia="Nunito" w:hAnsi="Nunito"/>
            <w:sz w:val="20"/>
            <w:szCs w:val="20"/>
            <w:rtl w:val="0"/>
          </w:rPr>
          <w:t xml:space="preserve"> </w:t>
        </w:r>
      </w:hyperlink>
      <w:hyperlink r:id="rId7">
        <w:r w:rsidDel="00000000" w:rsidR="00000000" w:rsidRPr="00000000">
          <w:rPr>
            <w:rFonts w:ascii="Nunito" w:cs="Nunito" w:eastAsia="Nunito" w:hAnsi="Nunito"/>
            <w:color w:val="1f3a5f"/>
            <w:sz w:val="20"/>
            <w:szCs w:val="20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 • </w:t>
      </w:r>
      <w:hyperlink r:id="rId8">
        <w:r w:rsidDel="00000000" w:rsidR="00000000" w:rsidRPr="00000000">
          <w:rPr>
            <w:rFonts w:ascii="Nunito" w:cs="Nunito" w:eastAsia="Nunito" w:hAnsi="Nunito"/>
            <w:sz w:val="20"/>
            <w:szCs w:val="20"/>
            <w:rtl w:val="0"/>
          </w:rPr>
          <w:t xml:space="preserve"> </w:t>
        </w:r>
      </w:hyperlink>
      <w:hyperlink r:id="rId9">
        <w:r w:rsidDel="00000000" w:rsidR="00000000" w:rsidRPr="00000000">
          <w:rPr>
            <w:rFonts w:ascii="Nunito" w:cs="Nunito" w:eastAsia="Nunito" w:hAnsi="Nunito"/>
            <w:b w:val="1"/>
            <w:bCs w:val="1"/>
            <w:color w:val="1f3a5f"/>
            <w:u w:val="single"/>
            <w:rtl w:val="0"/>
          </w:rPr>
          <w:t xml:space="preserve">iamnaman.in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" w:before="160" w:lineRule="auto"/>
        <w:rPr>
          <w:rFonts w:ascii="Nunito" w:cs="Nunito" w:eastAsia="Nunito" w:hAnsi="Nunito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1f3a5f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spacing w:after="40" w:lineRule="auto"/>
        <w:rPr>
          <w:rFonts w:ascii="Nunito" w:cs="Nunito" w:eastAsia="Nunito" w:hAnsi="Nunito"/>
          <w:b w:val="1"/>
          <w:bCs w:val="1"/>
          <w:color w:val="1f3a5f"/>
          <w:sz w:val="20"/>
          <w:szCs w:val="20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Automation and digital transformation leader who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automates regulated financial workflows at enterprise scale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, OTC derivatives, trade booking, client reporting controls, and reconciliation across global financial services.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7 years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of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full-stack automation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, RPA, and analytics delivery;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Employee of the Year 2025–26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at JPMorgan Chase for production-grade Python and React systems serving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500+ global users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. Combine engineering depth (Python, Java, React/Node.js, SQL, GraphQL, RPA) with an Executive MBA from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SPJIMR, a top-tier B-school in India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240" w:lineRule="auto"/>
        <w:rPr>
          <w:rFonts w:ascii="Nunito" w:cs="Nunito" w:eastAsia="Nunito" w:hAnsi="Nunito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240" w:lineRule="auto"/>
        <w:rPr>
          <w:rFonts w:ascii="Nunito" w:cs="Nunito" w:eastAsia="Nunito" w:hAnsi="Nunito"/>
          <w:color w:val="1f3a5f"/>
          <w:sz w:val="24"/>
          <w:szCs w:val="2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1f3a5f"/>
          <w:sz w:val="24"/>
          <w:szCs w:val="24"/>
          <w:rtl w:val="0"/>
        </w:rPr>
        <w:t xml:space="preserve">CORE SKILLS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40" w:line="276" w:lineRule="auto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Engineering &amp; Architecture: 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Full-Stack Automation, RPA, Backend Services, Front-End Delivery, API Integration, Data Pipelines, Reconciliation Frameworks, PDF Parsing</w:t>
      </w:r>
    </w:p>
    <w:p w:rsidR="00000000" w:rsidDel="00000000" w:rsidP="00000000" w:rsidRDefault="00000000" w:rsidRPr="00000000" w14:paraId="00000009">
      <w:pPr>
        <w:spacing w:after="40" w:line="276" w:lineRule="auto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Technologies: 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Python, Java, JavaScript, React, Node.js, Streamlit, SQL, GraphQL, REST APIs, Cassandra, UiPath, Selenium, Playwright, Alteryx, Tableau, Jenkins, BitBucket, GitHub, CICD, BDD</w:t>
      </w:r>
    </w:p>
    <w:p w:rsidR="00000000" w:rsidDel="00000000" w:rsidP="00000000" w:rsidRDefault="00000000" w:rsidRPr="00000000" w14:paraId="0000000A">
      <w:pPr>
        <w:spacing w:after="40" w:line="276" w:lineRule="auto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 &amp; Analytics: 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Dashboarding, Reporting Automation, Financial Statement Analysis, Balance Sheet and P&amp;L Analysis</w:t>
      </w:r>
    </w:p>
    <w:p w:rsidR="00000000" w:rsidDel="00000000" w:rsidP="00000000" w:rsidRDefault="00000000" w:rsidRPr="00000000" w14:paraId="0000000B">
      <w:pPr>
        <w:spacing w:after="40" w:line="276" w:lineRule="auto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Financial Domain: 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Equities, Mutual Funds, Fixed Income, OTC Derivatives, Trade Booking, FX, Brokerage Operations, Liquidity &amp; Capital Metrics (LCR, CET1, ROA, ROE, NIM), Balance Sheet, PnL Sheet</w:t>
      </w:r>
    </w:p>
    <w:p w:rsidR="00000000" w:rsidDel="00000000" w:rsidP="00000000" w:rsidRDefault="00000000" w:rsidRPr="00000000" w14:paraId="0000000C">
      <w:pPr>
        <w:spacing w:after="40" w:line="276" w:lineRule="auto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Leadership &amp; Delivery: 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Digital Transformation, Cross-functional Program Delivery, Stakeholder Management, Automation Governance, Agile / Scrum, Risk &amp; Controls, Strategic Planning, Mentorship</w:t>
      </w:r>
    </w:p>
    <w:p w:rsidR="00000000" w:rsidDel="00000000" w:rsidP="00000000" w:rsidRDefault="00000000" w:rsidRPr="00000000" w14:paraId="0000000D">
      <w:pPr>
        <w:spacing w:after="0" w:line="240" w:lineRule="auto"/>
        <w:rPr>
          <w:rFonts w:ascii="Nunito" w:cs="Nunito" w:eastAsia="Nunito" w:hAnsi="Nunito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rFonts w:ascii="Nunito" w:cs="Nunito" w:eastAsia="Nunito" w:hAnsi="Nunito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1f3a5f"/>
          <w:sz w:val="24"/>
          <w:szCs w:val="24"/>
          <w:rtl w:val="0"/>
        </w:rPr>
        <w:t xml:space="preserve">PROFESSIONAL EXPERIENCE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0" w:lineRule="auto"/>
        <w:rPr>
          <w:rFonts w:ascii="Nunito" w:cs="Nunito" w:eastAsia="Nunito" w:hAnsi="Nunito"/>
          <w:color w:val="783f0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783f04"/>
          <w:rtl w:val="0"/>
        </w:rPr>
        <w:t xml:space="preserve">JPMorgan Chase &amp; Co.,  Automation Manager, Asset &amp; Wealth Management</w:t>
      </w:r>
      <w:r w:rsidDel="00000000" w:rsidR="00000000" w:rsidRPr="00000000">
        <w:rPr>
          <w:rFonts w:ascii="Nunito" w:cs="Nunito" w:eastAsia="Nunito" w:hAnsi="Nunito"/>
          <w:color w:val="783f04"/>
          <w:rtl w:val="0"/>
        </w:rPr>
        <w:t xml:space="preserve">                      Mumbai, India</w:t>
      </w:r>
    </w:p>
    <w:p w:rsidR="00000000" w:rsidDel="00000000" w:rsidP="00000000" w:rsidRDefault="00000000" w:rsidRPr="00000000" w14:paraId="00000010">
      <w:pPr>
        <w:spacing w:after="40" w:lineRule="auto"/>
        <w:rPr>
          <w:rFonts w:ascii="Nunito" w:cs="Nunito" w:eastAsia="Nunito" w:hAnsi="Nunito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color w:val="555555"/>
          <w:sz w:val="20"/>
          <w:szCs w:val="20"/>
          <w:rtl w:val="0"/>
        </w:rPr>
        <w:t xml:space="preserve">Jul 2021 to Present</w:t>
      </w:r>
    </w:p>
    <w:p w:rsidR="00000000" w:rsidDel="00000000" w:rsidP="00000000" w:rsidRDefault="00000000" w:rsidRPr="00000000" w14:paraId="00000011">
      <w:pPr>
        <w:spacing w:after="60" w:lineRule="auto"/>
        <w:rPr>
          <w:rFonts w:ascii="Nunito" w:cs="Nunito" w:eastAsia="Nunito" w:hAnsi="Nunito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color w:val="555555"/>
          <w:sz w:val="20"/>
          <w:szCs w:val="20"/>
          <w:rtl w:val="0"/>
        </w:rPr>
        <w:t xml:space="preserve">Leading automation development, strategy and delivery for </w:t>
      </w:r>
      <w:r w:rsidDel="00000000" w:rsidR="00000000" w:rsidRPr="00000000">
        <w:rPr>
          <w:rFonts w:ascii="Nunito" w:cs="Nunito" w:eastAsia="Nunito" w:hAnsi="Nunito"/>
          <w:b w:val="1"/>
          <w:bCs w:val="1"/>
          <w:i w:val="1"/>
          <w:iCs w:val="1"/>
          <w:color w:val="555555"/>
          <w:sz w:val="20"/>
          <w:szCs w:val="20"/>
          <w:rtl w:val="0"/>
        </w:rPr>
        <w:t xml:space="preserve">IPB Platform Modernization (PMOD)</w:t>
      </w:r>
      <w:r w:rsidDel="00000000" w:rsidR="00000000" w:rsidRPr="00000000">
        <w:rPr>
          <w:rFonts w:ascii="Nunito" w:cs="Nunito" w:eastAsia="Nunito" w:hAnsi="Nunito"/>
          <w:i w:val="1"/>
          <w:iCs w:val="1"/>
          <w:color w:val="555555"/>
          <w:sz w:val="20"/>
          <w:szCs w:val="20"/>
          <w:rtl w:val="0"/>
        </w:rPr>
        <w:t xml:space="preserve">, one of JPMorgan's largest global transformation programs.</w:t>
      </w:r>
    </w:p>
    <w:p w:rsidR="00000000" w:rsidDel="00000000" w:rsidP="00000000" w:rsidRDefault="00000000" w:rsidRPr="00000000" w14:paraId="00000012">
      <w:pPr>
        <w:spacing w:after="20" w:before="100" w:lineRule="auto"/>
        <w:rPr>
          <w:rFonts w:ascii="Nunito" w:cs="Nunito" w:eastAsia="Nunito" w:hAnsi="Nunito"/>
          <w:b w:val="1"/>
          <w:bCs w:val="1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i w:val="1"/>
          <w:iCs w:val="1"/>
          <w:color w:val="0b5394"/>
          <w:sz w:val="20"/>
          <w:szCs w:val="20"/>
          <w:rtl w:val="0"/>
        </w:rPr>
        <w:t xml:space="preserve">Flagship Platform Delivery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Architected a full-stack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OTC Derivatives Trade Booking Platform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automating booking across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15 derivative products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. React / Node.js + Streamlit front-end integrated with downstream booking systems.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Built a Python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Client Statements and Confirmations Reconciliation Framework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that parses client facing PDFs and reconciles every field against source-of-truth data via business mappings. Backend integrates Cassandra, GraphQL, SQL, and internal APIs, adding a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critical pre-dispatch control layer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positioned for production rollout.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4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Awarded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Employee of the Year 2025–2026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at JPMorgan Chase for outstanding contribution to automation, controls, and platform delivery.</w:t>
      </w:r>
    </w:p>
    <w:p w:rsidR="00000000" w:rsidDel="00000000" w:rsidP="00000000" w:rsidRDefault="00000000" w:rsidRPr="00000000" w14:paraId="00000016">
      <w:pPr>
        <w:spacing w:after="20" w:before="100" w:lineRule="auto"/>
        <w:rPr>
          <w:rFonts w:ascii="Nunito" w:cs="Nunito" w:eastAsia="Nunito" w:hAnsi="Nunito"/>
          <w:b w:val="1"/>
          <w:bCs w:val="1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i w:val="1"/>
          <w:iCs w:val="1"/>
          <w:color w:val="0b5394"/>
          <w:sz w:val="20"/>
          <w:szCs w:val="20"/>
          <w:rtl w:val="0"/>
        </w:rPr>
        <w:t xml:space="preserve">Digital Transformation &amp; Program Leadership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Defined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end-to-end transformation roadmaps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spanning testing, development, and release for PMOD. Built status-tracking and EOD reporting systems giving LOB leadership real-time visibility into progress, blockers, and risk across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500+ contributors globally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Partnered with product owners, business analysts, and engineering teams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to translate ambiguous requirements into technical deliverables, resolving cross-functional blockers across AWM Operations.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4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Drove adoption by mentoring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200+ professionals quarterly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across Python, Java, RPA, Alteryx and Tableau.</w:t>
      </w:r>
    </w:p>
    <w:p w:rsidR="00000000" w:rsidDel="00000000" w:rsidP="00000000" w:rsidRDefault="00000000" w:rsidRPr="00000000" w14:paraId="0000001A">
      <w:pPr>
        <w:spacing w:after="20" w:before="100" w:lineRule="auto"/>
        <w:rPr>
          <w:rFonts w:ascii="Nunito" w:cs="Nunito" w:eastAsia="Nunito" w:hAnsi="Nunito"/>
          <w:b w:val="1"/>
          <w:bCs w:val="1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i w:val="1"/>
          <w:iCs w:val="1"/>
          <w:color w:val="0b5394"/>
          <w:sz w:val="20"/>
          <w:szCs w:val="20"/>
          <w:rtl w:val="0"/>
        </w:rPr>
        <w:t xml:space="preserve">Automation &amp; RPA Engineering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Engineered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720 UiPath bots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using RE Framework for the Charles River IMS program, delivering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~90% time reduction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120 hours saved per month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Delivered an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FX Trade Booking automation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for the Hong Kong, IPB teams achieving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~95% time reduction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16 to 20 hours saved weekly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. Won the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Best Automation Solution Award, Q3 2022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Built a Python reconciliation solution for the Market &amp; Static Stream comparing accounts and instruments end-to-end. Achieved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99% time reduction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320+ hours saved per quarter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).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Rolled out a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global Alteryx + Tableau dashboard suite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integrated with qTest, JIRA, and Confluence APIs, adopted by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500+ professionals globally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. Won the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Best Dashboard Award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4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Delivered Brokerage Fees Automation for the IPB and Geneva teams (Alteryx + Tableau,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~95% time reduction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). Deployed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30+ Alteryx solutions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across AWM, cutting manual effort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95 to 99%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76" w:lineRule="auto"/>
        <w:ind w:left="0" w:right="0" w:firstLine="0"/>
        <w:jc w:val="left"/>
        <w:rPr>
          <w:rFonts w:ascii="Nunito" w:cs="Nunito" w:eastAsia="Nunito" w:hAnsi="Nunito"/>
          <w:color w:val="783f0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783f04"/>
          <w:rtl w:val="0"/>
        </w:rPr>
        <w:t xml:space="preserve">Deloitte USI,  Business Technology Analyst, Consulting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783f04"/>
          <w:sz w:val="20"/>
          <w:szCs w:val="20"/>
          <w:rtl w:val="0"/>
        </w:rPr>
        <w:t xml:space="preserve">                                                              </w:t>
      </w:r>
      <w:r w:rsidDel="00000000" w:rsidR="00000000" w:rsidRPr="00000000">
        <w:rPr>
          <w:rFonts w:ascii="Nunito" w:cs="Nunito" w:eastAsia="Nunito" w:hAnsi="Nunito"/>
          <w:color w:val="783f04"/>
          <w:rtl w:val="0"/>
        </w:rPr>
        <w:t xml:space="preserve">Mumbai,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783f04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color w:val="783f04"/>
          <w:rtl w:val="0"/>
        </w:rPr>
        <w:t xml:space="preserve">India</w:t>
      </w:r>
    </w:p>
    <w:p w:rsidR="00000000" w:rsidDel="00000000" w:rsidP="00000000" w:rsidRDefault="00000000" w:rsidRPr="00000000" w14:paraId="00000021">
      <w:pPr>
        <w:spacing w:after="40" w:lineRule="auto"/>
        <w:rPr>
          <w:rFonts w:ascii="Nunito" w:cs="Nunito" w:eastAsia="Nunito" w:hAnsi="Nunito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color w:val="555555"/>
          <w:sz w:val="20"/>
          <w:szCs w:val="20"/>
          <w:rtl w:val="0"/>
        </w:rPr>
        <w:t xml:space="preserve">Jul 2019 to Jun 2021</w:t>
      </w:r>
    </w:p>
    <w:p w:rsidR="00000000" w:rsidDel="00000000" w:rsidP="00000000" w:rsidRDefault="00000000" w:rsidRPr="00000000" w14:paraId="00000022">
      <w:pPr>
        <w:spacing w:after="60" w:lineRule="auto"/>
        <w:rPr>
          <w:rFonts w:ascii="Nunito" w:cs="Nunito" w:eastAsia="Nunito" w:hAnsi="Nunito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color w:val="555555"/>
          <w:sz w:val="20"/>
          <w:szCs w:val="20"/>
          <w:rtl w:val="0"/>
        </w:rPr>
        <w:t xml:space="preserve">Client: Health Department, State of Louisiana, USA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Designed and executed testing strategies for healthcare software deployments, including critical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COVID-19 enhancements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that ensured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uninterrupted Medicaid enrollment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for US citizens during the pandemic.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4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Built a daily data-integrity process preventing incorrect notification mailings to citizens; served as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SQL SPOC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for the DEV/SIT team on data updates and environment fixes.</w:t>
      </w:r>
    </w:p>
    <w:p w:rsidR="00000000" w:rsidDel="00000000" w:rsidP="00000000" w:rsidRDefault="00000000" w:rsidRPr="00000000" w14:paraId="000000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240" w:lineRule="auto"/>
        <w:rPr>
          <w:rFonts w:ascii="Nunito" w:cs="Nunito" w:eastAsia="Nunito" w:hAnsi="Nunito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240" w:lineRule="auto"/>
        <w:rPr>
          <w:rFonts w:ascii="Nunito" w:cs="Nunito" w:eastAsia="Nunito" w:hAnsi="Nunito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1f3a5f"/>
          <w:sz w:val="24"/>
          <w:szCs w:val="24"/>
          <w:rtl w:val="0"/>
        </w:rPr>
        <w:t xml:space="preserve">EDUCATION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before="80" w:lineRule="auto"/>
        <w:rPr>
          <w:rFonts w:ascii="Nunito" w:cs="Nunito" w:eastAsia="Nunito" w:hAnsi="Nunito"/>
          <w:color w:val="555555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783f04"/>
          <w:rtl w:val="0"/>
        </w:rPr>
        <w:t xml:space="preserve">S. P. Jain Institute of Management &amp; Research (SPJIMR)                                                        Mumbai,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40" w:lineRule="auto"/>
        <w:rPr>
          <w:rFonts w:ascii="Nunito" w:cs="Nunito" w:eastAsia="Nunito" w:hAnsi="Nunito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color w:val="555555"/>
          <w:sz w:val="20"/>
          <w:szCs w:val="20"/>
          <w:rtl w:val="0"/>
        </w:rPr>
        <w:t xml:space="preserve">Aug 2024 to Oct 2026</w:t>
      </w:r>
    </w:p>
    <w:p w:rsidR="00000000" w:rsidDel="00000000" w:rsidP="00000000" w:rsidRDefault="00000000" w:rsidRPr="00000000" w14:paraId="00000029">
      <w:pPr>
        <w:spacing w:after="60" w:lineRule="auto"/>
        <w:rPr>
          <w:rFonts w:ascii="Nunito" w:cs="Nunito" w:eastAsia="Nunito" w:hAnsi="Nunito"/>
          <w:b w:val="1"/>
          <w:bCs w:val="1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MBA, Post Graduate Programme in General Management.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SPJIMR is consistently ranked among the top B-schools in India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(AACSB, AMBA, EQUIS accredited), known for leadership, strategy, and operations rigour.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4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Capstone: </w:t>
      </w: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Project LEAP, Liquidity Efficiency Automation Project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, applying AI and automation to enhance LCR reporting in Treasury Operations.</w:t>
      </w:r>
    </w:p>
    <w:p w:rsidR="00000000" w:rsidDel="00000000" w:rsidP="00000000" w:rsidRDefault="00000000" w:rsidRPr="00000000" w14:paraId="0000002C">
      <w:pPr>
        <w:spacing w:before="80" w:lineRule="auto"/>
        <w:rPr>
          <w:rFonts w:ascii="Nunito" w:cs="Nunito" w:eastAsia="Nunito" w:hAnsi="Nunito"/>
          <w:color w:val="555555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783f04"/>
          <w:rtl w:val="0"/>
        </w:rPr>
        <w:t xml:space="preserve">Symbiosis Institute of Computer Studies &amp; Research (SICSR)                                                    Pune,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40" w:lineRule="auto"/>
        <w:rPr>
          <w:rFonts w:ascii="Nunito" w:cs="Nunito" w:eastAsia="Nunito" w:hAnsi="Nunito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color w:val="555555"/>
          <w:sz w:val="20"/>
          <w:szCs w:val="20"/>
          <w:rtl w:val="0"/>
        </w:rPr>
        <w:t xml:space="preserve">Jun 2016 to 2019</w:t>
      </w:r>
    </w:p>
    <w:p w:rsidR="00000000" w:rsidDel="00000000" w:rsidP="00000000" w:rsidRDefault="00000000" w:rsidRPr="00000000" w14:paraId="0000002E">
      <w:pPr>
        <w:spacing w:after="0" w:lineRule="auto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Bachelor of Computer Applications (BCA)</w:t>
      </w:r>
    </w:p>
    <w:p w:rsidR="00000000" w:rsidDel="00000000" w:rsidP="00000000" w:rsidRDefault="00000000" w:rsidRPr="00000000" w14:paraId="000000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240" w:lineRule="auto"/>
        <w:rPr>
          <w:rFonts w:ascii="Nunito" w:cs="Nunito" w:eastAsia="Nunito" w:hAnsi="Nunito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240" w:lineRule="auto"/>
        <w:rPr>
          <w:rFonts w:ascii="Nunito" w:cs="Nunito" w:eastAsia="Nunito" w:hAnsi="Nunito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1f3a5f"/>
          <w:sz w:val="24"/>
          <w:szCs w:val="24"/>
          <w:rtl w:val="0"/>
        </w:rPr>
        <w:t xml:space="preserve">AWARDS &amp; RECOGNITION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b w:val="1"/>
          <w:bCs w:val="1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Employee of the Year, JPMorgan Chase (2025 to 2026).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Best Automation Solution Award (Q3 2022)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for the FX Trade Booking automation.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Best Dashboard Award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for the global PMOD Alteryx + Tableau dashboard suite.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Multiple Innovation and Excellence Awards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across JPMorgan Chase (2021 to 2025).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40" w:line="252.00000000000003" w:lineRule="auto"/>
        <w:ind w:left="720" w:hanging="360"/>
        <w:rPr>
          <w:rFonts w:ascii="Nunito" w:cs="Nunito" w:eastAsia="Nunito" w:hAnsi="Nunito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50+ peer recognitions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from colleagues across JPMorgan Chase. Full list of awards, testimonials, projects, and photography portfolio at</w:t>
      </w:r>
      <w:hyperlink r:id="rId10">
        <w:r w:rsidDel="00000000" w:rsidR="00000000" w:rsidRPr="00000000">
          <w:rPr>
            <w:rFonts w:ascii="Nunito" w:cs="Nunito" w:eastAsia="Nunito" w:hAnsi="Nunito"/>
            <w:sz w:val="20"/>
            <w:szCs w:val="20"/>
            <w:rtl w:val="0"/>
          </w:rPr>
          <w:t xml:space="preserve"> </w:t>
        </w:r>
      </w:hyperlink>
      <w:hyperlink r:id="rId11">
        <w:r w:rsidDel="00000000" w:rsidR="00000000" w:rsidRPr="00000000">
          <w:rPr>
            <w:rFonts w:ascii="Nunito" w:cs="Nunito" w:eastAsia="Nunito" w:hAnsi="Nunito"/>
            <w:b w:val="1"/>
            <w:bCs w:val="1"/>
            <w:color w:val="1f3a5f"/>
            <w:sz w:val="20"/>
            <w:szCs w:val="20"/>
            <w:u w:val="single"/>
            <w:rtl w:val="0"/>
          </w:rPr>
          <w:t xml:space="preserve">www.iamnaman.in</w:t>
        </w:r>
      </w:hyperlink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iamnaman.in" TargetMode="External"/><Relationship Id="rId10" Type="http://schemas.openxmlformats.org/officeDocument/2006/relationships/hyperlink" Target="https://www.iamnaman.in" TargetMode="External"/><Relationship Id="rId9" Type="http://schemas.openxmlformats.org/officeDocument/2006/relationships/hyperlink" Target="https://www.iamnaman.in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inkedin.com/in/namansharma0297" TargetMode="External"/><Relationship Id="rId7" Type="http://schemas.openxmlformats.org/officeDocument/2006/relationships/hyperlink" Target="https://www.linkedin.com/in/namansharma0297" TargetMode="External"/><Relationship Id="rId8" Type="http://schemas.openxmlformats.org/officeDocument/2006/relationships/hyperlink" Target="https://www.iamnaman.in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