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AMREYE AI Project Overview</w:t>
      </w:r>
    </w:p>
    <w:p>
      <w:pPr>
        <w:keepLines/>
      </w:pPr>
      <w:r>
        <w:t>Project reference for investors and development partners</w:t>
      </w:r>
    </w:p>
    <w:p>
      <w:pPr>
        <w:keepLines/>
      </w:pPr>
      <w:r>
        <w:t>19 September 2026</w:t>
      </w:r>
    </w:p>
    <w:p>
      <w:pPr>
        <w:keepLines/>
      </w:pPr>
      <w:r>
        <w:rPr>
          <w:b/>
          <w:sz w:val="18"/>
        </w:rPr>
        <w:t xml:space="preserve">In this document  </w:t>
      </w:r>
      <w:hyperlink w:anchor="main_section_1">
        <w:r>
          <w:rPr>
            <w:color w:val="154F63"/>
            <w:u w:val="single"/>
          </w:rPr>
          <w:t>Project summary</w:t>
        </w:r>
      </w:hyperlink>
      <w:r>
        <w:rPr>
          <w:sz w:val="18"/>
        </w:rPr>
        <w:t xml:space="preserve">  ·  </w:t>
      </w:r>
      <w:hyperlink w:anchor="main_section_2">
        <w:r>
          <w:rPr>
            <w:color w:val="154F63"/>
            <w:u w:val="single"/>
          </w:rPr>
          <w:t>The laboratory problem</w:t>
        </w:r>
      </w:hyperlink>
      <w:r>
        <w:rPr>
          <w:sz w:val="18"/>
        </w:rPr>
        <w:t xml:space="preserve">  ·  </w:t>
      </w:r>
      <w:hyperlink w:anchor="main_section_3">
        <w:r>
          <w:rPr>
            <w:color w:val="154F63"/>
            <w:u w:val="single"/>
          </w:rPr>
          <w:t>The product family</w:t>
        </w:r>
      </w:hyperlink>
      <w:r>
        <w:rPr>
          <w:sz w:val="18"/>
        </w:rPr>
        <w:t xml:space="preserve">  ·  </w:t>
      </w:r>
      <w:hyperlink w:anchor="main_section_4">
        <w:r>
          <w:rPr>
            <w:color w:val="154F63"/>
            <w:u w:val="single"/>
          </w:rPr>
          <w:t>How Reader V1 is intended to work</w:t>
        </w:r>
      </w:hyperlink>
      <w:r>
        <w:rPr>
          <w:sz w:val="18"/>
        </w:rPr>
        <w:t xml:space="preserve">  ·  </w:t>
      </w:r>
      <w:hyperlink w:anchor="main_section_5">
        <w:r>
          <w:rPr>
            <w:color w:val="154F63"/>
            <w:u w:val="single"/>
          </w:rPr>
          <w:t>Technology and AI</w:t>
        </w:r>
      </w:hyperlink>
      <w:r>
        <w:rPr>
          <w:sz w:val="18"/>
        </w:rPr>
        <w:t xml:space="preserve">  ·  </w:t>
      </w:r>
      <w:hyperlink w:anchor="main_section_6">
        <w:r>
          <w:rPr>
            <w:color w:val="154F63"/>
            <w:u w:val="single"/>
          </w:rPr>
          <w:t>Progress and the next evidence milestones</w:t>
        </w:r>
      </w:hyperlink>
      <w:r>
        <w:rPr>
          <w:sz w:val="18"/>
        </w:rPr>
        <w:t xml:space="preserve">  ·  </w:t>
      </w:r>
      <w:hyperlink w:anchor="main_section_7">
        <w:r>
          <w:rPr>
            <w:color w:val="154F63"/>
            <w:u w:val="single"/>
          </w:rPr>
          <w:t>Customers and commercial approach</w:t>
        </w:r>
      </w:hyperlink>
      <w:r>
        <w:rPr>
          <w:sz w:val="18"/>
        </w:rPr>
        <w:t xml:space="preserve">  ·  </w:t>
      </w:r>
      <w:hyperlink w:anchor="main_section_8">
        <w:r>
          <w:rPr>
            <w:color w:val="154F63"/>
            <w:u w:val="single"/>
          </w:rPr>
          <w:t>Team funding and partner support</w:t>
        </w:r>
      </w:hyperlink>
      <w:r>
        <w:rPr>
          <w:sz w:val="18"/>
        </w:rPr>
        <w:t xml:space="preserve">  ·  </w:t>
      </w:r>
      <w:hyperlink w:anchor="main_section_9">
        <w:r>
          <w:rPr>
            <w:color w:val="154F63"/>
            <w:u w:val="single"/>
          </w:rPr>
          <w:t>Longer term development</w:t>
        </w:r>
      </w:hyperlink>
      <w:r>
        <w:rPr>
          <w:sz w:val="18"/>
        </w:rPr>
        <w:t xml:space="preserve">  ·  </w:t>
      </w:r>
      <w:hyperlink w:anchor="main_section_10">
        <w:r>
          <w:rPr>
            <w:color w:val="154F63"/>
            <w:u w:val="single"/>
          </w:rPr>
          <w:t>Supporting document library</w:t>
        </w:r>
      </w:hyperlink>
      <w:r>
        <w:rPr>
          <w:sz w:val="18"/>
        </w:rPr>
        <w:t xml:space="preserve">  ·  </w:t>
      </w:r>
      <w:hyperlink w:anchor="main_section_11">
        <w:r>
          <w:rPr>
            <w:color w:val="154F63"/>
            <w:u w:val="single"/>
          </w:rPr>
          <w:t>Sources and evidence notes</w:t>
        </w:r>
      </w:hyperlink>
    </w:p>
    <w:p>
      <w:pPr>
        <w:pStyle w:val="Heading1"/>
      </w:pPr>
      <w:bookmarkStart w:id="300001" w:name="main_section_1"/>
      <w:r>
        <w:t>1 Project summary</w:t>
      </w:r>
      <w:bookmarkEnd w:id="300001"/>
    </w:p>
    <w:p>
      <w:pPr>
        <w:keepLines/>
      </w:pPr>
      <w:r>
        <w:t>AMREYE.AI is developing an AI-assisted system for antimicrobial susceptibility testing, starting with digital reading of disk-diffusion plates. The first product, Reader V1, is intended to help microbiology laboratories capture a controlled image, measure inhibition zones and produce a traceable result for qualified human review. Its immediate purpose is to improve measurement and documentation around an established laboratory method.</w:t>
      </w:r>
    </w:p>
    <w:p>
      <w:pPr>
        <w:keepLines/>
      </w:pPr>
      <w:r>
        <w:t>The project is at proof-of-concept and early-prototype stage. The record describes system architecture, web and progressive web app interface work, a zone-analysis concept and technical documentation. The next milestone is a repeatable Reader V1 workflow supported by calibration data, a curated dataset and independent reference comparison. [P1]</w:t>
      </w:r>
    </w:p>
    <w:p>
      <w:pPr>
        <w:keepLines/>
      </w:pPr>
      <w:r>
        <w:t>Reader V1 is the starting point for a broader modular laboratory platform. The proposed software layer, SaaS-BAHU, would connect instruments, review workflows and laboratory records. Later configurations include controlled incubation, automated handling, time-series imaging and additional sensing, developed separately from the first reader.</w:t>
      </w:r>
    </w:p>
    <w:p>
      <w:pPr>
        <w:keepLines/>
      </w:pPr>
      <w:r>
        <w:t>Hospital microbiology laboratories and diagnostic laboratories are the intended initial customers. The proposed commercial model combines instrument sale or lease with software subscriptions and optional integration, maintenance and calibration services.</w:t>
      </w:r>
    </w:p>
    <w:p>
      <w:pPr>
        <w:keepLines/>
      </w:pPr>
      <w:r>
        <w:t>The investment case is a development opportunity: demonstrate a useful, reliable AST reader and expand from that foundation. The project seeks laboratory access, microbiology and engineering expertise, validation support and prototype funding. The ₹10 lakh working budget covers first core Reader V1 development, research and validation. Its allocation remains provisional. [P1, P6, P7]</w:t>
      </w:r>
    </w:p>
    <w:p>
      <w:pPr>
        <w:pStyle w:val="Heading2"/>
      </w:pPr>
      <w:r>
        <w:t>Current position at a glance</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80"/>
        <w:gridCol w:w="7920"/>
      </w:tblGrid>
      <w:tr>
        <w:trPr>
          <w:cantSplit/>
          <w:tblHeader/>
        </w:trPr>
        <w:tc>
          <w:tcPr>
            <w:tcW w:type="dxa" w:w="2880"/>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Area</w:t>
            </w:r>
          </w:p>
        </w:tc>
        <w:tc>
          <w:tcPr>
            <w:tcW w:type="dxa" w:w="7920"/>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Position supported by the project record</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First product</w:t>
            </w:r>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Reader V1 for endpoint disk-diffusion imaging and measurement</w:t>
            </w:r>
          </w:p>
        </w:tc>
      </w:tr>
      <w:tr>
        <w:trPr>
          <w:cantSplit/>
        </w:trPr>
        <w:tc>
          <w:tcPr>
            <w:tcW w:type="dxa" w:w="288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Development stage</w:t>
            </w:r>
          </w:p>
        </w:tc>
        <w:tc>
          <w:tcPr>
            <w:tcW w:type="dxa" w:w="792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Proof of concept and early prototype</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Current work</w:t>
            </w:r>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Architecture, interface development, zone-analysis concept and documentation</w:t>
            </w:r>
          </w:p>
        </w:tc>
      </w:tr>
      <w:tr>
        <w:trPr>
          <w:cantSplit/>
        </w:trPr>
        <w:tc>
          <w:tcPr>
            <w:tcW w:type="dxa" w:w="288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Next proof point</w:t>
            </w:r>
          </w:p>
        </w:tc>
        <w:tc>
          <w:tcPr>
            <w:tcW w:type="dxa" w:w="792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Repeatable calibrated measurement and independent reference comparison</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Initial users</w:t>
            </w:r>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Hospital and diagnostic microbiology laboratories</w:t>
            </w:r>
          </w:p>
        </w:tc>
      </w:tr>
      <w:tr>
        <w:trPr>
          <w:cantSplit/>
        </w:trPr>
        <w:tc>
          <w:tcPr>
            <w:tcW w:type="dxa" w:w="288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Business approach</w:t>
            </w:r>
          </w:p>
        </w:tc>
        <w:tc>
          <w:tcPr>
            <w:tcW w:type="dxa" w:w="792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Proposed instrument sale or lease plus software and services</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Longer term</w:t>
            </w:r>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Modular laboratory automation and separately evaluated advanced sensing</w:t>
            </w:r>
          </w:p>
        </w:tc>
      </w:tr>
    </w:tbl>
    <w:p>
      <w:pPr>
        <w:keepLines/>
      </w:pPr>
    </w:p>
    <w:p>
      <w:pPr>
        <w:keepLines/>
      </w:pPr>
      <w:r>
        <w:t>This overview contains the core project narrative. Supporting documents hold the detailed engineering, AI, validation, research, development and financial material.</w:t>
      </w:r>
    </w:p>
    <w:p>
      <w:pPr>
        <w:pStyle w:val="Heading1"/>
      </w:pPr>
      <w:bookmarkStart w:id="300002" w:name="main_section_2"/>
      <w:r>
        <w:t>2 The laboratory problem</w:t>
      </w:r>
      <w:bookmarkEnd w:id="300002"/>
    </w:p>
    <w:p>
      <w:pPr>
        <w:keepLines/>
      </w:pPr>
      <w:r>
        <w:t>Antimicrobial susceptibility testing, or AST, helps laboratories assess how a microorganism responds to antimicrobial agents under defined test conditions. In disk diffusion, the laboratory measures the zones of inhibited growth around antimicrobial disks. The measurement becomes meaningful only in the context of the organism, antimicrobial, method and applicable interpretation standard. [E2, E3]</w:t>
      </w:r>
    </w:p>
    <w:p>
      <w:pPr>
        <w:keepLines/>
      </w:pPr>
      <w:r>
        <w:t>Reader V1 addresses the work between a prepared, incubated plate and a reviewed digital result. That work includes identifying the plate and disks, acquiring a usable image, checking calibration, measuring zones, reviewing unusual boundaries and preserving the evidence used for interpretation. A reader can make this information easier to inspect and retrieve without changing the underlying biological test.</w:t>
      </w:r>
    </w:p>
    <w:p>
      <w:pPr>
        <w:keepLines/>
      </w:pPr>
      <w:r>
        <w:t>The intended benefits are more consistent image capture, less repeated transcription, clearer measurement review and easier retrieval of original evidence. Their value needs to be measured through staff time, review effort, errors and usefulness in representative laboratory workflows.</w:t>
      </w:r>
    </w:p>
    <w:p>
      <w:pPr>
        <w:keepLines/>
      </w:pPr>
      <w:r>
        <w:t>A 2022 survey of 100 responding clinical microbiologists in India reported that 71% used disk diffusion, 63% reported AST automation and 37% reported no AST automation. The respondents were weighted toward medical colleges and southern India. The study supports customer discovery around disk-diffusion workflows, but it is not a nationally representative estimate of market size or purchasing demand. [E1]</w:t>
      </w:r>
    </w:p>
    <w:p>
      <w:pPr>
        <w:keepLines/>
      </w:pPr>
      <w:r>
        <w:t>For an initial customer, usefulness depends on compatibility with existing plate workflows, reproducible measurements, visible and correctable boundaries, reliable records and practical maintenance.</w:t>
      </w:r>
    </w:p>
    <w:p>
      <w:pPr>
        <w:keepLines/>
      </w:pPr>
      <w:r>
        <w:t>Reader V1 reads plates after the required incubation. Faster image processing does not itself shorten that biological step; rapid AST is a separate research programme.</w:t>
      </w:r>
    </w:p>
    <w:p>
      <w:pPr>
        <w:pStyle w:val="Heading1"/>
      </w:pPr>
      <w:bookmarkStart w:id="300003" w:name="main_section_3"/>
      <w:r>
        <w:t>3 The product family</w:t>
      </w:r>
      <w:bookmarkEnd w:id="300003"/>
    </w:p>
    <w:p>
      <w:pPr>
        <w:keepLines/>
      </w:pPr>
      <w:r>
        <w:t>The product family shares a measurement and review foundation. Reader V1 is intended to establish that foundation for software services and later instruments. [P1, P2, P3, P6]</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088"/>
        <w:gridCol w:w="5328"/>
        <w:gridCol w:w="3384"/>
      </w:tblGrid>
      <w:tr>
        <w:trPr>
          <w:cantSplit/>
          <w:tblHeader/>
        </w:trPr>
        <w:tc>
          <w:tcPr>
            <w:tcW w:type="dxa" w:w="2088"/>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Product or layer</w:t>
            </w:r>
          </w:p>
        </w:tc>
        <w:tc>
          <w:tcPr>
            <w:tcW w:type="dxa" w:w="5328"/>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Intended role</w:t>
            </w:r>
          </w:p>
        </w:tc>
        <w:tc>
          <w:tcPr>
            <w:tcW w:type="dxa" w:w="3384"/>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Development position</w:t>
            </w:r>
          </w:p>
        </w:tc>
      </w:tr>
      <w:tr>
        <w:trPr>
          <w:cantSplit/>
        </w:trPr>
        <w:tc>
          <w:tcPr>
            <w:tcW w:type="dxa" w:w="208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Reader V1</w:t>
            </w:r>
          </w:p>
        </w:tc>
        <w:tc>
          <w:tcPr>
            <w:tcW w:type="dxa" w:w="532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Controlled plate imaging, calibrated zone measurement and human review</w:t>
            </w:r>
          </w:p>
        </w:tc>
        <w:tc>
          <w:tcPr>
            <w:tcW w:type="dxa" w:w="3384"/>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Immediate development priority</w:t>
            </w:r>
          </w:p>
        </w:tc>
      </w:tr>
      <w:tr>
        <w:trPr>
          <w:cantSplit/>
        </w:trPr>
        <w:tc>
          <w:tcPr>
            <w:tcW w:type="dxa" w:w="2088"/>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SaaS-BAHU</w:t>
            </w:r>
          </w:p>
        </w:tc>
        <w:tc>
          <w:tcPr>
            <w:tcW w:type="dxa" w:w="5328"/>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Software for review, versioned interpretation, records, administration and optional integrations</w:t>
            </w:r>
          </w:p>
        </w:tc>
        <w:tc>
          <w:tcPr>
            <w:tcW w:type="dxa" w:w="3384"/>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Proposed platform; interface and architecture work described</w:t>
            </w:r>
          </w:p>
        </w:tc>
      </w:tr>
      <w:tr>
        <w:trPr>
          <w:cantSplit/>
        </w:trPr>
        <w:tc>
          <w:tcPr>
            <w:tcW w:type="dxa" w:w="208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Plate information management</w:t>
            </w:r>
          </w:p>
        </w:tc>
        <w:tc>
          <w:tcPr>
            <w:tcW w:type="dxa" w:w="532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Link plate identity, source images, observations, corrections and exports</w:t>
            </w:r>
          </w:p>
        </w:tc>
        <w:tc>
          <w:tcPr>
            <w:tcW w:type="dxa" w:w="3384"/>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Proposed data foundation</w:t>
            </w:r>
          </w:p>
        </w:tc>
      </w:tr>
      <w:tr>
        <w:trPr>
          <w:cantSplit/>
        </w:trPr>
        <w:tc>
          <w:tcPr>
            <w:tcW w:type="dxa" w:w="2088"/>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Integrated Bio-Vault</w:t>
            </w:r>
          </w:p>
        </w:tc>
        <w:tc>
          <w:tcPr>
            <w:tcW w:type="dxa" w:w="5328"/>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Add qualified incubation, scheduled imaging and potentially automated plate handling</w:t>
            </w:r>
          </w:p>
        </w:tc>
        <w:tc>
          <w:tcPr>
            <w:tcW w:type="dxa" w:w="3384"/>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Later instrument configuration</w:t>
            </w:r>
          </w:p>
        </w:tc>
      </w:tr>
      <w:tr>
        <w:trPr>
          <w:cantSplit/>
        </w:trPr>
        <w:tc>
          <w:tcPr>
            <w:tcW w:type="dxa" w:w="208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APEX XR</w:t>
            </w:r>
          </w:p>
        </w:tc>
        <w:tc>
          <w:tcPr>
            <w:tcW w:type="dxa" w:w="532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Advanced flagship configuration with additional sensing, compute and automation</w:t>
            </w:r>
          </w:p>
        </w:tc>
        <w:tc>
          <w:tcPr>
            <w:tcW w:type="dxa" w:w="3384"/>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Proposed architecture and research programme</w:t>
            </w:r>
          </w:p>
        </w:tc>
      </w:tr>
      <w:tr>
        <w:trPr>
          <w:cantSplit/>
        </w:trPr>
        <w:tc>
          <w:tcPr>
            <w:tcW w:type="dxa" w:w="2088"/>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Sector-specific modules</w:t>
            </w:r>
          </w:p>
        </w:tc>
        <w:tc>
          <w:tcPr>
            <w:tcW w:type="dxa" w:w="5328"/>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Adapt workflows for additional laboratories and One Health applications</w:t>
            </w:r>
          </w:p>
        </w:tc>
        <w:tc>
          <w:tcPr>
            <w:tcW w:type="dxa" w:w="3384"/>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Future expansion requiring separate evidence</w:t>
            </w:r>
          </w:p>
        </w:tc>
      </w:tr>
    </w:tbl>
    <w:p>
      <w:pPr>
        <w:keepLines/>
      </w:pPr>
    </w:p>
    <w:p>
      <w:pPr>
        <w:pStyle w:val="Heading2"/>
      </w:pPr>
      <w:r>
        <w:t>Reader V1</w:t>
      </w:r>
    </w:p>
    <w:p>
      <w:pPr>
        <w:keepLines/>
      </w:pPr>
      <w:r>
        <w:t>Reader V1 is intended to work with an existing qualified laboratory incubator and a controlled image-capture station. This separates the initial measurement problem from the engineering of an integrated incubation chamber. The first useful output is a reviewable record connecting the plate image, measured diameter, interpretation context and reviewer decision.</w:t>
      </w:r>
    </w:p>
    <w:p>
      <w:pPr>
        <w:keepLines/>
      </w:pPr>
      <w:r>
        <w:t>The design prioritizes controlled illumination, repeatable positioning, suitable optics and dimensional calibration. Hardware and software selection depends on measured performance on representative plates.</w:t>
      </w:r>
    </w:p>
    <w:p>
      <w:pPr>
        <w:pStyle w:val="Heading2"/>
      </w:pPr>
      <w:r>
        <w:t>Software and records</w:t>
      </w:r>
    </w:p>
    <w:p>
      <w:pPr>
        <w:keepLines/>
      </w:pPr>
      <w:r>
        <w:t>SaaS-BAHU is the proposed software and service layer for reviewing results, retrieving evidence and connecting approved records to other laboratory systems. Customer discovery will inform which functions belong in a subscription.</w:t>
      </w:r>
    </w:p>
    <w:p>
      <w:pPr>
        <w:keepLines/>
      </w:pPr>
      <w:r>
        <w:t>The plate information management concept provides a persistent record for each plate. It separates observed measurements from estimates, corrections and simulated values. The main benefit is a clearer evidence record; predictive digital twins are a later research objective.</w:t>
      </w:r>
    </w:p>
    <w:p>
      <w:pPr>
        <w:pStyle w:val="Heading2"/>
      </w:pPr>
      <w:r>
        <w:t>Integrated and advanced configurations</w:t>
      </w:r>
    </w:p>
    <w:p>
      <w:pPr>
        <w:keepLines/>
      </w:pPr>
      <w:r>
        <w:t>Bio-Vault and APEX XR describe broader instrument ambitions involving temperature control, condensation management, scheduling and mechanical handling. Their proposed architectures and service requirements are detailed in the development companion.</w:t>
      </w:r>
    </w:p>
    <w:p>
      <w:pPr>
        <w:keepLines/>
      </w:pPr>
      <w:r>
        <w:t>A future direct minimum inhibitory concentration (MIC) module would use a qualified broth microdilution workflow; prediction of MIC from images is a separate research task.</w:t>
      </w:r>
    </w:p>
    <w:p>
      <w:pPr>
        <w:pStyle w:val="Heading1"/>
      </w:pPr>
      <w:bookmarkStart w:id="300004" w:name="main_section_4"/>
      <w:r>
        <w:t>4 How Reader V1 is intended to work</w:t>
      </w:r>
      <w:bookmarkEnd w:id="300004"/>
    </w:p>
    <w:p>
      <w:pPr>
        <w:keepLines/>
      </w:pPr>
      <w:r>
        <w:t>Reader V1 is designed around a sequence that a microbiologist can inspect. The diagram summarizes the proposed workflow from plate identity to reviewed export. [P1]</w:t>
      </w:r>
    </w:p>
    <w:p>
      <w:pPr>
        <w:keepLines/>
      </w:pPr>
      <w:r>
        <w:drawing>
          <wp:inline xmlns:a="http://schemas.openxmlformats.org/drawingml/2006/main" xmlns:pic="http://schemas.openxmlformats.org/drawingml/2006/picture">
            <wp:extent cx="6720840" cy="2168998"/>
            <wp:docPr id="1" name="Picture 1"/>
            <wp:cNvGraphicFramePr>
              <a:graphicFrameLocks noChangeAspect="1"/>
            </wp:cNvGraphicFramePr>
            <a:graphic>
              <a:graphicData uri="http://schemas.openxmlformats.org/drawingml/2006/picture">
                <pic:pic>
                  <pic:nvPicPr>
                    <pic:cNvPr id="0" name="image13.png"/>
                    <pic:cNvPicPr/>
                  </pic:nvPicPr>
                  <pic:blipFill>
                    <a:blip r:embed="rId11"/>
                    <a:stretch>
                      <a:fillRect/>
                    </a:stretch>
                  </pic:blipFill>
                  <pic:spPr>
                    <a:xfrm>
                      <a:off x="0" y="0"/>
                      <a:ext cx="6720840" cy="2168998"/>
                    </a:xfrm>
                    <a:prstGeom prst="rect"/>
                  </pic:spPr>
                </pic:pic>
              </a:graphicData>
            </a:graphic>
          </wp:inline>
        </w:drawing>
      </w:r>
    </w:p>
    <w:p>
      <w:pPr>
        <w:pStyle w:val="Caption"/>
      </w:pPr>
      <w:r>
        <w:t>Reader V1 proposed workflow  |  Conceptual diagram retained from the source master</w:t>
      </w:r>
    </w:p>
    <w:p>
      <w:pPr>
        <w:keepLines/>
      </w:pPr>
      <w:r>
        <w:t xml:space="preserve">1. </w:t>
      </w:r>
      <w:r>
        <w:rPr>
          <w:b/>
        </w:rPr>
        <w:t>Register the plate.</w:t>
      </w:r>
      <w:r>
        <w:t xml:space="preserve"> Link its identity and test context to the correct specimen workflow.</w:t>
      </w:r>
    </w:p>
    <w:p>
      <w:pPr>
        <w:keepLines/>
      </w:pPr>
      <w:r>
        <w:t xml:space="preserve">2. </w:t>
      </w:r>
      <w:r>
        <w:rPr>
          <w:b/>
        </w:rPr>
        <w:t>Capture a controlled image.</w:t>
      </w:r>
      <w:r>
        <w:t xml:space="preserve"> Use a defined camera, lighting and plate position; retain the original image and capture settings.</w:t>
      </w:r>
    </w:p>
    <w:p>
      <w:pPr>
        <w:keepLines/>
      </w:pPr>
      <w:r>
        <w:t xml:space="preserve">3. </w:t>
      </w:r>
      <w:r>
        <w:rPr>
          <w:b/>
        </w:rPr>
        <w:t>Measure with calibration.</w:t>
      </w:r>
      <w:r>
        <w:t xml:space="preserve"> Locate disks and zone boundaries, convert distances to physical units and flag unreliable readings.</w:t>
      </w:r>
    </w:p>
    <w:p>
      <w:pPr>
        <w:keepLines/>
      </w:pPr>
      <w:r>
        <w:t xml:space="preserve">4. </w:t>
      </w:r>
      <w:r>
        <w:rPr>
          <w:b/>
        </w:rPr>
        <w:t>Apply interpretation rules.</w:t>
      </w:r>
      <w:r>
        <w:t xml:space="preserve"> Use the applicable organism, antimicrobial, method and standards version, keeping measurement and interpretation distinct.</w:t>
      </w:r>
    </w:p>
    <w:p>
      <w:pPr>
        <w:keepLines/>
      </w:pPr>
      <w:r>
        <w:t xml:space="preserve">5. </w:t>
      </w:r>
      <w:r>
        <w:rPr>
          <w:b/>
        </w:rPr>
        <w:t>Review the evidence.</w:t>
      </w:r>
      <w:r>
        <w:t xml:space="preserve"> Present the image and boundaries to a qualified reviewer; preserve corrections and their reasons.</w:t>
      </w:r>
    </w:p>
    <w:p>
      <w:pPr>
        <w:keepLines/>
      </w:pPr>
      <w:r>
        <w:t xml:space="preserve">6. </w:t>
      </w:r>
      <w:r>
        <w:rPr>
          <w:b/>
        </w:rPr>
        <w:t>Export the reviewed record.</w:t>
      </w:r>
      <w:r>
        <w:t xml:space="preserve"> Transfer the result through the agreed laboratory workflow and a tested interface.</w:t>
      </w:r>
    </w:p>
    <w:p>
      <w:pPr>
        <w:pStyle w:val="Heading2"/>
      </w:pPr>
      <w:r>
        <w:t>What makes the record useful</w:t>
      </w:r>
    </w:p>
    <w:p>
      <w:pPr>
        <w:keepLines/>
      </w:pPr>
      <w:r>
        <w:t>The original image, calibration context and reviewed boundary allow another qualified person to understand what the instrument saw and how the result was reached.</w:t>
      </w:r>
    </w:p>
    <w:p>
      <w:pPr>
        <w:keepLines/>
      </w:pPr>
      <w:r>
        <w:t>Condensation, glare, weak or irregular boundaries, overlapping zones and poor capture conditions can make a plate unsuitable for automated reading. These cases need a clear path to recapture or manual review.</w:t>
      </w:r>
    </w:p>
    <w:p>
      <w:pPr>
        <w:keepLines/>
      </w:pPr>
      <w:r>
        <w:t>Detailed operating rules, data fields and exception handling are in the product, AI and validation companions.</w:t>
      </w:r>
    </w:p>
    <w:p>
      <w:pPr>
        <w:pStyle w:val="Heading1"/>
      </w:pPr>
      <w:bookmarkStart w:id="300005" w:name="main_section_5"/>
      <w:r>
        <w:t>5 Technology and AI</w:t>
      </w:r>
      <w:bookmarkEnd w:id="300005"/>
    </w:p>
    <w:p>
      <w:pPr>
        <w:keepLines/>
      </w:pPr>
      <w:r>
        <w:t>The technology separates image acquisition, geometric measurement, rule-based interpretation and human review. This makes it possible to examine where a result came from and where uncertainty arose. [P2, P3]</w:t>
      </w:r>
    </w:p>
    <w:p>
      <w:pPr>
        <w:pStyle w:val="Heading2"/>
      </w:pPr>
      <w:r>
        <w:t>Imaging and sensing</w:t>
      </w:r>
    </w:p>
    <w:p>
      <w:pPr>
        <w:keepLines/>
      </w:pPr>
      <w:r>
        <w:t>The hardware needs to reproduce measurements across changes in plate placement, lighting, operator and day. Calibration, optical distortion and capture geometry therefore matter as much as image resolution.</w:t>
      </w:r>
    </w:p>
    <w:p>
      <w:pPr>
        <w:keepLines/>
      </w:pPr>
      <w:r>
        <w:t>The wider sensing programme considers optical, environmental and other physical signals. Each additional sensor needs to provide useful information beyond the existing workflow; sensor count alone does not establish biological specificity.</w:t>
      </w:r>
    </w:p>
    <w:p>
      <w:pPr>
        <w:pStyle w:val="Heading2"/>
      </w:pPr>
      <w:r>
        <w:t>AI functions</w:t>
      </w:r>
    </w:p>
    <w:p>
      <w:pPr>
        <w:keepLines/>
      </w:pPr>
      <w:r>
        <w:t>Computer vision may assist with plate and disk localization, image-quality assessment and zone-boundary estimation. Candidate models will need comparison with simpler image-processing methods for reliability, inspectability and performance on the intended hardware.</w:t>
      </w:r>
    </w:p>
    <w:p>
      <w:pPr>
        <w:keepLines/>
      </w:pPr>
      <w:r>
        <w:t>The AI workflow needs to flag low-quality, unfamiliar or ambiguous inputs for review or recapture. Confidence scores require testing against observed errors.</w:t>
      </w:r>
    </w:p>
    <w:p>
      <w:pPr>
        <w:keepLines/>
      </w:pPr>
      <w:r>
        <w:t>Proposed local or offline operation would reduce dependence on a continuous network connection. Compute options remain candidates pending assessment of workload, memory, power, heat and maintenance needs.</w:t>
      </w:r>
    </w:p>
    <w:p>
      <w:pPr>
        <w:pStyle w:val="Heading2"/>
      </w:pPr>
      <w:r>
        <w:t>Data and integration</w:t>
      </w:r>
    </w:p>
    <w:p>
      <w:pPr>
        <w:keepLines/>
      </w:pPr>
      <w:r>
        <w:t>The data design connects original observations, measurements, interpretation versions and reviewer changes. Measured, corrected, inferred and simulated values remain distinguishable, including when demonstrations or research models appear alongside laboratory data.</w:t>
      </w:r>
    </w:p>
    <w:p>
      <w:pPr>
        <w:keepLines/>
      </w:pPr>
      <w:r>
        <w:t>Connections to laboratory information and management systems are proposed capabilities. Each requires an agreed data format and result workflow; completed customer-site integrations are not established by the record.</w:t>
      </w:r>
    </w:p>
    <w:p>
      <w:pPr>
        <w:pStyle w:val="Heading2"/>
      </w:pPr>
      <w:r>
        <w:t>Digital twins and advanced inference</w:t>
      </w:r>
    </w:p>
    <w:p>
      <w:pPr>
        <w:keepLines/>
      </w:pPr>
      <w:r>
        <w:t>A digital plate record supports review and research. Predictive digital twins would add models tested against the physical system. Phenotype-to-genotype inference, novel MIC estimation and volatile organic compound (VOC) signatures also remain research topics, distinct from measured molecular findings.</w:t>
      </w:r>
    </w:p>
    <w:p>
      <w:pPr>
        <w:pStyle w:val="Heading1"/>
      </w:pPr>
      <w:bookmarkStart w:id="300006" w:name="main_section_6"/>
      <w:r>
        <w:t>6 Progress and the next evidence milestones</w:t>
      </w:r>
      <w:bookmarkEnd w:id="300006"/>
    </w:p>
    <w:p>
      <w:pPr>
        <w:keepLines/>
      </w:pPr>
      <w:r>
        <w:t>The next task is to turn the documented architecture, interface work and zone-analysis concept into a reproducible end-to-end reader. The milestones below describe the project-specific evidence needed to advance. [P1, P4, P5, P6]</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80"/>
        <w:gridCol w:w="7920"/>
      </w:tblGrid>
      <w:tr>
        <w:trPr>
          <w:cantSplit/>
          <w:tblHeader/>
        </w:trPr>
        <w:tc>
          <w:tcPr>
            <w:tcW w:type="dxa" w:w="2880"/>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Milestone</w:t>
            </w:r>
          </w:p>
        </w:tc>
        <w:tc>
          <w:tcPr>
            <w:tcW w:type="dxa" w:w="7920"/>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Evidence that would make progress visible</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Controlled capture and calibration</w:t>
            </w:r>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Repeatable measurements on suitable reference targets and documented variation across capture conditions</w:t>
            </w:r>
          </w:p>
        </w:tc>
      </w:tr>
      <w:tr>
        <w:trPr>
          <w:cantSplit/>
        </w:trPr>
        <w:tc>
          <w:tcPr>
            <w:tcW w:type="dxa" w:w="288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Reader workflow</w:t>
            </w:r>
          </w:p>
        </w:tc>
        <w:tc>
          <w:tcPr>
            <w:tcW w:type="dxa" w:w="792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A plate record that connects the original image, measurement, interpretation context, reviewer action and export</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Reference comparison</w:t>
            </w:r>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A defined comparison with independent qualified readings on representative plates</w:t>
            </w:r>
          </w:p>
        </w:tc>
      </w:tr>
      <w:tr>
        <w:trPr>
          <w:cantSplit/>
        </w:trPr>
        <w:tc>
          <w:tcPr>
            <w:tcW w:type="dxa" w:w="288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Reproducibility</w:t>
            </w:r>
          </w:p>
        </w:tc>
        <w:tc>
          <w:tcPr>
            <w:tcW w:type="dxa" w:w="792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Performance assessed across relevant operators, devices, days and laboratory conditions</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Supervised pilot readiness</w:t>
            </w:r>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A usable instrument and workflow with the evidence and support needed for the agreed pilot setting</w:t>
            </w:r>
          </w:p>
        </w:tc>
      </w:tr>
      <w:tr>
        <w:trPr>
          <w:cantSplit/>
        </w:trPr>
        <w:tc>
          <w:tcPr>
            <w:tcW w:type="dxa" w:w="288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Later rapid or integrated functions</w:t>
            </w:r>
          </w:p>
        </w:tc>
        <w:tc>
          <w:tcPr>
            <w:tcW w:type="dxa" w:w="792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Separate studies addressing the additional biological and engineering questions</w:t>
            </w:r>
          </w:p>
        </w:tc>
      </w:tr>
    </w:tbl>
    <w:p>
      <w:pPr>
        <w:keepLines/>
      </w:pPr>
    </w:p>
    <w:p>
      <w:pPr>
        <w:keepLines/>
      </w:pPr>
      <w:r>
        <w:t>External automated and smartphone-assisted disk-diffusion studies provide useful comparators for architecture and evaluation. Their results do not establish AMREYE.AI performance. [E4, P5]</w:t>
      </w:r>
    </w:p>
    <w:p>
      <w:pPr>
        <w:keepLines/>
      </w:pPr>
      <w:r>
        <w:t>Reference comparison needs to examine both measurement differences and consequential interpretation errors. A diameter difference may leave a category unchanged, while a smaller difference near a breakpoint may matter. The validation companion retains the proposed endpoints and error analysis.</w:t>
      </w:r>
    </w:p>
    <w:p>
      <w:pPr>
        <w:keepLines/>
      </w:pPr>
      <w:r>
        <w:t>Clinical validation, regulatory clearance, project-specific accuracy, paying customers and accepted commercial pricing are not established by the current record. It also does not confirm completed IP filing or company/LLP registration, or a commercial launch date.</w:t>
      </w:r>
    </w:p>
    <w:p>
      <w:pPr>
        <w:keepLines/>
      </w:pPr>
      <w:r>
        <w:t>The main development risk is achieving repeatable performance in the intended laboratory workflow. That evidence comes before expansion into rapid testing, integrated incubation or advanced biological inference.</w:t>
      </w:r>
    </w:p>
    <w:p>
      <w:pPr>
        <w:pStyle w:val="Heading1"/>
      </w:pPr>
      <w:bookmarkStart w:id="300007" w:name="main_section_7"/>
      <w:r>
        <w:t>7 Customers and commercial approach</w:t>
      </w:r>
      <w:bookmarkEnd w:id="300007"/>
    </w:p>
    <w:p>
      <w:pPr>
        <w:keepLines/>
      </w:pPr>
      <w:r>
        <w:t>Initial customer discovery focuses on hospital and diagnostic microbiology laboratories: their measurement and review workload, record retrieval, service needs and integration with existing systems. It will test whether these needs justify a new instrument or software service. [P1]</w:t>
      </w:r>
    </w:p>
    <w:p>
      <w:pPr>
        <w:pStyle w:val="Heading2"/>
      </w:pPr>
      <w:r>
        <w:t>Intended differentiation</w:t>
      </w:r>
    </w:p>
    <w:p>
      <w:pPr>
        <w:keepLines/>
      </w:pPr>
      <w:r>
        <w:t>AMREYE.AI's proposed position combines an AST-focused starting point with inspectable measurements, human review, offline operation and modular expansion. Local serviceability and affordability are key hypotheses for initial work in India. Adaptation to other regions would use appropriate methods, standards and interfaces.</w:t>
      </w:r>
    </w:p>
    <w:p>
      <w:pPr>
        <w:keepLines/>
      </w:pPr>
      <w:r>
        <w:t>Established digital readers, automated AST systems and laboratory automation platforms include BIOMIC, VITEK, Phoenix, WASPLab, Reshape and COPAN Radian. Their scopes differ, from reading assistance to integrated automation. AMREYE.AI's proposed role is a smaller modular reader and data layer, a positioning hypothesis that needs customer and comparative evidence. [P1, P5]</w:t>
      </w:r>
    </w:p>
    <w:p>
      <w:pPr>
        <w:keepLines/>
      </w:pPr>
      <w:r>
        <w:t>Comparison will need to cover the intended workflow, measurement performance, record quality, staff effort and full cost of ownership.</w:t>
      </w:r>
    </w:p>
    <w:p>
      <w:pPr>
        <w:pStyle w:val="Heading2"/>
      </w:pPr>
      <w:r>
        <w:t>Proposed revenue model</w:t>
      </w:r>
    </w:p>
    <w:p>
      <w:pPr>
        <w:keepLines/>
      </w:pPr>
      <w:r>
        <w:t>The working model is an instrument sale or lease supported by a recurring software subscription. Potential additional revenue includes optional workflow modules, custom integrations, annual maintenance and calibration. Packaging depends on what laboratories value and what the project can reliably support.</w:t>
      </w:r>
    </w:p>
    <w:p>
      <w:pPr>
        <w:keepLines/>
      </w:pPr>
      <w:r>
        <w:t>Installation, training, calibration, support, replacement parts and downtime all contribute to the laboratory's cost and ability to use the product successfully.</w:t>
      </w:r>
    </w:p>
    <w:p>
      <w:pPr>
        <w:pStyle w:val="Heading2"/>
      </w:pPr>
      <w:r>
        <w:t>Route to initial adoption</w:t>
      </w:r>
    </w:p>
    <w:p>
      <w:pPr>
        <w:keepLines/>
      </w:pPr>
      <w:r>
        <w:t>The proposed route starts with laboratory discovery and co-design with microbiologists and engineering partners, followed by a small number of supervised validation or pilot settings. Pilot sites and distribution arrangements remain to be established.</w:t>
      </w:r>
    </w:p>
    <w:p>
      <w:pPr>
        <w:keepLines/>
      </w:pPr>
      <w:r>
        <w:t>Veterinary, food, water, environmental and other One Health laboratories are possible later markets. Their methods, samples and interpretation requirements call for separate evaluation.</w:t>
      </w:r>
    </w:p>
    <w:p>
      <w:pPr>
        <w:pStyle w:val="Heading1"/>
      </w:pPr>
      <w:bookmarkStart w:id="300008" w:name="main_section_8"/>
      <w:r>
        <w:t>8 Team funding and partner support</w:t>
      </w:r>
      <w:bookmarkEnd w:id="300008"/>
    </w:p>
    <w:p>
      <w:pPr>
        <w:keepLines/>
      </w:pPr>
      <w:r>
        <w:t>The recorded project team comprises Namdev Tukaram Shirodkar, Tanishq Chari, Mahima Naik and Herambh Prabhu Dessai. [P1]</w:t>
      </w:r>
    </w:p>
    <w:p>
      <w:pPr>
        <w:keepLines/>
      </w:pPr>
      <w:r>
        <w:t>The project seeks microbiology and med-tech mentorship, laboratory access, prototype facilities, validation and statistical guidance, and funding introductions. The near-term objective is a working reader, curated dataset and reference comparison sufficient to support a supervised pilot.</w:t>
      </w:r>
    </w:p>
    <w:p>
      <w:pPr>
        <w:pStyle w:val="Heading2"/>
      </w:pPr>
      <w:r>
        <w:t>Core Reader V1 development and research budget</w:t>
      </w:r>
    </w:p>
    <w:p>
      <w:pPr>
        <w:keepLines/>
      </w:pPr>
      <w:r>
        <w:t>The ₹10 lakh working budget covers development of the first core version, Reader V1, together with supporting research and validation. It includes prototype hardware, software and dataset work, consumables, reference testing and laboratory studies. The allocation remains provisional; the later Bio-Vault and APEX XR programme requires a separate budget. This working ask does not represent secured funding or supplier quotations. [P7]</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8352"/>
        <w:gridCol w:w="2448"/>
      </w:tblGrid>
      <w:tr>
        <w:trPr>
          <w:cantSplit/>
          <w:tblHeader/>
        </w:trPr>
        <w:tc>
          <w:tcPr>
            <w:tcW w:type="dxa" w:w="8352"/>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Workstream</w:t>
            </w:r>
          </w:p>
        </w:tc>
        <w:tc>
          <w:tcPr>
            <w:tcW w:type="dxa" w:w="2448"/>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Planning allocation</w:t>
            </w:r>
          </w:p>
        </w:tc>
      </w:tr>
      <w:tr>
        <w:trPr>
          <w:cantSplit/>
        </w:trPr>
        <w:tc>
          <w:tcPr>
            <w:tcW w:type="dxa" w:w="8352"/>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Mechanics and enclosure</w:t>
            </w:r>
          </w:p>
        </w:tc>
        <w:tc>
          <w:tcPr>
            <w:tcW w:type="dxa" w:w="244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₹2,20,000</w:t>
            </w:r>
          </w:p>
        </w:tc>
      </w:tr>
      <w:tr>
        <w:trPr>
          <w:cantSplit/>
        </w:trPr>
        <w:tc>
          <w:tcPr>
            <w:tcW w:type="dxa" w:w="8352"/>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Imaging lighting compute and sensors</w:t>
            </w:r>
          </w:p>
        </w:tc>
        <w:tc>
          <w:tcPr>
            <w:tcW w:type="dxa" w:w="2448"/>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₹1,60,000</w:t>
            </w:r>
          </w:p>
        </w:tc>
      </w:tr>
      <w:tr>
        <w:trPr>
          <w:cantSplit/>
        </w:trPr>
        <w:tc>
          <w:tcPr>
            <w:tcW w:type="dxa" w:w="8352"/>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Consumables and reference testing</w:t>
            </w:r>
          </w:p>
        </w:tc>
        <w:tc>
          <w:tcPr>
            <w:tcW w:type="dxa" w:w="244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₹1,20,000</w:t>
            </w:r>
          </w:p>
        </w:tc>
      </w:tr>
      <w:tr>
        <w:trPr>
          <w:cantSplit/>
        </w:trPr>
        <w:tc>
          <w:tcPr>
            <w:tcW w:type="dxa" w:w="8352"/>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Dataset software and cloud</w:t>
            </w:r>
          </w:p>
        </w:tc>
        <w:tc>
          <w:tcPr>
            <w:tcW w:type="dxa" w:w="2448"/>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₹1,00,000</w:t>
            </w:r>
          </w:p>
        </w:tc>
      </w:tr>
      <w:tr>
        <w:trPr>
          <w:cantSplit/>
        </w:trPr>
        <w:tc>
          <w:tcPr>
            <w:tcW w:type="dxa" w:w="8352"/>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Partner laboratory study QA and statistics</w:t>
            </w:r>
          </w:p>
        </w:tc>
        <w:tc>
          <w:tcPr>
            <w:tcW w:type="dxa" w:w="244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₹1,50,000</w:t>
            </w:r>
          </w:p>
        </w:tc>
      </w:tr>
      <w:tr>
        <w:trPr>
          <w:cantSplit/>
        </w:trPr>
        <w:tc>
          <w:tcPr>
            <w:tcW w:type="dxa" w:w="8352"/>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Manufacturing IP regulatory preparation and contingency</w:t>
            </w:r>
          </w:p>
        </w:tc>
        <w:tc>
          <w:tcPr>
            <w:tcW w:type="dxa" w:w="2448"/>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₹2,50,000</w:t>
            </w:r>
          </w:p>
        </w:tc>
      </w:tr>
      <w:tr>
        <w:trPr>
          <w:cantSplit/>
        </w:trPr>
        <w:tc>
          <w:tcPr>
            <w:tcW w:type="dxa" w:w="8352"/>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Total working ask</w:t>
            </w:r>
          </w:p>
        </w:tc>
        <w:tc>
          <w:tcPr>
            <w:tcW w:type="dxa" w:w="2448"/>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₹10,00,000</w:t>
            </w:r>
          </w:p>
        </w:tc>
      </w:tr>
    </w:tbl>
    <w:p>
      <w:pPr>
        <w:keepLines/>
      </w:pPr>
    </w:p>
    <w:p>
      <w:pPr>
        <w:pStyle w:val="Heading2"/>
      </w:pPr>
      <w:r>
        <w:t>Financial assumptions that remain open</w:t>
      </w:r>
    </w:p>
    <w:p>
      <w:pPr>
        <w:keepLines/>
      </w:pPr>
      <w:r>
        <w:t>The retained Reader V1 reference BOM totals approximately ₹69,242 before unresolved charges. It covers the defined prototype component configuration; the ₹10 lakh programme budget also funds development, research and validation. The component observations date from 13–14 September 2026 and still need supplier quotations, tax, shipping and compatibility checks. [P7]</w:t>
      </w:r>
    </w:p>
    <w:p>
      <w:pPr>
        <w:keepLines/>
      </w:pPr>
      <w:r>
        <w:t>The financial companion preserves component lists, illustrative instrument economics and a five-year scenario. Reader V1, integrated Bio-Vault and APEX XR have different scopes and cost assumptions.</w:t>
      </w:r>
    </w:p>
    <w:p>
      <w:pPr>
        <w:keepLines/>
      </w:pPr>
      <w:r>
        <w:t>One integrated-platform model uses a summary BOM of ₹1,85,000 while the detailed component sum is ₹1,85,500. The ₹500 difference remains unresolved in the source. The modelled ₹2,00,000 hardware cost uses the summary figure plus assembly and testing. This overview does not treat either number as a confirmed Reader V1 manufacturing cost.</w:t>
      </w:r>
    </w:p>
    <w:p>
      <w:pPr>
        <w:keepLines/>
      </w:pPr>
      <w:r>
        <w:t>Price, subscription, hosting and deployment assumptions need customer evidence and a fuller cost model. Support, warranty, calibration, training, distribution, quality work and working capital can materially affect the economics. The full scenarios remain available in the financial companion.</w:t>
      </w:r>
    </w:p>
    <w:p>
      <w:pPr>
        <w:pStyle w:val="Heading1"/>
      </w:pPr>
      <w:bookmarkStart w:id="300009" w:name="main_section_9"/>
      <w:r>
        <w:t>9 Longer term development</w:t>
      </w:r>
      <w:bookmarkEnd w:id="300009"/>
    </w:p>
    <w:p>
      <w:pPr>
        <w:keepLines/>
      </w:pPr>
      <w:r>
        <w:t>The broader vision is a modular laboratory platform built on the Reader V1 measurement and record foundation. [P2, P3, P6]</w:t>
      </w:r>
    </w:p>
    <w:p>
      <w:pPr>
        <w:pStyle w:val="Heading2"/>
      </w:pPr>
      <w:r>
        <w:t>Rapid and time series AST</w:t>
      </w:r>
    </w:p>
    <w:p>
      <w:pPr>
        <w:keepLines/>
      </w:pPr>
      <w:r>
        <w:t>Time-series imaging could support research into earlier useful readings. Rapid workflows need evaluation for their specific methods, organisms, antimicrobials and reading times; routine endpoint rules cannot simply be applied to an earlier image.</w:t>
      </w:r>
    </w:p>
    <w:p>
      <w:pPr>
        <w:pStyle w:val="Heading2"/>
      </w:pPr>
      <w:r>
        <w:t>Integrated instruments</w:t>
      </w:r>
    </w:p>
    <w:p>
      <w:pPr>
        <w:keepLines/>
      </w:pPr>
      <w:r>
        <w:t>An integrated Bio-Vault would combine capture and controlled incubation. Plate handling and scheduling could reduce manual steps while adding mechanical, environmental and service requirements.</w:t>
      </w:r>
    </w:p>
    <w:p>
      <w:pPr>
        <w:pStyle w:val="Heading2"/>
      </w:pPr>
      <w:r>
        <w:t>APEX XR and advanced sensing</w:t>
      </w:r>
    </w:p>
    <w:p>
      <w:pPr>
        <w:keepLines/>
      </w:pPr>
      <w:r>
        <w:t>APEX XR is the proposed flagship research configuration, combining more advanced sensing, compute, automation and software. Its subsystem concepts and hardware options are retained in the development companion.</w:t>
      </w:r>
    </w:p>
    <w:p>
      <w:pPr>
        <w:pStyle w:val="Heading2"/>
      </w:pPr>
      <w:r>
        <w:t>Research and sector expansion</w:t>
      </w:r>
    </w:p>
    <w:p>
      <w:pPr>
        <w:keepLines/>
      </w:pPr>
      <w:r>
        <w:t>The research backlog includes additional sensing, digital twins, phenotype-to-genotype inference and complex resistance-related phenomena. Environmental and other One Health workstreams may reuse parts of the platform with their own methods and evidence.</w:t>
      </w:r>
    </w:p>
    <w:p>
      <w:pPr>
        <w:keepLines/>
      </w:pPr>
      <w:r>
        <w:t>The proposed sequence moves from measurement performance to the endpoint AST workflow and supervised evaluation, followed by assessment of rapid methods and more complex automation.</w:t>
      </w:r>
    </w:p>
    <w:p>
      <w:pPr>
        <w:pStyle w:val="Heading1"/>
      </w:pPr>
      <w:bookmarkStart w:id="300010" w:name="main_section_10"/>
      <w:r>
        <w:t>10 Supporting document library</w:t>
      </w:r>
      <w:bookmarkEnd w:id="300010"/>
    </w:p>
    <w:p>
      <w:pPr>
        <w:keepLines/>
      </w:pPr>
      <w:r>
        <w:t>The supporting library retains the detailed source material for specialist review, with current work, proposed engineering and future research distinguished within each document.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80"/>
        <w:gridCol w:w="7920"/>
      </w:tblGrid>
      <w:tr>
        <w:trPr>
          <w:cantSplit/>
          <w:tblHeader/>
        </w:trPr>
        <w:tc>
          <w:tcPr>
            <w:tcW w:type="dxa" w:w="2880"/>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Supporting document</w:t>
            </w:r>
          </w:p>
        </w:tc>
        <w:tc>
          <w:tcPr>
            <w:tcW w:type="dxa" w:w="7920"/>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20"/>
              </w:rPr>
              <w:t>Use it for</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hyperlink r:id="rId12">
              <w:r>
                <w:rPr>
                  <w:color w:val="154F63"/>
                  <w:u w:val="single"/>
                </w:rPr>
                <w:t>Product and Laboratory Workflows</w:t>
              </w:r>
            </w:hyperlink>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Detailed product functions, laboratory workflows, intended applications and sector boundaries</w:t>
            </w:r>
          </w:p>
        </w:tc>
      </w:tr>
      <w:tr>
        <w:trPr>
          <w:cantSplit/>
        </w:trPr>
        <w:tc>
          <w:tcPr>
            <w:tcW w:type="dxa" w:w="2880"/>
            <w:shd w:fill="F0F4F6"/>
            <w:tcMar>
              <w:top w:w="85" w:type="dxa"/>
              <w:left w:w="100" w:type="dxa"/>
              <w:bottom w:w="85" w:type="dxa"/>
              <w:right w:w="100" w:type="dxa"/>
            </w:tcMar>
            <w:vAlign w:val="center"/>
          </w:tcPr>
          <w:p>
            <w:pPr>
              <w:keepNext w:val="0"/>
              <w:spacing w:before="0" w:after="60" w:line="254" w:lineRule="auto"/>
            </w:pPr>
            <w:hyperlink r:id="rId13">
              <w:r>
                <w:rPr>
                  <w:color w:val="154F63"/>
                  <w:u w:val="single"/>
                </w:rPr>
                <w:t>Hardware and Sensing Engineering</w:t>
              </w:r>
            </w:hyperlink>
          </w:p>
        </w:tc>
        <w:tc>
          <w:tcPr>
            <w:tcW w:type="dxa" w:w="792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Imaging, calibration, sensors, instrument design and technical configuration requirements</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hyperlink r:id="rId14">
              <w:r>
                <w:rPr>
                  <w:color w:val="154F63"/>
                  <w:u w:val="single"/>
                </w:rPr>
                <w:t>AI Software and Data Systems</w:t>
              </w:r>
            </w:hyperlink>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AI functions, software, interoperability, plate records, digital twins and data definitions</w:t>
            </w:r>
          </w:p>
        </w:tc>
      </w:tr>
      <w:tr>
        <w:trPr>
          <w:cantSplit/>
        </w:trPr>
        <w:tc>
          <w:tcPr>
            <w:tcW w:type="dxa" w:w="2880"/>
            <w:shd w:fill="F0F4F6"/>
            <w:tcMar>
              <w:top w:w="85" w:type="dxa"/>
              <w:left w:w="100" w:type="dxa"/>
              <w:bottom w:w="85" w:type="dxa"/>
              <w:right w:w="100" w:type="dxa"/>
            </w:tcMar>
            <w:vAlign w:val="center"/>
          </w:tcPr>
          <w:p>
            <w:pPr>
              <w:keepNext w:val="0"/>
              <w:spacing w:before="0" w:after="60" w:line="254" w:lineRule="auto"/>
            </w:pPr>
            <w:hyperlink r:id="rId15">
              <w:r>
                <w:rPr>
                  <w:color w:val="154F63"/>
                  <w:u w:val="single"/>
                </w:rPr>
                <w:t>Validation Legal and Safety</w:t>
              </w:r>
            </w:hyperlink>
          </w:p>
        </w:tc>
        <w:tc>
          <w:tcPr>
            <w:tcW w:type="dxa" w:w="792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Validation, permitted interpretation, regulatory and legal considerations, safety and security</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hyperlink r:id="rId16">
              <w:r>
                <w:rPr>
                  <w:color w:val="154F63"/>
                  <w:u w:val="single"/>
                </w:rPr>
                <w:t>Scientific Evidence and References</w:t>
              </w:r>
            </w:hyperlink>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Research assessment, technical audit, evidence limitations and the full source catalogue</w:t>
            </w:r>
          </w:p>
        </w:tc>
      </w:tr>
      <w:tr>
        <w:trPr>
          <w:cantSplit/>
        </w:trPr>
        <w:tc>
          <w:tcPr>
            <w:tcW w:type="dxa" w:w="2880"/>
            <w:shd w:fill="F0F4F6"/>
            <w:tcMar>
              <w:top w:w="85" w:type="dxa"/>
              <w:left w:w="100" w:type="dxa"/>
              <w:bottom w:w="85" w:type="dxa"/>
              <w:right w:w="100" w:type="dxa"/>
            </w:tcMar>
            <w:vAlign w:val="center"/>
          </w:tcPr>
          <w:p>
            <w:pPr>
              <w:keepNext w:val="0"/>
              <w:spacing w:before="0" w:after="60" w:line="254" w:lineRule="auto"/>
            </w:pPr>
            <w:hyperlink r:id="rId17">
              <w:r>
                <w:rPr>
                  <w:color w:val="154F63"/>
                  <w:u w:val="single"/>
                </w:rPr>
                <w:t>Development Roadmap and Advanced Architecture</w:t>
              </w:r>
            </w:hyperlink>
          </w:p>
        </w:tc>
        <w:tc>
          <w:tcPr>
            <w:tcW w:type="dxa" w:w="792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Reader V1 priorities, implementation detail, Bio-Vault and APEX XR architecture</w:t>
            </w:r>
          </w:p>
        </w:tc>
      </w:tr>
      <w:tr>
        <w:trPr>
          <w:cantSplit/>
        </w:trPr>
        <w:tc>
          <w:tcPr>
            <w:tcW w:type="dxa" w:w="2880"/>
            <w:shd w:fill="FFFFFF"/>
            <w:tcMar>
              <w:top w:w="85" w:type="dxa"/>
              <w:left w:w="100" w:type="dxa"/>
              <w:bottom w:w="85" w:type="dxa"/>
              <w:right w:w="100" w:type="dxa"/>
            </w:tcMar>
            <w:vAlign w:val="center"/>
          </w:tcPr>
          <w:p>
            <w:pPr>
              <w:keepNext w:val="0"/>
              <w:spacing w:before="0" w:after="60" w:line="254" w:lineRule="auto"/>
            </w:pPr>
            <w:hyperlink r:id="rId18">
              <w:r>
                <w:rPr>
                  <w:color w:val="154F63"/>
                  <w:u w:val="single"/>
                </w:rPr>
                <w:t>Bill of Materials and Financial Planning</w:t>
              </w:r>
            </w:hyperlink>
          </w:p>
        </w:tc>
        <w:tc>
          <w:tcPr>
            <w:tcW w:type="dxa" w:w="792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20"/>
              </w:rPr>
              <w:t>Component and procurement detail, working budgets, pricing assumptions and scenario models</w:t>
            </w:r>
          </w:p>
        </w:tc>
      </w:tr>
    </w:tbl>
    <w:p>
      <w:pPr>
        <w:keepLines/>
      </w:pPr>
    </w:p>
    <w:p>
      <w:pPr>
        <w:keepLines/>
      </w:pPr>
      <w:r>
        <w:t>The specialist documents retain the detailed content of the September 17 master, preserved separately as a source backup.</w:t>
      </w:r>
    </w:p>
    <w:p>
      <w:pPr>
        <w:pStyle w:val="Heading1"/>
      </w:pPr>
      <w:bookmarkStart w:id="300011" w:name="main_section_11"/>
      <w:r>
        <w:t>11 Sources and evidence notes</w:t>
      </w:r>
      <w:bookmarkEnd w:id="300011"/>
    </w:p>
    <w:p>
      <w:pPr>
        <w:keepLines/>
      </w:pPr>
      <w:r>
        <w:t>This overview reorganizes the existing project record without a new literature search or independent verification of its technical claims. The evidence companion retains the full scientific and technical references.</w:t>
      </w:r>
    </w:p>
    <w:p>
      <w:pPr>
        <w:pStyle w:val="Heading2"/>
      </w:pPr>
      <w:r>
        <w:t>Citation statistics</w:t>
      </w:r>
    </w:p>
    <w:p>
      <w:pPr>
        <w:keepLines/>
      </w:pPr>
      <w:r>
        <w:t>This overview uses seven internal topic references and four selected external references. The source master's catalogue reports 233 unique external URLs across 67 domains, 43 detected DOI identifiers and 91 named literature or technical entries. These are inventory counts recorded in the source, not counts of independent confirmations or completed experiments. The full inventory and its limitations are retained in the evidence companion.</w:t>
      </w:r>
    </w:p>
    <w:p>
      <w:pPr>
        <w:pStyle w:val="Heading2"/>
      </w:pPr>
      <w:r>
        <w:t>Internal project references</w:t>
      </w:r>
    </w:p>
    <w:p>
      <w:pPr>
        <w:keepLines/>
      </w:pPr>
      <w:hyperlink r:id="rId12">
        <w:r>
          <w:rPr>
            <w:color w:val="154F63"/>
            <w:u w:val="single"/>
          </w:rPr>
          <w:t>P1. Product and Laboratory Workflows. Source master chapters 1, 2 and 6. Used for scope, current stage, product positioning, team names, intended customers and laboratory workflow.</w:t>
        </w:r>
      </w:hyperlink>
    </w:p>
    <w:p>
      <w:pPr>
        <w:keepLines/>
      </w:pPr>
      <w:hyperlink r:id="rId13">
        <w:r>
          <w:rPr>
            <w:color w:val="154F63"/>
            <w:u w:val="single"/>
          </w:rPr>
          <w:t>P2. Hardware and Sensing Engineering. Source master chapter 3. Used for measurement, calibration, hardware and sensor scope.</w:t>
        </w:r>
      </w:hyperlink>
    </w:p>
    <w:p>
      <w:pPr>
        <w:keepLines/>
      </w:pPr>
      <w:hyperlink r:id="rId14">
        <w:r>
          <w:rPr>
            <w:color w:val="154F63"/>
            <w:u w:val="single"/>
          </w:rPr>
          <w:t>P3. AI Software and Data Systems. Source master chapters 4, 5 and 11. Used for AI, interoperability, plate records, digital twins and data distinctions.</w:t>
        </w:r>
      </w:hyperlink>
    </w:p>
    <w:p>
      <w:pPr>
        <w:keepLines/>
      </w:pPr>
      <w:hyperlink r:id="rId15">
        <w:r>
          <w:rPr>
            <w:color w:val="154F63"/>
            <w:u w:val="single"/>
          </w:rPr>
          <w:t>P4. Validation Legal and Safety. Source master chapter 7. Used for the limits of current evidence and the role of independent validation.</w:t>
        </w:r>
      </w:hyperlink>
    </w:p>
    <w:p>
      <w:pPr>
        <w:keepLines/>
      </w:pPr>
      <w:hyperlink r:id="rId16">
        <w:r>
          <w:rPr>
            <w:color w:val="154F63"/>
            <w:u w:val="single"/>
          </w:rPr>
          <w:t>P5. Scientific Evidence and References. Source master chapters 8, 12 and 13. Used for the research context, competition and source inventory.</w:t>
        </w:r>
      </w:hyperlink>
    </w:p>
    <w:p>
      <w:pPr>
        <w:keepLines/>
      </w:pPr>
      <w:hyperlink r:id="rId17">
        <w:r>
          <w:rPr>
            <w:color w:val="154F63"/>
            <w:u w:val="single"/>
          </w:rPr>
          <w:t>P6. Development Roadmap and Advanced Architecture. Source master chapter 9. Used for Reader V1 sequencing and the status of advanced configurations.</w:t>
        </w:r>
      </w:hyperlink>
    </w:p>
    <w:p>
      <w:pPr>
        <w:keepLines/>
      </w:pPr>
      <w:hyperlink r:id="rId18">
        <w:r>
          <w:rPr>
            <w:color w:val="154F63"/>
            <w:u w:val="single"/>
          </w:rPr>
          <w:t>P7. Bill of Materials and Financial Planning. Source master chapter 10. Used for the working budget, scenario assumptions and unresolved BOM discrepancy.</w:t>
        </w:r>
      </w:hyperlink>
    </w:p>
    <w:p>
      <w:pPr>
        <w:pStyle w:val="Heading2"/>
      </w:pPr>
      <w:r>
        <w:t>Selected external references retained from the source</w:t>
      </w:r>
    </w:p>
    <w:p>
      <w:pPr>
        <w:keepLines/>
      </w:pPr>
      <w:r>
        <w:t xml:space="preserve">E1. Borde and colleagues. Cureus, 2022. Survey of AST practices among 100 responding clinical microbiologists in India. DOI 10.7759/cureus.30971. </w:t>
      </w:r>
      <w:hyperlink r:id="rId19">
        <w:r>
          <w:rPr>
            <w:color w:val="154F63"/>
            <w:u w:val="single"/>
          </w:rPr>
          <w:t>https://doi.org/10.7759/cureus.30971</w:t>
        </w:r>
      </w:hyperlink>
      <w:r/>
    </w:p>
    <w:p>
      <w:pPr>
        <w:keepLines/>
      </w:pPr>
      <w:r>
        <w:t xml:space="preserve">E2. European Committee on Antimicrobial Susceptibility Testing. Disk diffusion and quality control resources. </w:t>
      </w:r>
      <w:hyperlink r:id="rId20">
        <w:r>
          <w:rPr>
            <w:color w:val="154F63"/>
            <w:u w:val="single"/>
          </w:rPr>
          <w:t>https://www.eucast.org/bacteria/methodology-and-instructions/disk-diffusion-and-quality-control/</w:t>
        </w:r>
      </w:hyperlink>
      <w:r/>
    </w:p>
    <w:p>
      <w:pPr>
        <w:keepLines/>
      </w:pPr>
      <w:r>
        <w:t xml:space="preserve">E3. Clinical and Laboratory Standards Institute. M100 antimicrobial susceptibility testing resource. The edition and applicable method must be specified in product work. </w:t>
      </w:r>
      <w:hyperlink r:id="rId21">
        <w:r>
          <w:rPr>
            <w:color w:val="154F63"/>
            <w:u w:val="single"/>
          </w:rPr>
          <w:t>https://clsi.org/standards/products/microbiology/documents/m100/</w:t>
        </w:r>
      </w:hyperlink>
      <w:r/>
    </w:p>
    <w:p>
      <w:pPr>
        <w:keepLines/>
      </w:pPr>
      <w:r>
        <w:t xml:space="preserve">E4. Nature Communications, 2021. External smartphone disk-diffusion reader study retained as a feasibility comparator. DOI 10.1038/s41467-021-21187-3. Its results are not AMREYE.AI performance results. </w:t>
      </w:r>
      <w:hyperlink r:id="rId22">
        <w:r>
          <w:rPr>
            <w:color w:val="154F63"/>
            <w:u w:val="single"/>
          </w:rPr>
          <w:t>https://doi.org/10.1038/s41467-021-21187-3</w:t>
        </w:r>
      </w:hyperlink>
      <w:r/>
    </w:p>
    <w:sectPr w:rsidR="00FC693F" w:rsidRPr="0006063C" w:rsidSect="00034616">
      <w:headerReference w:type="default" r:id="rId9"/>
      <w:footerReference w:type="default" r:id="rId10"/>
      <w:pgSz w:w="12240" w:h="20160"/>
      <w:pgMar w:top="720" w:right="720" w:bottom="72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AMREYE.AI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AMREYE.AI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20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Calibri" w:hAnsi="Calibri"/>
      <w:b/>
      <w:bCs/>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rive.google.com/file/d/19L9jK0MEL6cVlQcrct7UD2lgn2KJEY6f/view" TargetMode="External"/><Relationship Id="rId13" Type="http://schemas.openxmlformats.org/officeDocument/2006/relationships/hyperlink" Target="https://drive.google.com/file/d/1DUtaKn485TOqGn5f4XUMKdWAfaHEq2Cv/view" TargetMode="External"/><Relationship Id="rId14" Type="http://schemas.openxmlformats.org/officeDocument/2006/relationships/hyperlink" Target="https://drive.google.com/file/d/13V4eK8_BFDqfMxgdyTgzM9VZ-42dECxt/view" TargetMode="External"/><Relationship Id="rId15" Type="http://schemas.openxmlformats.org/officeDocument/2006/relationships/hyperlink" Target="https://drive.google.com/file/d/1lwjtihhRKdaLlZJHTqTUiPOhfum5_IhW/view" TargetMode="External"/><Relationship Id="rId16" Type="http://schemas.openxmlformats.org/officeDocument/2006/relationships/hyperlink" Target="https://drive.google.com/file/d/1RTRqQsgskSywx2cf2YkpJOHzD_qNFfPv/view" TargetMode="External"/><Relationship Id="rId17" Type="http://schemas.openxmlformats.org/officeDocument/2006/relationships/hyperlink" Target="https://drive.google.com/file/d/1yZBO_tSSGssxBjEd3vH8VoR2j7ZqEBwG/view" TargetMode="External"/><Relationship Id="rId18" Type="http://schemas.openxmlformats.org/officeDocument/2006/relationships/hyperlink" Target="https://drive.google.com/file/d/1zA_hmFMh7QcVVV3N9If2A8PWD_8vw7Dt/view" TargetMode="External"/><Relationship Id="rId19" Type="http://schemas.openxmlformats.org/officeDocument/2006/relationships/hyperlink" Target="https://doi.org/10.7759/cureus.30971" TargetMode="External"/><Relationship Id="rId20" Type="http://schemas.openxmlformats.org/officeDocument/2006/relationships/hyperlink" Target="https://www.eucast.org/bacteria/methodology-and-instructions/disk-diffusion-and-quality-control/" TargetMode="External"/><Relationship Id="rId21" Type="http://schemas.openxmlformats.org/officeDocument/2006/relationships/hyperlink" Target="https://clsi.org/standards/products/microbiology/documents/m100/" TargetMode="External"/><Relationship Id="rId22" Type="http://schemas.openxmlformats.org/officeDocument/2006/relationships/hyperlink" Target="https://doi.org/10.1038/s41467-021-2118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AMREYE AI Project Overview</dc:title>
  <dc:subject>Concise project overview with supporting specialist references</dc:subject>
  <dc:creator>AMREYE.AI</dc:creator>
  <cp:keywords/>
  <dc:description>generated by python-docx</dc:description>
  <cp:lastModifiedBy/>
  <cp:revision>1</cp:revision>
  <dcterms:created xsi:type="dcterms:W3CDTF">2013-12-23T23:15:00Z</dcterms:created>
  <dcterms:modified xsi:type="dcterms:W3CDTF">2013-12-23T23:15:00Z</dcterms:modified>
  <cp:category/>
</cp:coreProperties>
</file>