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pPr>
      <w:r>
        <w:rPr>
          <w:color w:val="000000"/>
        </w:rPr>
        <w:t>AMREYE AI Bill of Materials and Financial Planning</w:t>
      </w:r>
    </w:p>
    <w:p>
      <w:pPr>
        <w:spacing w:before="0" w:after="50" w:line="250" w:lineRule="auto"/>
      </w:pPr>
      <w:r>
        <w:rPr>
          <w:rFonts w:ascii="Calibri" w:hAnsi="Calibri"/>
          <w:sz w:val="20"/>
        </w:rPr>
        <w:t>Component and procurement detail, working budgets, illustrative pricing and scenario models. Figures are internal planning inputs or dated observations. Reader V1, integrated Bio-Vault and APEX XR scopes must remain separate. The source records an unresolved INR 500 difference between the summary BOM and detailed component sum.</w:t>
      </w:r>
    </w:p>
    <w:p>
      <w:pPr>
        <w:spacing w:before="0" w:after="50" w:line="250" w:lineRule="auto"/>
      </w:pPr>
      <w:r>
        <w:rPr>
          <w:rFonts w:ascii="Calibri" w:hAnsi="Calibri"/>
          <w:sz w:val="20"/>
        </w:rPr>
        <w:t>Supporting reference revised 19 September 2026 from the source master last updated 17 September 2026. Detailed source content is retained for specialist use. Original figure and table numbers are retained for traceability. The concise AMREYE.AI Super Document remains the main project overview.</w:t>
      </w:r>
    </w:p>
    <w:p>
      <w:pPr>
        <w:spacing w:before="0" w:after="50" w:line="250" w:lineRule="auto"/>
      </w:pPr>
      <w:r>
        <w:rPr>
          <w:rFonts w:ascii="Calibri" w:hAnsi="Calibri"/>
          <w:sz w:val="20"/>
        </w:rPr>
        <w:t>The INR 10 lakh programme allocation is for first core Reader V1 development, research and validation. The reference component BOM and the later integrated-platform and APEX XR scenarios have separate scopes.</w:t>
      </w:r>
    </w:p>
    <w:p>
      <w:pPr>
        <w:spacing w:before="0" w:after="50" w:line="250" w:lineRule="auto"/>
      </w:pPr>
      <w:hyperlink r:id="rId11">
        <w:r>
          <w:rPr>
            <w:color w:val="154F63"/>
            <w:u w:val="single"/>
          </w:rPr>
          <w:t>Open the main project overview</w:t>
        </w:r>
      </w:hyperlink>
    </w:p>
    <w:p>
      <w:pPr>
        <w:pStyle w:val="Heading2"/>
        <w:keepNext/>
        <w:keepLines/>
      </w:pPr>
      <w:r>
        <w:rPr>
          <w:color w:val="000000"/>
        </w:rPr>
        <w:t>Contents</w:t>
      </w:r>
    </w:p>
    <w:p>
      <w:pPr>
        <w:spacing w:before="0" w:after="50" w:line="250" w:lineRule="auto"/>
      </w:pPr>
      <w:hyperlink w:anchor="P7_chapter_1">
        <w:r>
          <w:rPr>
            <w:color w:val="154F63"/>
            <w:u w:val="single"/>
          </w:rPr>
          <w:t>Financial planning and bill of materials</w:t>
        </w:r>
      </w:hyperlink>
    </w:p>
    <w:p>
      <w:pPr>
        <w:spacing w:before="0" w:after="50" w:line="250" w:lineRule="auto"/>
      </w:pPr>
      <w:hyperlink r:id="rId12">
        <w:r>
          <w:rPr>
            <w:color w:val="154F63"/>
            <w:u w:val="single"/>
          </w:rPr>
          <w:t>Full source catalogue</w:t>
        </w:r>
      </w:hyperlink>
    </w:p>
    <w:p>
      <w:pPr>
        <w:spacing w:before="0" w:after="50" w:line="250" w:lineRule="auto"/>
      </w:pPr>
    </w:p>
    <w:p>
      <w:pPr>
        <w:pStyle w:val="Heading1"/>
        <w:keepNext/>
        <w:keepLines/>
        <w:pageBreakBefore w:val="0"/>
      </w:pPr>
      <w:bookmarkStart w:id="200000" w:name="P7_chapter_1"/>
      <w:r>
        <w:rPr>
          <w:color w:val="000000"/>
        </w:rPr>
        <w:t>Financial planning and bill of materials</w:t>
      </w:r>
      <w:bookmarkStart w:id="95009" w:name="product_10"/>
      <w:bookmarkEnd w:id="95009"/>
      <w:bookmarkEnd w:id="200000"/>
    </w:p>
    <w:p>
      <w:pPr>
        <w:pStyle w:val="Heading2"/>
        <w:keepNext/>
        <w:keepLines/>
      </w:pPr>
      <w:r>
        <w:rPr>
          <w:color w:val="000000"/>
        </w:rPr>
        <w:t>Financial interpretation and stage boundaries</w:t>
      </w:r>
    </w:p>
    <w:p>
      <w:pPr>
        <w:spacing w:before="0" w:after="50" w:line="250" w:lineRule="auto"/>
      </w:pPr>
      <w:r>
        <w:rPr>
          <w:rFonts w:ascii="Calibri" w:hAnsi="Calibri"/>
          <w:sz w:val="20"/>
        </w:rPr>
        <w:t>Reader V1, an integrated Bio-Vault configuration and APEX XR have different scopes and must not share an undifferentiated cost or selling-price claim. All figures below are internal planning inputs or dated component observations. They are not funds received, realized sales, validated unit economics or current binding quotations.</w:t>
      </w:r>
    </w:p>
    <w:p>
      <w:pPr>
        <w:pStyle w:val="Caption"/>
        <w:keepNext/>
      </w:pPr>
      <w:bookmarkStart w:id="97018" w:name="table_6"/>
      <w:r>
        <w:t>Table 6 Prototype and validation readiness working budget</w:t>
      </w:r>
      <w:bookmarkEnd w:id="97018"/>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5400"/>
        <w:gridCol w:w="5400"/>
      </w:tblGrid>
      <w:tr>
        <w:trPr>
          <w:cantSplit/>
          <w:tblHeader/>
        </w:trPr>
        <w:tc>
          <w:tcPr>
            <w:tcW w:type="dxa" w:w="7920"/>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Workstream</w:t>
            </w:r>
          </w:p>
        </w:tc>
        <w:tc>
          <w:tcPr>
            <w:tcW w:type="dxa" w:w="2880"/>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Planning allocation INR</w:t>
            </w:r>
          </w:p>
        </w:tc>
      </w:tr>
      <w:tr>
        <w:trPr>
          <w:cantSplit/>
        </w:trPr>
        <w:tc>
          <w:tcPr>
            <w:tcW w:type="dxa" w:w="792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Mechanics and enclosure</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220,000</w:t>
            </w:r>
          </w:p>
        </w:tc>
      </w:tr>
      <w:tr>
        <w:trPr>
          <w:cantSplit/>
        </w:trPr>
        <w:tc>
          <w:tcPr>
            <w:tcW w:type="dxa" w:w="792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Imaging lighting compute and sensors</w:t>
            </w:r>
          </w:p>
        </w:tc>
        <w:tc>
          <w:tcPr>
            <w:tcW w:type="dxa" w:w="288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160,000</w:t>
            </w:r>
          </w:p>
        </w:tc>
      </w:tr>
      <w:tr>
        <w:trPr>
          <w:cantSplit/>
        </w:trPr>
        <w:tc>
          <w:tcPr>
            <w:tcW w:type="dxa" w:w="792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Consumables and reference testing</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120,000</w:t>
            </w:r>
          </w:p>
        </w:tc>
      </w:tr>
      <w:tr>
        <w:trPr>
          <w:cantSplit/>
        </w:trPr>
        <w:tc>
          <w:tcPr>
            <w:tcW w:type="dxa" w:w="792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Dataset software and cloud</w:t>
            </w:r>
          </w:p>
        </w:tc>
        <w:tc>
          <w:tcPr>
            <w:tcW w:type="dxa" w:w="288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100,000</w:t>
            </w:r>
          </w:p>
        </w:tc>
      </w:tr>
      <w:tr>
        <w:trPr>
          <w:cantSplit/>
        </w:trPr>
        <w:tc>
          <w:tcPr>
            <w:tcW w:type="dxa" w:w="792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Partner laboratory study QA and statistics</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150,000</w:t>
            </w:r>
          </w:p>
        </w:tc>
      </w:tr>
      <w:tr>
        <w:trPr>
          <w:cantSplit/>
        </w:trPr>
        <w:tc>
          <w:tcPr>
            <w:tcW w:type="dxa" w:w="792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Manufacturing IP regulatory preparation and contingency</w:t>
            </w:r>
          </w:p>
        </w:tc>
        <w:tc>
          <w:tcPr>
            <w:tcW w:type="dxa" w:w="288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250,000</w:t>
            </w:r>
          </w:p>
        </w:tc>
      </w:tr>
      <w:tr>
        <w:trPr>
          <w:cantSplit/>
        </w:trPr>
        <w:tc>
          <w:tcPr>
            <w:tcW w:type="dxa" w:w="792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Total working ask</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1,000,000</w:t>
            </w:r>
          </w:p>
        </w:tc>
      </w:tr>
    </w:tbl>
    <w:p>
      <w:pPr>
        <w:spacing w:before="0" w:after="50" w:line="250" w:lineRule="auto"/>
      </w:pPr>
      <w:r>
        <w:rPr>
          <w:rFonts w:ascii="Calibri" w:hAnsi="Calibri"/>
          <w:sz w:val="20"/>
        </w:rPr>
        <w:t>The allocation is a working programme budget. Reconcile enclosure spending with the endpoint-reader scope before procurement. It does not imply a committed partner, approved clinical protocol or secured funding.</w:t>
      </w:r>
    </w:p>
    <w:p>
      <w:pPr>
        <w:pStyle w:val="Heading2"/>
        <w:keepNext/>
        <w:keepLines/>
      </w:pPr>
      <w:r>
        <w:rPr>
          <w:color w:val="000000"/>
        </w:rPr>
        <w:t>Integrated platform illustrative unit economics</w:t>
      </w:r>
    </w:p>
    <w:p>
      <w:pPr>
        <w:pStyle w:val="Caption"/>
        <w:keepNext/>
      </w:pPr>
      <w:bookmarkStart w:id="97019" w:name="table_7"/>
      <w:r>
        <w:t>Table 7 Integrated platform illustrative unit economics</w:t>
      </w:r>
      <w:bookmarkEnd w:id="97019"/>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5400"/>
        <w:gridCol w:w="5400"/>
      </w:tblGrid>
      <w:tr>
        <w:trPr>
          <w:cantSplit/>
          <w:tblHeader/>
        </w:trPr>
        <w:tc>
          <w:tcPr>
            <w:tcW w:type="dxa" w:w="7920"/>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Parameter</w:t>
            </w:r>
          </w:p>
        </w:tc>
        <w:tc>
          <w:tcPr>
            <w:tcW w:type="dxa" w:w="2880"/>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INR or percentage</w:t>
            </w:r>
          </w:p>
        </w:tc>
      </w:tr>
      <w:tr>
        <w:trPr>
          <w:cantSplit/>
        </w:trPr>
        <w:tc>
          <w:tcPr>
            <w:tcW w:type="dxa" w:w="792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Hardware price assumption</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350,000</w:t>
            </w:r>
          </w:p>
        </w:tc>
      </w:tr>
      <w:tr>
        <w:trPr>
          <w:cantSplit/>
        </w:trPr>
        <w:tc>
          <w:tcPr>
            <w:tcW w:type="dxa" w:w="792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Summary hardware BOM assumption</w:t>
            </w:r>
          </w:p>
        </w:tc>
        <w:tc>
          <w:tcPr>
            <w:tcW w:type="dxa" w:w="288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185,000</w:t>
            </w:r>
          </w:p>
        </w:tc>
      </w:tr>
      <w:tr>
        <w:trPr>
          <w:cantSplit/>
        </w:trPr>
        <w:tc>
          <w:tcPr>
            <w:tcW w:type="dxa" w:w="792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Detailed component sum</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185,500</w:t>
            </w:r>
          </w:p>
        </w:tc>
      </w:tr>
      <w:tr>
        <w:trPr>
          <w:cantSplit/>
        </w:trPr>
        <w:tc>
          <w:tcPr>
            <w:tcW w:type="dxa" w:w="792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Assembly testing and QC assumption</w:t>
            </w:r>
          </w:p>
        </w:tc>
        <w:tc>
          <w:tcPr>
            <w:tcW w:type="dxa" w:w="288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15,000</w:t>
            </w:r>
          </w:p>
        </w:tc>
      </w:tr>
      <w:tr>
        <w:trPr>
          <w:cantSplit/>
        </w:trPr>
        <w:tc>
          <w:tcPr>
            <w:tcW w:type="dxa" w:w="792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Modelled hardware COGS</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200,000</w:t>
            </w:r>
          </w:p>
        </w:tc>
      </w:tr>
      <w:tr>
        <w:trPr>
          <w:cantSplit/>
        </w:trPr>
        <w:tc>
          <w:tcPr>
            <w:tcW w:type="dxa" w:w="792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Hardware gross profit under model assumptions</w:t>
            </w:r>
          </w:p>
        </w:tc>
        <w:tc>
          <w:tcPr>
            <w:tcW w:type="dxa" w:w="288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150,000 (42.86%)</w:t>
            </w:r>
          </w:p>
        </w:tc>
      </w:tr>
      <w:tr>
        <w:trPr>
          <w:cantSplit/>
        </w:trPr>
        <w:tc>
          <w:tcPr>
            <w:tcW w:type="dxa" w:w="792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Monthly software subscription assumption</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20,000</w:t>
            </w:r>
          </w:p>
        </w:tc>
      </w:tr>
      <w:tr>
        <w:trPr>
          <w:cantSplit/>
        </w:trPr>
        <w:tc>
          <w:tcPr>
            <w:tcW w:type="dxa" w:w="792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Annual software subscription assumption</w:t>
            </w:r>
          </w:p>
        </w:tc>
        <w:tc>
          <w:tcPr>
            <w:tcW w:type="dxa" w:w="288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240,000</w:t>
            </w:r>
          </w:p>
        </w:tc>
      </w:tr>
      <w:tr>
        <w:trPr>
          <w:cantSplit/>
        </w:trPr>
        <w:tc>
          <w:tcPr>
            <w:tcW w:type="dxa" w:w="792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Monthly hosting assumption</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2,500</w:t>
            </w:r>
          </w:p>
        </w:tc>
      </w:tr>
      <w:tr>
        <w:trPr>
          <w:cantSplit/>
        </w:trPr>
        <w:tc>
          <w:tcPr>
            <w:tcW w:type="dxa" w:w="792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Software gross margin before other costs</w:t>
            </w:r>
          </w:p>
        </w:tc>
        <w:tc>
          <w:tcPr>
            <w:tcW w:type="dxa" w:w="288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87.5%</w:t>
            </w:r>
          </w:p>
        </w:tc>
      </w:tr>
    </w:tbl>
    <w:p>
      <w:pPr>
        <w:spacing w:before="0" w:after="50" w:line="250" w:lineRule="auto"/>
      </w:pPr>
      <w:r>
        <w:rPr>
          <w:rFonts w:ascii="Calibri" w:hAnsi="Calibri"/>
          <w:sz w:val="20"/>
        </w:rPr>
        <w:t>The INR 500 discrepancy between the detailed component sum and summary input remains unresolved. The modelled COGS of INR 200,000 uses the summary input. It must be reconciled before decisions; software margins also exclude support and other operating costs. These integrated-platform inputs are not Reader V1 quotations.</w:t>
      </w:r>
    </w:p>
    <w:p>
      <w:pPr>
        <w:pStyle w:val="Heading2"/>
        <w:keepNext/>
        <w:keepLines/>
      </w:pPr>
      <w:r>
        <w:rPr>
          <w:color w:val="000000"/>
        </w:rPr>
        <w:t>Illustrative deployment and financial model</w:t>
      </w:r>
    </w:p>
    <w:p>
      <w:pPr>
        <w:spacing w:before="0" w:after="50" w:line="250" w:lineRule="auto"/>
      </w:pPr>
      <w:r>
        <w:rPr>
          <w:rFonts w:ascii="Calibri" w:hAnsi="Calibri"/>
          <w:sz w:val="20"/>
        </w:rPr>
        <w:t>This scenario is a sensitivity input, not a forecast of achieved or committed growth. It assumes new-unit sales of 15, 120, 450, 1,200 and 2,500 over five model years, no churn, full-year subscription revenue from existing units and half-year revenue from newly added units. There is no evidence here that customers will accept the assumed price or subscription.</w:t>
      </w:r>
    </w:p>
    <w:p>
      <w:pPr>
        <w:pStyle w:val="Caption"/>
        <w:keepNext/>
      </w:pPr>
      <w:bookmarkStart w:id="97020" w:name="table_8"/>
      <w:r>
        <w:t>Table 8 Illustrative deployment revenue and gross margin</w:t>
      </w:r>
      <w:bookmarkEnd w:id="97020"/>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800"/>
        <w:gridCol w:w="1800"/>
        <w:gridCol w:w="1800"/>
        <w:gridCol w:w="1800"/>
        <w:gridCol w:w="1800"/>
        <w:gridCol w:w="1800"/>
      </w:tblGrid>
      <w:tr>
        <w:trPr>
          <w:cantSplit/>
          <w:tblHeader/>
        </w:trPr>
        <w:tc>
          <w:tcPr>
            <w:tcW w:type="dxa" w:w="3456"/>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Metric</w:t>
            </w:r>
          </w:p>
        </w:tc>
        <w:tc>
          <w:tcPr>
            <w:tcW w:type="dxa" w:w="1469"/>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Year 1</w:t>
            </w:r>
          </w:p>
        </w:tc>
        <w:tc>
          <w:tcPr>
            <w:tcW w:type="dxa" w:w="1469"/>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Year 2</w:t>
            </w:r>
          </w:p>
        </w:tc>
        <w:tc>
          <w:tcPr>
            <w:tcW w:type="dxa" w:w="1469"/>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Year 3</w:t>
            </w:r>
          </w:p>
        </w:tc>
        <w:tc>
          <w:tcPr>
            <w:tcW w:type="dxa" w:w="1469"/>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Year 4</w:t>
            </w:r>
          </w:p>
        </w:tc>
        <w:tc>
          <w:tcPr>
            <w:tcW w:type="dxa" w:w="1469"/>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Year 5</w:t>
            </w:r>
          </w:p>
        </w:tc>
      </w:tr>
      <w:tr>
        <w:trPr>
          <w:cantSplit/>
        </w:trPr>
        <w:tc>
          <w:tcPr>
            <w:tcW w:type="dxa" w:w="3456"/>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New Hardware Units Sold</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15</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120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450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1,200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2,500</w:t>
            </w:r>
          </w:p>
        </w:tc>
      </w:tr>
      <w:tr>
        <w:trPr>
          <w:cantSplit/>
        </w:trPr>
        <w:tc>
          <w:tcPr>
            <w:tcW w:type="dxa" w:w="3456"/>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Cumulative Active Units</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15</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135</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585</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1,785</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4,285</w:t>
            </w:r>
          </w:p>
        </w:tc>
      </w:tr>
      <w:tr>
        <w:trPr>
          <w:cantSplit/>
        </w:trPr>
        <w:tc>
          <w:tcPr>
            <w:tcW w:type="dxa" w:w="3456"/>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Hardware Revenue (CapEx)</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5,250,000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42,000,000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157,500,000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420,000,000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875,000,000</w:t>
            </w:r>
          </w:p>
        </w:tc>
      </w:tr>
      <w:tr>
        <w:trPr>
          <w:cantSplit/>
        </w:trPr>
        <w:tc>
          <w:tcPr>
            <w:tcW w:type="dxa" w:w="3456"/>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Hardware COGS</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3,000,000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24,000,000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90,000,000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240,000,000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500,000,000</w:t>
            </w:r>
          </w:p>
        </w:tc>
      </w:tr>
      <w:tr>
        <w:trPr>
          <w:cantSplit/>
        </w:trPr>
        <w:tc>
          <w:tcPr>
            <w:tcW w:type="dxa" w:w="3456"/>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Hardware Gross Profit</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2,250,000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18,000,000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67,500,000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180,000,000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375,000,000</w:t>
            </w:r>
          </w:p>
        </w:tc>
      </w:tr>
      <w:tr>
        <w:trPr>
          <w:cantSplit/>
        </w:trPr>
        <w:tc>
          <w:tcPr>
            <w:tcW w:type="dxa" w:w="3456"/>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SaaS Subscription Revenue</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1,800,000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18,000,000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86,400,000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284,400,000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728,400,000</w:t>
            </w:r>
          </w:p>
        </w:tc>
      </w:tr>
      <w:tr>
        <w:trPr>
          <w:cantSplit/>
        </w:trPr>
        <w:tc>
          <w:tcPr>
            <w:tcW w:type="dxa" w:w="3456"/>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SaaS Hosting COGS</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225,000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2,250,000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10,800,000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35,550,000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91,050,000</w:t>
            </w:r>
          </w:p>
        </w:tc>
      </w:tr>
      <w:tr>
        <w:trPr>
          <w:cantSplit/>
        </w:trPr>
        <w:tc>
          <w:tcPr>
            <w:tcW w:type="dxa" w:w="3456"/>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SaaS Gross Profit</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1,575,000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15,750,000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75,600,000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248,850,000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637,350,000</w:t>
            </w:r>
          </w:p>
        </w:tc>
      </w:tr>
      <w:tr>
        <w:trPr>
          <w:cantSplit/>
        </w:trPr>
        <w:tc>
          <w:tcPr>
            <w:tcW w:type="dxa" w:w="3456"/>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TOTAL COMBINED REVENUE</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7,050,000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60,000,000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243,900,000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704,400,000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1,603,400,000</w:t>
            </w:r>
          </w:p>
        </w:tc>
      </w:tr>
      <w:tr>
        <w:trPr>
          <w:cantSplit/>
        </w:trPr>
        <w:tc>
          <w:tcPr>
            <w:tcW w:type="dxa" w:w="3456"/>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TOTAL COMBINED COGS</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3,225,000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26,250,000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100,800,000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275,550,000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591,050,000</w:t>
            </w:r>
          </w:p>
        </w:tc>
      </w:tr>
      <w:tr>
        <w:trPr>
          <w:cantSplit/>
        </w:trPr>
        <w:tc>
          <w:tcPr>
            <w:tcW w:type="dxa" w:w="3456"/>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TOTAL GROSS PROFIT</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3,825,000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33,750,000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143,100,000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428,850,000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1,012,350,000</w:t>
            </w:r>
          </w:p>
        </w:tc>
      </w:tr>
      <w:tr>
        <w:trPr>
          <w:cantSplit/>
        </w:trPr>
        <w:tc>
          <w:tcPr>
            <w:tcW w:type="dxa" w:w="3456"/>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Blended Gross Margin (%)</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54.26%</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56.25%</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58.67%</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60.88%</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63.14%</w:t>
            </w:r>
          </w:p>
        </w:tc>
      </w:tr>
    </w:tbl>
    <w:p>
      <w:pPr>
        <w:pStyle w:val="Caption"/>
        <w:keepNext/>
      </w:pPr>
      <w:bookmarkStart w:id="97021" w:name="table_9"/>
      <w:r>
        <w:t>Table 9 Illustrative operating expenses and profit</w:t>
      </w:r>
      <w:bookmarkEnd w:id="97021"/>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800"/>
        <w:gridCol w:w="1800"/>
        <w:gridCol w:w="1800"/>
        <w:gridCol w:w="1800"/>
        <w:gridCol w:w="1800"/>
        <w:gridCol w:w="1800"/>
      </w:tblGrid>
      <w:tr>
        <w:trPr>
          <w:cantSplit/>
          <w:tblHeader/>
        </w:trPr>
        <w:tc>
          <w:tcPr>
            <w:tcW w:type="dxa" w:w="3456"/>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Metric</w:t>
            </w:r>
          </w:p>
        </w:tc>
        <w:tc>
          <w:tcPr>
            <w:tcW w:type="dxa" w:w="1469"/>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Year 1</w:t>
            </w:r>
          </w:p>
        </w:tc>
        <w:tc>
          <w:tcPr>
            <w:tcW w:type="dxa" w:w="1469"/>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Year 2</w:t>
            </w:r>
          </w:p>
        </w:tc>
        <w:tc>
          <w:tcPr>
            <w:tcW w:type="dxa" w:w="1469"/>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Year 3</w:t>
            </w:r>
          </w:p>
        </w:tc>
        <w:tc>
          <w:tcPr>
            <w:tcW w:type="dxa" w:w="1469"/>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Year 4</w:t>
            </w:r>
          </w:p>
        </w:tc>
        <w:tc>
          <w:tcPr>
            <w:tcW w:type="dxa" w:w="1469"/>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Year 5</w:t>
            </w:r>
          </w:p>
        </w:tc>
      </w:tr>
      <w:tr>
        <w:trPr>
          <w:cantSplit/>
        </w:trPr>
        <w:tc>
          <w:tcPr>
            <w:tcW w:type="dxa" w:w="3456"/>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Gross Hardware Revenue</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5,250,000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42,000,000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157,500,000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420,000,000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875,000,000</w:t>
            </w:r>
          </w:p>
        </w:tc>
      </w:tr>
      <w:tr>
        <w:trPr>
          <w:cantSplit/>
        </w:trPr>
        <w:tc>
          <w:tcPr>
            <w:tcW w:type="dxa" w:w="3456"/>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Gross SaaS Revenue</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1,800,000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18,000,000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86,400,000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284,400,000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728,400,000</w:t>
            </w:r>
          </w:p>
        </w:tc>
      </w:tr>
      <w:tr>
        <w:trPr>
          <w:cantSplit/>
        </w:trPr>
        <w:tc>
          <w:tcPr>
            <w:tcW w:type="dxa" w:w="3456"/>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TOTAL REVENUE</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7,050,000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60,000,000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243,900,000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704,400,000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1,603,400,000</w:t>
            </w:r>
          </w:p>
        </w:tc>
      </w:tr>
      <w:tr>
        <w:trPr>
          <w:cantSplit/>
        </w:trPr>
        <w:tc>
          <w:tcPr>
            <w:tcW w:type="dxa" w:w="3456"/>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Cost of Goods Sold (COGS)</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3,225,000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26,250,000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100,800,000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275,550,000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591,050,000</w:t>
            </w:r>
          </w:p>
        </w:tc>
      </w:tr>
      <w:tr>
        <w:trPr>
          <w:cantSplit/>
        </w:trPr>
        <w:tc>
          <w:tcPr>
            <w:tcW w:type="dxa" w:w="3456"/>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GROSS PROFIT</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3,825,000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33,750,000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143,100,000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428,850,000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1,012,350,000</w:t>
            </w:r>
          </w:p>
        </w:tc>
      </w:tr>
      <w:tr>
        <w:trPr>
          <w:cantSplit/>
        </w:trPr>
        <w:tc>
          <w:tcPr>
            <w:tcW w:type="dxa" w:w="3456"/>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R&amp;D &amp; Engineering Personnel</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1,800,000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3,600,000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7,200,000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15,000,000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30,000,000</w:t>
            </w:r>
          </w:p>
        </w:tc>
      </w:tr>
      <w:tr>
        <w:trPr>
          <w:cantSplit/>
        </w:trPr>
        <w:tc>
          <w:tcPr>
            <w:tcW w:type="dxa" w:w="3456"/>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Clinical Validation &amp; CDSCO Certification</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1,250,000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2,500,000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3,500,000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5,000,000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8,000,000</w:t>
            </w:r>
          </w:p>
        </w:tc>
      </w:tr>
      <w:tr>
        <w:trPr>
          <w:cantSplit/>
        </w:trPr>
        <w:tc>
          <w:tcPr>
            <w:tcW w:type="dxa" w:w="3456"/>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Sales, Marketing &amp; GeM Onboarding</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750,000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3,000,000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12,000,000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30,000,000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60,000,000</w:t>
            </w:r>
          </w:p>
        </w:tc>
      </w:tr>
      <w:tr>
        <w:trPr>
          <w:cantSplit/>
        </w:trPr>
        <w:tc>
          <w:tcPr>
            <w:tcW w:type="dxa" w:w="3456"/>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General, Admin &amp; Cloud Infrastructure</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600,000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1,500,000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4,500,000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12,000,000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25,000,000</w:t>
            </w:r>
          </w:p>
        </w:tc>
      </w:tr>
      <w:tr>
        <w:trPr>
          <w:cantSplit/>
        </w:trPr>
        <w:tc>
          <w:tcPr>
            <w:tcW w:type="dxa" w:w="3456"/>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TOTAL OPERATING EXPENSES (OpEx)</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4,400,000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10,600,000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27,200,000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62,000,000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123,000,000</w:t>
            </w:r>
          </w:p>
        </w:tc>
      </w:tr>
      <w:tr>
        <w:trPr>
          <w:cantSplit/>
        </w:trPr>
        <w:tc>
          <w:tcPr>
            <w:tcW w:type="dxa" w:w="3456"/>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EBITDA</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-575,000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23,150,000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115,900,000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366,850,000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889,350,000</w:t>
            </w:r>
          </w:p>
        </w:tc>
      </w:tr>
      <w:tr>
        <w:trPr>
          <w:cantSplit/>
        </w:trPr>
        <w:tc>
          <w:tcPr>
            <w:tcW w:type="dxa" w:w="3456"/>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Depreciation &amp; Amortization</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150,000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400,000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1,200,000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3,000,000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6,000,000</w:t>
            </w:r>
          </w:p>
        </w:tc>
      </w:tr>
      <w:tr>
        <w:trPr>
          <w:cantSplit/>
        </w:trPr>
        <w:tc>
          <w:tcPr>
            <w:tcW w:type="dxa" w:w="3456"/>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EBIT (Operating Profit)</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-725,000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22,750,000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114,700,000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363,850,000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883,350,000</w:t>
            </w:r>
          </w:p>
        </w:tc>
      </w:tr>
      <w:tr>
        <w:trPr>
          <w:cantSplit/>
        </w:trPr>
        <w:tc>
          <w:tcPr>
            <w:tcW w:type="dxa" w:w="3456"/>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Income Tax (Effective 25%)</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5,687,500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28,675,000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90,962,500</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220,837,500</w:t>
            </w:r>
          </w:p>
        </w:tc>
      </w:tr>
      <w:tr>
        <w:trPr>
          <w:cantSplit/>
        </w:trPr>
        <w:tc>
          <w:tcPr>
            <w:tcW w:type="dxa" w:w="3456"/>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NET PROFIT AFTER TAX</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-725,000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17,062,500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86,025,000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272,887,500</w:t>
            </w:r>
          </w:p>
        </w:tc>
        <w:tc>
          <w:tcPr>
            <w:tcW w:type="dxa" w:w="1469"/>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662,512,500</w:t>
            </w:r>
          </w:p>
        </w:tc>
      </w:tr>
      <w:tr>
        <w:trPr>
          <w:cantSplit/>
        </w:trPr>
        <w:tc>
          <w:tcPr>
            <w:tcW w:type="dxa" w:w="3456"/>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Net Profit Margin (%)</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-10.28%</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28.44%</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35.27%</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38.74%</w:t>
            </w:r>
          </w:p>
        </w:tc>
        <w:tc>
          <w:tcPr>
            <w:tcW w:type="dxa" w:w="1469"/>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41.32%</w:t>
            </w:r>
          </w:p>
        </w:tc>
      </w:tr>
    </w:tbl>
    <w:p>
      <w:pPr>
        <w:spacing w:before="0" w:after="50" w:line="250" w:lineRule="auto"/>
      </w:pPr>
      <w:r>
        <w:rPr>
          <w:rFonts w:ascii="Calibri" w:hAnsi="Calibri"/>
          <w:sz w:val="20"/>
        </w:rPr>
        <w:t>Cost-of-goods assumptions are INR 200,000 per new instrument and INR 30,000 annual hosting per active subscription, with the same half-year convention for new units. The model applies a 25% illustrative tax rate only to positive operating profit; this is a model assumption, not tax advice. Rebuild prototype, pilot and scale cases with customer evidence, support, warranty, calibration, training, distribution, quality, regulatory and working-capital costs.</w:t>
      </w:r>
    </w:p>
    <w:p>
      <w:pPr>
        <w:pStyle w:val="Heading2"/>
        <w:keepNext/>
        <w:keepLines/>
      </w:pPr>
      <w:r>
        <w:rPr>
          <w:color w:val="000000"/>
        </w:rPr>
        <w:t>Reader V1 configuration and procurement specification</w:t>
      </w:r>
    </w:p>
    <w:p>
      <w:pPr>
        <w:pStyle w:val="Heading3"/>
        <w:keepNext/>
        <w:keepLines/>
        <w:spacing w:before="240" w:after="120" w:line="269" w:lineRule="auto"/>
      </w:pPr>
      <w:r>
        <w:rPr>
          <w:color w:val="000000"/>
        </w:rPr>
        <w:t>Reader V1 BOM configuration and price basis</w:t>
      </w:r>
    </w:p>
    <w:p>
      <w:pPr>
        <w:pStyle w:val="Normal"/>
        <w:keepNext/>
        <w:spacing w:before="0" w:after="50" w:line="250" w:lineRule="auto"/>
        <w:rPr/>
      </w:pPr>
      <w:r>
        <w:rPr>
          <w:rFonts w:ascii="Calibri" w:hAnsi="Calibri"/>
          <w:b/>
          <w:color w:val="000000"/>
          <w:sz w:val="20"/>
        </w:rPr>
        <w:t>Reader V1 reference configuration, priced 13-14 September 2026</w:t>
      </w:r>
    </w:p>
    <w:p>
      <w:pPr>
        <w:pStyle w:val="Normal"/>
        <w:spacing w:before="0" w:after="50" w:line="250" w:lineRule="auto"/>
        <w:rPr/>
      </w:pPr>
      <w:r>
        <w:rPr>
          <w:rFonts w:ascii="Calibri" w:hAnsi="Calibri"/>
          <w:color w:val="000000"/>
          <w:sz w:val="20"/>
        </w:rPr>
        <w:t>This BOM describes one coherent endpoint imaging reference configuration. It uses a manually loaded plate, controlled visible illumination, a fixed camera, local computation and mandatory human review. It is a prototype procurement basis, not a released manufacturing drawing or a clinically qualified instrument.</w:t>
      </w:r>
    </w:p>
    <w:p>
      <w:pPr>
        <w:pStyle w:val="Heading3"/>
        <w:keepNext/>
        <w:keepLines/>
        <w:spacing w:before="240" w:after="120" w:line="269" w:lineRule="auto"/>
      </w:pPr>
      <w:r>
        <w:rPr>
          <w:color w:val="000000"/>
        </w:rPr>
        <w:t>Configuration boundary</w:t>
      </w:r>
    </w:p>
    <w:p>
      <w:pPr>
        <w:pStyle w:val="Normal"/>
        <w:spacing w:before="0" w:after="50" w:line="250" w:lineRule="auto"/>
        <w:rPr/>
      </w:pPr>
      <w:r>
        <w:rPr>
          <w:rFonts w:ascii="Calibri" w:hAnsi="Calibri"/>
          <w:color w:val="000000"/>
          <w:sz w:val="20"/>
        </w:rPr>
        <w:t>The reference uses a Raspberry Pi 5 with 8 GB RAM, an HQ C/CS-mount camera and a 16 mm C-mount lens. A separate 12 V adapter supplies the proposed illumination assembly. The computer uses its official USB-C supply. The reference assumes an existing monitor, keyboard and mouse for local review; these are not included in the hardware total.</w:t>
      </w:r>
    </w:p>
    <w:p>
      <w:pPr>
        <w:keepNext/>
        <w:spacing w:before="0" w:after="50" w:line="250" w:lineRule="auto"/>
      </w:pPr>
      <w:r>
        <w:rPr>
          <w:rFonts w:ascii="Calibri" w:hAnsi="Calibri"/>
          <w:color w:val="000000"/>
          <w:sz w:val="20"/>
        </w:rPr>
        <w:t xml:space="preserve">Price code: L</w:t>
      </w:r>
    </w:p>
    <w:p>
      <w:pPr>
        <w:spacing w:before="0" w:after="50" w:line="250" w:lineRule="auto"/>
      </w:pPr>
      <w:r>
        <w:rPr>
          <w:rFonts w:ascii="Calibri" w:hAnsi="Calibri"/>
          <w:color w:val="000000"/>
          <w:sz w:val="20"/>
        </w:rPr>
        <w:t xml:space="preserve">Meaning throughout this BOM: Displayed supplier price including GST; availability is a listing observation.</w:t>
      </w:r>
    </w:p>
    <w:p>
      <w:pPr>
        <w:keepNext/>
        <w:spacing w:before="0" w:after="50" w:line="250" w:lineRule="auto"/>
      </w:pPr>
      <w:r>
        <w:rPr>
          <w:rFonts w:ascii="Calibri" w:hAnsi="Calibri"/>
          <w:color w:val="000000"/>
          <w:sz w:val="20"/>
        </w:rPr>
        <w:t xml:space="preserve">Price code: U</w:t>
      </w:r>
    </w:p>
    <w:p>
      <w:pPr>
        <w:spacing w:before="0" w:after="50" w:line="250" w:lineRule="auto"/>
      </w:pPr>
      <w:r>
        <w:rPr>
          <w:rFonts w:ascii="Calibri" w:hAnsi="Calibri"/>
          <w:color w:val="000000"/>
          <w:sz w:val="20"/>
        </w:rPr>
        <w:t xml:space="preserve">Meaning throughout this BOM: Displayed supplier price with tax treatment unresolved.</w:t>
      </w:r>
    </w:p>
    <w:p>
      <w:pPr>
        <w:keepNext/>
        <w:spacing w:before="0" w:after="50" w:line="250" w:lineRule="auto"/>
      </w:pPr>
      <w:r>
        <w:rPr>
          <w:rFonts w:ascii="Calibri" w:hAnsi="Calibri"/>
          <w:color w:val="000000"/>
          <w:sz w:val="20"/>
        </w:rPr>
        <w:t xml:space="preserve">Price code: E</w:t>
      </w:r>
    </w:p>
    <w:p>
      <w:pPr>
        <w:spacing w:before="0" w:after="50" w:line="250" w:lineRule="auto"/>
      </w:pPr>
      <w:r>
        <w:rPr>
          <w:rFonts w:ascii="Calibri" w:hAnsi="Calibri"/>
          <w:color w:val="000000"/>
          <w:sz w:val="20"/>
        </w:rPr>
        <w:t xml:space="preserve">Meaning throughout this BOM: Author's engineering allowance excluding GST and shipping; not a supplier quotation.</w:t>
      </w:r>
    </w:p>
    <w:p>
      <w:pPr>
        <w:keepNext/>
        <w:spacing w:before="0" w:after="50" w:line="250" w:lineRule="auto"/>
      </w:pPr>
      <w:r>
        <w:rPr>
          <w:rFonts w:ascii="Calibri" w:hAnsi="Calibri"/>
          <w:color w:val="000000"/>
          <w:sz w:val="20"/>
        </w:rPr>
        <w:t xml:space="preserve">Price code: I</w:t>
      </w:r>
    </w:p>
    <w:p>
      <w:pPr>
        <w:spacing w:before="0" w:after="50" w:line="250" w:lineRule="auto"/>
      </w:pPr>
      <w:r>
        <w:rPr>
          <w:rFonts w:ascii="Calibri" w:hAnsi="Calibri"/>
          <w:color w:val="000000"/>
          <w:sz w:val="20"/>
        </w:rPr>
        <w:t xml:space="preserve">Meaning throughout this BOM: Included in another line; no additional amount.</w:t>
      </w:r>
    </w:p>
    <w:p>
      <w:pPr>
        <w:pStyle w:val="Heading3"/>
        <w:keepNext/>
        <w:keepLines/>
        <w:spacing w:before="240" w:after="120" w:line="269" w:lineRule="auto"/>
      </w:pPr>
      <w:r>
        <w:rPr>
          <w:color w:val="000000"/>
        </w:rPr>
        <w:t>Procurement status</w:t>
      </w:r>
    </w:p>
    <w:p>
      <w:pPr>
        <w:pStyle w:val="Normal"/>
        <w:spacing w:before="0" w:after="50" w:line="250" w:lineRule="auto"/>
        <w:rPr/>
      </w:pPr>
      <w:r>
        <w:rPr>
          <w:rFonts w:ascii="Calibri" w:hAnsi="Calibri"/>
          <w:color w:val="000000"/>
          <w:sz w:val="20"/>
        </w:rPr>
        <w:t>Forty line items are specified. Named candidate parts and merchant SKUs are retained where verified. Custom assemblies and unresolved commodity selections have explicit quotation gaps. No order, stock reservation or destination-specific checkout was completed. Formal quotation dates are therefore unavailable; the stated dates are public-listing observation dates.</w:t>
      </w:r>
    </w:p>
    <w:p>
      <w:pPr>
        <w:pStyle w:val="Normal"/>
        <w:spacing w:before="0" w:after="50" w:line="250" w:lineRule="auto"/>
        <w:rPr/>
      </w:pPr>
      <w:r>
        <w:rPr>
          <w:rFonts w:ascii="Calibri" w:hAnsi="Calibri"/>
          <w:color w:val="000000"/>
          <w:sz w:val="20"/>
        </w:rPr>
        <w:t>The lens and camera cable listings were sold out at observation. Several other items were listed in stock, but neither an Indian storefront nor a dispatch claim establishes confirmed delivery to the project. Before purchase, verify exact variants, invoice treatment, regional plugs, lead times and the complete assembled compatibility.</w:t>
      </w:r>
    </w:p>
    <w:p>
      <w:pPr>
        <w:pStyle w:val="Heading3"/>
        <w:keepNext/>
        <w:keepLines/>
        <w:spacing w:before="240" w:after="120" w:line="269" w:lineRule="auto"/>
      </w:pPr>
      <w:r>
        <w:rPr>
          <w:color w:val="000000"/>
        </w:rPr>
        <w:t>Reader V1 BOM compute and storage</w:t>
      </w:r>
    </w:p>
    <w:p>
      <w:pPr>
        <w:pStyle w:val="Normal"/>
        <w:keepNext/>
        <w:spacing w:before="0" w:after="50" w:line="250" w:lineRule="auto"/>
        <w:rPr/>
      </w:pPr>
      <w:r>
        <w:rPr>
          <w:rFonts w:ascii="Calibri" w:hAnsi="Calibri"/>
          <w:b/>
          <w:color w:val="000000"/>
          <w:sz w:val="20"/>
        </w:rPr>
        <w:t>Local capture and review without a separate accelerator</w:t>
      </w:r>
    </w:p>
    <w:p>
      <w:pPr>
        <w:pStyle w:val="Normal"/>
        <w:spacing w:before="0" w:after="50" w:line="250" w:lineRule="auto"/>
        <w:rPr/>
      </w:pPr>
      <w:r>
        <w:rPr>
          <w:rFonts w:ascii="Calibri" w:hAnsi="Calibri"/>
          <w:color w:val="000000"/>
          <w:sz w:val="20"/>
        </w:rPr>
        <w:t xml:space="preserve">The selected board is a current candidate for a modest endpoint workload. Its inclusion is not a measured throughput claim. Thermal, storage and power behavior require verification under the actual capture and analysis software.  </w:t>
      </w:r>
    </w:p>
    <w:p>
      <w:pPr>
        <w:pStyle w:val="Caption"/>
        <w:keepNext/>
      </w:pPr>
      <w:bookmarkStart w:id="97022" w:name="table_10"/>
      <w:r>
        <w:t>Table 10 Reader V1 compute and storage</w:t>
      </w:r>
      <w:bookmarkEnd w:id="97022"/>
    </w:p>
    <w:tbl>
      <w:tblPr>
        <w:tblStyle w:val="TableGrid"/>
        <w:tblW w:w="10280" w:type="dxa"/>
        <w:jc w:val="center"/>
        <w:tblInd w:w="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0" w:type="dxa"/>
          <w:start w:w="108" w:type="dxa"/>
          <w:bottom w:w="0" w:type="dxa"/>
          <w:end w:w="108" w:type="dxa"/>
        </w:tblCellMar>
        <w:tblLook w:val="04a0" w:noHBand="0" w:noVBand="1" w:firstColumn="1" w:lastRow="0" w:lastColumn="0" w:firstRow="1"/>
      </w:tblPr>
      <w:tblGrid>
        <w:gridCol w:w="648"/>
        <w:gridCol w:w="6480"/>
        <w:gridCol w:w="720"/>
        <w:gridCol w:w="2952"/>
      </w:tblGrid>
      <w:tr>
        <w:trPr>
          <w:cantSplit/>
          <w:tblHeader/>
        </w:trPr>
        <w:tc>
          <w:tcPr>
            <w:tcW w:w="648"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ID</w:t>
            </w:r>
          </w:p>
        </w:tc>
        <w:tc>
          <w:tcPr>
            <w:tcW w:w="6480"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Candidate component or assembly</w:t>
            </w:r>
          </w:p>
        </w:tc>
        <w:tc>
          <w:tcPr>
            <w:tcW w:w="720"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Qty</w:t>
            </w:r>
          </w:p>
        </w:tc>
        <w:tc>
          <w:tcPr>
            <w:tcW w:w="2952"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Unit INR / basis</w:t>
            </w:r>
          </w:p>
        </w:tc>
      </w:tr>
      <w:tr>
        <w:trPr>
          <w:cantSplit/>
        </w:trPr>
        <w:tc>
          <w:tcPr>
            <w:tcW w:w="6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01</w:t>
            </w:r>
          </w:p>
        </w:tc>
        <w:tc>
          <w:tcPr>
            <w:tcW w:w="64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Pi 5, 8 GB; Thingbits TH0489</w:t>
            </w:r>
          </w:p>
        </w:tc>
        <w:tc>
          <w:tcPr>
            <w:tcW w:w="72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19,617.50 L</w:t>
            </w:r>
          </w:p>
        </w:tc>
      </w:tr>
      <w:tr>
        <w:trPr>
          <w:cantSplit/>
        </w:trPr>
        <w:tc>
          <w:tcPr>
            <w:tcW w:w="6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02</w:t>
            </w:r>
          </w:p>
        </w:tc>
        <w:tc>
          <w:tcPr>
            <w:tcW w:w="64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Official Pi 5 Active Cooler; TH0490</w:t>
            </w:r>
          </w:p>
        </w:tc>
        <w:tc>
          <w:tcPr>
            <w:tcW w:w="72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531.00 L</w:t>
            </w:r>
          </w:p>
        </w:tc>
      </w:tr>
      <w:tr>
        <w:trPr>
          <w:cantSplit/>
        </w:trPr>
        <w:tc>
          <w:tcPr>
            <w:tcW w:w="6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03</w:t>
            </w:r>
          </w:p>
        </w:tc>
        <w:tc>
          <w:tcPr>
            <w:tcW w:w="64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SanDisk 64 GB Class 10, No OS; TH1980</w:t>
            </w:r>
          </w:p>
        </w:tc>
        <w:tc>
          <w:tcPr>
            <w:tcW w:w="72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1,475.00 L</w:t>
            </w:r>
          </w:p>
        </w:tc>
      </w:tr>
      <w:tr>
        <w:trPr>
          <w:cantSplit/>
        </w:trPr>
        <w:tc>
          <w:tcPr>
            <w:tcW w:w="6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04</w:t>
            </w:r>
          </w:p>
        </w:tc>
        <w:tc>
          <w:tcPr>
            <w:tcW w:w="64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Official 27 W USB-C PSU, black; TIFPS0447</w:t>
            </w:r>
          </w:p>
        </w:tc>
        <w:tc>
          <w:tcPr>
            <w:tcW w:w="72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1,204.00 L</w:t>
            </w:r>
          </w:p>
        </w:tc>
      </w:tr>
      <w:tr>
        <w:trPr>
          <w:cantSplit/>
        </w:trPr>
        <w:tc>
          <w:tcPr>
            <w:tcW w:w="6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05</w:t>
            </w:r>
          </w:p>
        </w:tc>
        <w:tc>
          <w:tcPr>
            <w:tcW w:w="64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USB-A microSD reader, SDXC compatible</w:t>
            </w:r>
          </w:p>
        </w:tc>
        <w:tc>
          <w:tcPr>
            <w:tcW w:w="72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300.00 E</w:t>
            </w:r>
          </w:p>
        </w:tc>
      </w:tr>
      <w:tr>
        <w:trPr>
          <w:cantSplit/>
        </w:trPr>
        <w:tc>
          <w:tcPr>
            <w:tcW w:w="6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06</w:t>
            </w:r>
          </w:p>
        </w:tc>
        <w:tc>
          <w:tcPr>
            <w:tcW w:w="64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Cat6 patch lead, 2 m, RJ45 to RJ45</w:t>
            </w:r>
          </w:p>
        </w:tc>
        <w:tc>
          <w:tcPr>
            <w:tcW w:w="72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250.00 E</w:t>
            </w:r>
          </w:p>
        </w:tc>
      </w:tr>
      <w:tr>
        <w:trPr>
          <w:cantSplit/>
        </w:trPr>
        <w:tc>
          <w:tcPr>
            <w:tcW w:w="6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07</w:t>
            </w:r>
          </w:p>
        </w:tc>
        <w:tc>
          <w:tcPr>
            <w:tcW w:w="64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Micro-HDMI to HDMI lead, 1 m</w:t>
            </w:r>
          </w:p>
        </w:tc>
        <w:tc>
          <w:tcPr>
            <w:tcW w:w="72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550.00 E</w:t>
            </w:r>
          </w:p>
        </w:tc>
      </w:tr>
      <w:tr>
        <w:trPr>
          <w:cantSplit/>
        </w:trPr>
        <w:tc>
          <w:tcPr>
            <w:tcW w:w="6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08</w:t>
            </w:r>
          </w:p>
        </w:tc>
        <w:tc>
          <w:tcPr>
            <w:tcW w:w="64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Official Pi 5 RTC battery assembly</w:t>
            </w:r>
          </w:p>
        </w:tc>
        <w:tc>
          <w:tcPr>
            <w:tcW w:w="72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650.00 E</w:t>
            </w:r>
          </w:p>
        </w:tc>
      </w:tr>
    </w:tbl>
    <w:p>
      <w:pPr>
        <w:pStyle w:val="Heading3"/>
        <w:keepNext/>
        <w:keepLines/>
        <w:spacing w:before="240" w:after="120" w:line="269" w:lineRule="auto"/>
      </w:pPr>
      <w:r>
        <w:rPr>
          <w:color w:val="000000"/>
        </w:rPr>
        <w:t>Compatibility and sourcing</w:t>
      </w:r>
    </w:p>
    <w:p>
      <w:pPr>
        <w:pStyle w:val="Normal"/>
        <w:spacing w:before="0" w:after="50" w:line="250" w:lineRule="auto"/>
        <w:rPr/>
      </w:pPr>
      <w:r>
        <w:rPr>
          <w:rFonts w:ascii="Calibri" w:hAnsi="Calibri"/>
          <w:color w:val="000000"/>
          <w:sz w:val="20"/>
        </w:rPr>
        <w:t>Lines 01-03 use Thingbits listings observed on 14 September 2026. Line 04 uses the Robocraze listing observed on 13 September. The remaining amounts are engineering allowances; exact commodity SKUs and the RTC assembly quotation remain open.</w:t>
      </w:r>
    </w:p>
    <w:p>
      <w:pPr>
        <w:pStyle w:val="Normal"/>
        <w:spacing w:before="0" w:after="50" w:line="250" w:lineRule="auto"/>
        <w:rPr/>
      </w:pPr>
      <w:r>
        <w:rPr>
          <w:rFonts w:ascii="Calibri" w:hAnsi="Calibri"/>
          <w:color w:val="000000"/>
          <w:sz w:val="20"/>
        </w:rPr>
        <w:t>The active cooler should use the board's intended connector and mounting arrangement. The microSD selection is 64 GB with no preinstalled operating system; the manufacturer's full card suffix, authenticity and write endurance require confirmation. A sustained-write and abrupt-power-loss test should precede use with important records.</w:t>
      </w:r>
    </w:p>
    <w:p>
      <w:pPr>
        <w:pStyle w:val="Normal"/>
        <w:spacing w:before="0" w:after="50" w:line="250" w:lineRule="auto"/>
        <w:rPr/>
      </w:pPr>
      <w:r>
        <w:rPr>
          <w:rFonts w:ascii="Calibri" w:hAnsi="Calibri"/>
          <w:color w:val="000000"/>
          <w:sz w:val="20"/>
        </w:rPr>
        <w:t>The micro-HDMI cable supports an existing review display. The RTC battery supports timekeeping and is not a power backup. Network access should use an authorized local connection. No cloud subscription, GPU accelerator, display, keyboard or mouse is included in this configuration.</w:t>
      </w:r>
    </w:p>
    <w:p>
      <w:pPr>
        <w:pStyle w:val="Heading3"/>
        <w:keepNext/>
        <w:keepLines/>
        <w:spacing w:before="240" w:after="120" w:line="269" w:lineRule="auto"/>
      </w:pPr>
      <w:r>
        <w:rPr>
          <w:color w:val="000000"/>
        </w:rPr>
        <w:t>Reader V1 BOM camera and optics</w:t>
      </w:r>
    </w:p>
    <w:p>
      <w:pPr>
        <w:pStyle w:val="Normal"/>
        <w:keepNext/>
        <w:spacing w:before="0" w:after="50" w:line="250" w:lineRule="auto"/>
        <w:rPr/>
      </w:pPr>
      <w:r>
        <w:rPr>
          <w:rFonts w:ascii="Calibri" w:hAnsi="Calibri"/>
          <w:b/>
          <w:color w:val="000000"/>
          <w:sz w:val="20"/>
        </w:rPr>
        <w:t>A C/CS optical path with an explicitly qualified field of view</w:t>
      </w:r>
    </w:p>
    <w:p>
      <w:pPr>
        <w:pStyle w:val="Normal"/>
        <w:spacing w:before="0" w:after="50" w:line="250" w:lineRule="auto"/>
        <w:rPr/>
      </w:pPr>
      <w:r>
        <w:rPr>
          <w:rFonts w:ascii="Calibri" w:hAnsi="Calibri"/>
          <w:color w:val="000000"/>
          <w:sz w:val="20"/>
        </w:rPr>
        <w:t xml:space="preserve">The selected camera is the C/CS-mount, camera-only variant. The M12 variant is not interchangeable with this lens plan. The included adapter is counted once.  </w:t>
      </w:r>
    </w:p>
    <w:p>
      <w:pPr>
        <w:pStyle w:val="Caption"/>
        <w:keepNext/>
      </w:pPr>
      <w:bookmarkStart w:id="97023" w:name="table_11"/>
      <w:r>
        <w:t>Table 11 Reader V1 camera and optics</w:t>
      </w:r>
      <w:bookmarkEnd w:id="97023"/>
    </w:p>
    <w:tbl>
      <w:tblPr>
        <w:tblStyle w:val="TableGrid"/>
        <w:tblW w:w="10280" w:type="dxa"/>
        <w:jc w:val="center"/>
        <w:tblInd w:w="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0" w:type="dxa"/>
          <w:start w:w="108" w:type="dxa"/>
          <w:bottom w:w="0" w:type="dxa"/>
          <w:end w:w="108" w:type="dxa"/>
        </w:tblCellMar>
        <w:tblLook w:val="04a0" w:noHBand="0" w:noVBand="1" w:firstColumn="1" w:lastRow="0" w:lastColumn="0" w:firstRow="1"/>
      </w:tblPr>
      <w:tblGrid>
        <w:gridCol w:w="648"/>
        <w:gridCol w:w="6480"/>
        <w:gridCol w:w="720"/>
        <w:gridCol w:w="2952"/>
      </w:tblGrid>
      <w:tr>
        <w:trPr>
          <w:cantSplit/>
          <w:tblHeader/>
        </w:trPr>
        <w:tc>
          <w:tcPr>
            <w:tcW w:w="648"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ID</w:t>
            </w:r>
          </w:p>
        </w:tc>
        <w:tc>
          <w:tcPr>
            <w:tcW w:w="6480"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Candidate component or assembly</w:t>
            </w:r>
          </w:p>
        </w:tc>
        <w:tc>
          <w:tcPr>
            <w:tcW w:w="720"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Qty</w:t>
            </w:r>
          </w:p>
        </w:tc>
        <w:tc>
          <w:tcPr>
            <w:tcW w:w="2952"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Unit INR / basis</w:t>
            </w:r>
          </w:p>
        </w:tc>
      </w:tr>
      <w:tr>
        <w:trPr>
          <w:cantSplit/>
        </w:trPr>
        <w:tc>
          <w:tcPr>
            <w:tcW w:w="6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09</w:t>
            </w:r>
          </w:p>
        </w:tc>
        <w:tc>
          <w:tcPr>
            <w:tcW w:w="64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HQ Camera C/CS, IMX477; TH0267</w:t>
            </w:r>
          </w:p>
        </w:tc>
        <w:tc>
          <w:tcPr>
            <w:tcW w:w="72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5,900.00 L</w:t>
            </w:r>
          </w:p>
        </w:tc>
      </w:tr>
      <w:tr>
        <w:trPr>
          <w:cantSplit/>
        </w:trPr>
        <w:tc>
          <w:tcPr>
            <w:tcW w:w="6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10</w:t>
            </w:r>
          </w:p>
        </w:tc>
        <w:tc>
          <w:tcPr>
            <w:tcW w:w="64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16 mm C-mount HQ lens; TIFCM0016</w:t>
            </w:r>
          </w:p>
        </w:tc>
        <w:tc>
          <w:tcPr>
            <w:tcW w:w="72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6,723.00 L</w:t>
            </w:r>
          </w:p>
        </w:tc>
      </w:tr>
      <w:tr>
        <w:trPr>
          <w:cantSplit/>
        </w:trPr>
        <w:tc>
          <w:tcPr>
            <w:tcW w:w="6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11</w:t>
            </w:r>
          </w:p>
        </w:tc>
        <w:tc>
          <w:tcPr>
            <w:tcW w:w="64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Standard-mini camera FFC, 300 mm; TIFCW0078</w:t>
            </w:r>
          </w:p>
        </w:tc>
        <w:tc>
          <w:tcPr>
            <w:tcW w:w="72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213.00 L</w:t>
            </w:r>
          </w:p>
        </w:tc>
      </w:tr>
      <w:tr>
        <w:trPr>
          <w:cantSplit/>
        </w:trPr>
        <w:tc>
          <w:tcPr>
            <w:tcW w:w="6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12</w:t>
            </w:r>
          </w:p>
        </w:tc>
        <w:tc>
          <w:tcPr>
            <w:tcW w:w="64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C-to-CS adapter supplied with HQ camera</w:t>
            </w:r>
          </w:p>
        </w:tc>
        <w:tc>
          <w:tcPr>
            <w:tcW w:w="72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0.00 I</w:t>
            </w:r>
          </w:p>
        </w:tc>
      </w:tr>
      <w:tr>
        <w:trPr>
          <w:cantSplit/>
        </w:trPr>
        <w:tc>
          <w:tcPr>
            <w:tcW w:w="6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13</w:t>
            </w:r>
          </w:p>
        </w:tc>
        <w:tc>
          <w:tcPr>
            <w:tcW w:w="64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Custom adjustable camera mount, 1/4-20 interface</w:t>
            </w:r>
          </w:p>
        </w:tc>
        <w:tc>
          <w:tcPr>
            <w:tcW w:w="72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850.00 E</w:t>
            </w:r>
          </w:p>
        </w:tc>
      </w:tr>
      <w:tr>
        <w:trPr>
          <w:cantSplit/>
        </w:trPr>
        <w:tc>
          <w:tcPr>
            <w:tcW w:w="6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14</w:t>
            </w:r>
          </w:p>
        </w:tc>
        <w:tc>
          <w:tcPr>
            <w:tcW w:w="64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Custom lens support and focus-lock bracket</w:t>
            </w:r>
          </w:p>
        </w:tc>
        <w:tc>
          <w:tcPr>
            <w:tcW w:w="72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450.00 E</w:t>
            </w:r>
          </w:p>
        </w:tc>
      </w:tr>
    </w:tbl>
    <w:p>
      <w:pPr>
        <w:pStyle w:val="Heading3"/>
        <w:keepNext/>
        <w:keepLines/>
        <w:spacing w:before="240" w:after="120" w:line="269" w:lineRule="auto"/>
      </w:pPr>
      <w:r>
        <w:rPr>
          <w:color w:val="000000"/>
        </w:rPr>
        <w:t>Geometric feasibility calculation</w:t>
      </w:r>
    </w:p>
    <w:p>
      <w:pPr>
        <w:pStyle w:val="Normal"/>
        <w:spacing w:before="0" w:after="50" w:line="250" w:lineRule="auto"/>
        <w:rPr/>
      </w:pPr>
      <w:r>
        <w:rPr>
          <w:rFonts w:ascii="Calibri" w:hAnsi="Calibri"/>
          <w:color w:val="000000"/>
          <w:sz w:val="20"/>
        </w:rPr>
        <w:t>Using a 4.712 mm sensor height and a 110 mm illustrative object field gives magnification about 0.0428. A 16 mm thin-lens approximation then places the object about 390 mm from the principal plane. This is an optical design estimate, not a final enclosure dimension. Nominal object sampling is about 36.2 micrometres per pixel, not measurement accuracy.</w:t>
      </w:r>
    </w:p>
    <w:p>
      <w:pPr>
        <w:pStyle w:val="Normal"/>
        <w:spacing w:before="0" w:after="50" w:line="250" w:lineRule="auto"/>
        <w:rPr/>
      </w:pPr>
      <w:r>
        <w:rPr>
          <w:rFonts w:ascii="Calibri" w:hAnsi="Calibri"/>
          <w:color w:val="000000"/>
          <w:sz w:val="20"/>
        </w:rPr>
        <w:t>The lens listing's minimum object distance is 0.2 m; actual focus, field coverage, distortion and edge quality still require a bench check. The frame should allow adjustment and stable locking. The camera cable must be the 15-pin standard to 22-pin mini camera type for the selected board, not a display cable. Place the compute board near the camera so a 300 mm cable is sufficient.</w:t>
      </w:r>
    </w:p>
    <w:p>
      <w:pPr>
        <w:pStyle w:val="Normal"/>
        <w:spacing w:before="0" w:after="50" w:line="250" w:lineRule="auto"/>
        <w:rPr/>
      </w:pPr>
      <w:r>
        <w:rPr>
          <w:rFonts w:ascii="Calibri" w:hAnsi="Calibri"/>
          <w:color w:val="000000"/>
          <w:sz w:val="20"/>
        </w:rPr>
        <w:t>The lens and cable were listed sold out on 13 September. Obtain equivalent exact-part quotations before procurement; do not silently replace the focal length or cable pinout.</w:t>
      </w:r>
    </w:p>
    <w:p>
      <w:pPr>
        <w:pStyle w:val="Heading3"/>
        <w:keepNext/>
        <w:keepLines/>
        <w:spacing w:before="240" w:after="120" w:line="269" w:lineRule="auto"/>
      </w:pPr>
      <w:r>
        <w:rPr>
          <w:color w:val="000000"/>
        </w:rPr>
        <w:t>Reader V1 BOM illumination and calibration</w:t>
      </w:r>
    </w:p>
    <w:p>
      <w:pPr>
        <w:pStyle w:val="Normal"/>
        <w:keepNext/>
        <w:spacing w:before="0" w:after="50" w:line="250" w:lineRule="auto"/>
        <w:rPr/>
      </w:pPr>
      <w:r>
        <w:rPr>
          <w:rFonts w:ascii="Calibri" w:hAnsi="Calibri"/>
          <w:b/>
          <w:color w:val="000000"/>
          <w:sz w:val="20"/>
        </w:rPr>
        <w:t>An engineered light path and a traceable geometric reference</w:t>
      </w:r>
    </w:p>
    <w:p>
      <w:pPr>
        <w:pStyle w:val="Normal"/>
        <w:spacing w:before="0" w:after="50" w:line="250" w:lineRule="auto"/>
        <w:rPr/>
      </w:pPr>
      <w:r>
        <w:rPr>
          <w:rFonts w:ascii="Calibri" w:hAnsi="Calibri"/>
          <w:color w:val="000000"/>
          <w:sz w:val="20"/>
        </w:rPr>
        <w:t>All eight amounts below are engineering allowances, not commercial quotations. The proposed visible-light assembly uses 12 V DC with a design ceiling of 12 W. Spectral selection and geometry remain open until the optical bench establishes adequate contrast and uniformity.</w:t>
      </w:r>
    </w:p>
    <w:p>
      <w:pPr>
        <w:pStyle w:val="Caption"/>
        <w:keepNext/>
      </w:pPr>
      <w:bookmarkStart w:id="97024" w:name="table_12"/>
      <w:r>
        <w:t>Table 12 Reader V1 illumination and calibration</w:t>
      </w:r>
      <w:bookmarkEnd w:id="97024"/>
    </w:p>
    <w:tbl>
      <w:tblPr>
        <w:tblStyle w:val="TableGrid"/>
        <w:tblW w:w="10280" w:type="dxa"/>
        <w:jc w:val="center"/>
        <w:tblInd w:w="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0" w:type="dxa"/>
          <w:start w:w="108" w:type="dxa"/>
          <w:bottom w:w="0" w:type="dxa"/>
          <w:end w:w="108" w:type="dxa"/>
        </w:tblCellMar>
        <w:tblLook w:val="04a0" w:noHBand="0" w:noVBand="1" w:firstColumn="1" w:lastRow="0" w:lastColumn="0" w:firstRow="1"/>
      </w:tblPr>
      <w:tblGrid>
        <w:gridCol w:w="648"/>
        <w:gridCol w:w="6480"/>
        <w:gridCol w:w="720"/>
        <w:gridCol w:w="2952"/>
      </w:tblGrid>
      <w:tr>
        <w:trPr>
          <w:cantSplit/>
          <w:tblHeader/>
        </w:trPr>
        <w:tc>
          <w:tcPr>
            <w:tcW w:w="648"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ID</w:t>
            </w:r>
          </w:p>
        </w:tc>
        <w:tc>
          <w:tcPr>
            <w:tcW w:w="6480"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Candidate component or assembly</w:t>
            </w:r>
          </w:p>
        </w:tc>
        <w:tc>
          <w:tcPr>
            <w:tcW w:w="720"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Qty</w:t>
            </w:r>
          </w:p>
        </w:tc>
        <w:tc>
          <w:tcPr>
            <w:tcW w:w="2952"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Unit INR / basis</w:t>
            </w:r>
          </w:p>
        </w:tc>
      </w:tr>
      <w:tr>
        <w:trPr>
          <w:cantSplit/>
        </w:trPr>
        <w:tc>
          <w:tcPr>
            <w:tcW w:w="6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15</w:t>
            </w:r>
          </w:p>
        </w:tc>
        <w:tc>
          <w:tcPr>
            <w:tcW w:w="64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Custom white LED assembly, 12 V, &lt;=12 W</w:t>
            </w:r>
          </w:p>
        </w:tc>
        <w:tc>
          <w:tcPr>
            <w:tcW w:w="72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1,200.00 E</w:t>
            </w:r>
          </w:p>
        </w:tc>
      </w:tr>
      <w:tr>
        <w:trPr>
          <w:cantSplit/>
        </w:trPr>
        <w:tc>
          <w:tcPr>
            <w:tcW w:w="6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16</w:t>
            </w:r>
          </w:p>
        </w:tc>
        <w:tc>
          <w:tcPr>
            <w:tcW w:w="64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Opal diffuser panel, cut to optical enclosure</w:t>
            </w:r>
          </w:p>
        </w:tc>
        <w:tc>
          <w:tcPr>
            <w:tcW w:w="72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600.00 E</w:t>
            </w:r>
          </w:p>
        </w:tc>
      </w:tr>
      <w:tr>
        <w:trPr>
          <w:cantSplit/>
        </w:trPr>
        <w:tc>
          <w:tcPr>
            <w:tcW w:w="6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17</w:t>
            </w:r>
          </w:p>
        </w:tc>
        <w:tc>
          <w:tcPr>
            <w:tcW w:w="64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White diffuse reflector sheet and mounting</w:t>
            </w:r>
          </w:p>
        </w:tc>
        <w:tc>
          <w:tcPr>
            <w:tcW w:w="72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900.00 E</w:t>
            </w:r>
          </w:p>
        </w:tc>
      </w:tr>
      <w:tr>
        <w:trPr>
          <w:cantSplit/>
        </w:trPr>
        <w:tc>
          <w:tcPr>
            <w:tcW w:w="6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18</w:t>
            </w:r>
          </w:p>
        </w:tc>
        <w:tc>
          <w:tcPr>
            <w:tcW w:w="64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Matte black stray-light baffle set</w:t>
            </w:r>
          </w:p>
        </w:tc>
        <w:tc>
          <w:tcPr>
            <w:tcW w:w="72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350.00 E</w:t>
            </w:r>
          </w:p>
        </w:tc>
      </w:tr>
      <w:tr>
        <w:trPr>
          <w:cantSplit/>
        </w:trPr>
        <w:tc>
          <w:tcPr>
            <w:tcW w:w="6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19</w:t>
            </w:r>
          </w:p>
        </w:tc>
        <w:tc>
          <w:tcPr>
            <w:tcW w:w="64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Aluminium LED heat-spreader carrier</w:t>
            </w:r>
          </w:p>
        </w:tc>
        <w:tc>
          <w:tcPr>
            <w:tcW w:w="72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450.00 E</w:t>
            </w:r>
          </w:p>
        </w:tc>
      </w:tr>
      <w:tr>
        <w:trPr>
          <w:cantSplit/>
        </w:trPr>
        <w:tc>
          <w:tcPr>
            <w:tcW w:w="6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20</w:t>
            </w:r>
          </w:p>
        </w:tc>
        <w:tc>
          <w:tcPr>
            <w:tcW w:w="64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Custom LED enable board, 3.3 V logic, DC drive</w:t>
            </w:r>
          </w:p>
        </w:tc>
        <w:tc>
          <w:tcPr>
            <w:tcW w:w="72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650.00 E</w:t>
            </w:r>
          </w:p>
        </w:tc>
      </w:tr>
      <w:tr>
        <w:trPr>
          <w:cantSplit/>
        </w:trPr>
        <w:tc>
          <w:tcPr>
            <w:tcW w:w="6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21</w:t>
            </w:r>
          </w:p>
        </w:tc>
        <w:tc>
          <w:tcPr>
            <w:tcW w:w="64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Traceable planar geometric calibration artifact</w:t>
            </w:r>
          </w:p>
        </w:tc>
        <w:tc>
          <w:tcPr>
            <w:tcW w:w="72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12,000.00 E</w:t>
            </w:r>
          </w:p>
        </w:tc>
      </w:tr>
      <w:tr>
        <w:trPr>
          <w:cantSplit/>
        </w:trPr>
        <w:tc>
          <w:tcPr>
            <w:tcW w:w="6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22</w:t>
            </w:r>
          </w:p>
        </w:tc>
        <w:tc>
          <w:tcPr>
            <w:tcW w:w="64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Neutral diffuse intensity reference target</w:t>
            </w:r>
          </w:p>
        </w:tc>
        <w:tc>
          <w:tcPr>
            <w:tcW w:w="72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1,500.00 E</w:t>
            </w:r>
          </w:p>
        </w:tc>
      </w:tr>
    </w:tbl>
    <w:p>
      <w:pPr>
        <w:pStyle w:val="Heading3"/>
        <w:keepNext/>
        <w:keepLines/>
        <w:spacing w:before="240" w:after="120" w:line="269" w:lineRule="auto"/>
      </w:pPr>
      <w:r>
        <w:rPr>
          <w:color w:val="000000"/>
        </w:rPr>
        <w:t>Selection and validation requirements</w:t>
      </w:r>
    </w:p>
    <w:p>
      <w:pPr>
        <w:pStyle w:val="Normal"/>
        <w:spacing w:before="0" w:after="50" w:line="250" w:lineRule="auto"/>
        <w:rPr/>
      </w:pPr>
      <w:r>
        <w:rPr>
          <w:rFonts w:ascii="Calibri" w:hAnsi="Calibri"/>
          <w:color w:val="000000"/>
          <w:sz w:val="20"/>
        </w:rPr>
        <w:t>The LED assembly should operate at a stable acquisition condition. The enable board is proposed to switch the low-voltage load using a qualified 3.3 V control interface; it must not draw LED current from a GPIO pin. Continuous DC illumination is the reference mode. Any later dimming or pulsed operation requires exposure-synchronization evaluation.</w:t>
      </w:r>
    </w:p>
    <w:p>
      <w:pPr>
        <w:pStyle w:val="Normal"/>
        <w:spacing w:before="0" w:after="50" w:line="250" w:lineRule="auto"/>
        <w:rPr/>
      </w:pPr>
      <w:r>
        <w:rPr>
          <w:rFonts w:ascii="Calibri" w:hAnsi="Calibri"/>
          <w:color w:val="000000"/>
          <w:sz w:val="20"/>
        </w:rPr>
        <w:t>The calibration artifact allowance is a quotation gap, not a guarantee that INR 12,000 buys the required certificate or uncertainty. Select the artifact after defining the measurand, field and uncertainty budget. The neutral target is for relative intensity checks unless independently characterized. A printed ruler or uncalibrated gray card cannot substitute for traceable geometric calibration.</w:t>
      </w:r>
    </w:p>
    <w:p>
      <w:pPr>
        <w:pStyle w:val="Normal"/>
        <w:spacing w:before="0" w:after="50" w:line="250" w:lineRule="auto"/>
        <w:rPr/>
      </w:pPr>
      <w:r>
        <w:rPr>
          <w:rFonts w:ascii="Calibri" w:hAnsi="Calibri"/>
          <w:color w:val="000000"/>
          <w:sz w:val="20"/>
        </w:rPr>
        <w:t>Diffuser, reflector, baffle and heat-spreader materials require cleanability, stability and optical verification. Their costs must be replaced by supplier quotations after dimensions and material grades are fixed.</w:t>
      </w:r>
    </w:p>
    <w:p>
      <w:pPr>
        <w:pStyle w:val="Heading3"/>
        <w:keepNext/>
        <w:keepLines/>
        <w:spacing w:before="240" w:after="120" w:line="269" w:lineRule="auto"/>
      </w:pPr>
      <w:r>
        <w:rPr>
          <w:color w:val="000000"/>
        </w:rPr>
        <w:t>Reader V1 BOM mechanics and identification</w:t>
      </w:r>
    </w:p>
    <w:p>
      <w:pPr>
        <w:pStyle w:val="Normal"/>
        <w:keepNext/>
        <w:spacing w:before="0" w:after="50" w:line="250" w:lineRule="auto"/>
        <w:rPr/>
      </w:pPr>
      <w:r>
        <w:rPr>
          <w:rFonts w:ascii="Calibri" w:hAnsi="Calibri"/>
          <w:b/>
          <w:color w:val="000000"/>
          <w:sz w:val="20"/>
        </w:rPr>
        <w:t>A manually loaded, serviceable reference instrument</w:t>
      </w:r>
    </w:p>
    <w:p>
      <w:pPr>
        <w:pStyle w:val="Normal"/>
        <w:spacing w:before="0" w:after="50" w:line="250" w:lineRule="auto"/>
        <w:rPr/>
      </w:pPr>
      <w:r>
        <w:rPr>
          <w:rFonts w:ascii="Calibri" w:hAnsi="Calibri"/>
          <w:color w:val="000000"/>
          <w:sz w:val="20"/>
        </w:rPr>
        <w:t>The mechanical items are proposed fabrication and commodity allowances. They do not constitute completed CAD, a fixed product appearance or manufacturing readiness. One frame and one enclosure set are costed for the optical reference configuration.</w:t>
      </w:r>
    </w:p>
    <w:p>
      <w:pPr>
        <w:pStyle w:val="Caption"/>
        <w:keepNext/>
      </w:pPr>
      <w:bookmarkStart w:id="97025" w:name="table_13"/>
      <w:r>
        <w:t>Table 13 Reader V1 mechanics and identification</w:t>
      </w:r>
      <w:bookmarkEnd w:id="97025"/>
    </w:p>
    <w:tbl>
      <w:tblPr>
        <w:tblStyle w:val="TableGrid"/>
        <w:tblW w:w="10280" w:type="dxa"/>
        <w:jc w:val="center"/>
        <w:tblInd w:w="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0" w:type="dxa"/>
          <w:start w:w="108" w:type="dxa"/>
          <w:bottom w:w="0" w:type="dxa"/>
          <w:end w:w="108" w:type="dxa"/>
        </w:tblCellMar>
        <w:tblLook w:val="04a0" w:noHBand="0" w:noVBand="1" w:firstColumn="1" w:lastRow="0" w:lastColumn="0" w:firstRow="1"/>
      </w:tblPr>
      <w:tblGrid>
        <w:gridCol w:w="648"/>
        <w:gridCol w:w="6480"/>
        <w:gridCol w:w="720"/>
        <w:gridCol w:w="2952"/>
      </w:tblGrid>
      <w:tr>
        <w:trPr>
          <w:cantSplit/>
          <w:tblHeader/>
        </w:trPr>
        <w:tc>
          <w:tcPr>
            <w:tcW w:w="648"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ID</w:t>
            </w:r>
          </w:p>
        </w:tc>
        <w:tc>
          <w:tcPr>
            <w:tcW w:w="6480"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Candidate component or assembly</w:t>
            </w:r>
          </w:p>
        </w:tc>
        <w:tc>
          <w:tcPr>
            <w:tcW w:w="720"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Qty</w:t>
            </w:r>
          </w:p>
        </w:tc>
        <w:tc>
          <w:tcPr>
            <w:tcW w:w="2952"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Unit INR / basis</w:t>
            </w:r>
          </w:p>
        </w:tc>
      </w:tr>
      <w:tr>
        <w:trPr>
          <w:cantSplit/>
        </w:trPr>
        <w:tc>
          <w:tcPr>
            <w:tcW w:w="6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23</w:t>
            </w:r>
          </w:p>
        </w:tc>
        <w:tc>
          <w:tcPr>
            <w:tcW w:w="64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2020 extrusion frame, cut lengths and corners</w:t>
            </w:r>
          </w:p>
        </w:tc>
        <w:tc>
          <w:tcPr>
            <w:tcW w:w="72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3,200.00 E</w:t>
            </w:r>
          </w:p>
        </w:tc>
      </w:tr>
      <w:tr>
        <w:trPr>
          <w:cantSplit/>
        </w:trPr>
        <w:tc>
          <w:tcPr>
            <w:tcW w:w="6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24</w:t>
            </w:r>
          </w:p>
        </w:tc>
        <w:tc>
          <w:tcPr>
            <w:tcW w:w="64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Opaque enclosure panel and access-door set</w:t>
            </w:r>
          </w:p>
        </w:tc>
        <w:tc>
          <w:tcPr>
            <w:tcW w:w="72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2,200.00 E</w:t>
            </w:r>
          </w:p>
        </w:tc>
      </w:tr>
      <w:tr>
        <w:trPr>
          <w:cantSplit/>
        </w:trPr>
        <w:tc>
          <w:tcPr>
            <w:tcW w:w="6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25</w:t>
            </w:r>
          </w:p>
        </w:tc>
        <w:tc>
          <w:tcPr>
            <w:tcW w:w="64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Removable plate holder for reference plate size</w:t>
            </w:r>
          </w:p>
        </w:tc>
        <w:tc>
          <w:tcPr>
            <w:tcW w:w="72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900.00 E</w:t>
            </w:r>
          </w:p>
        </w:tc>
      </w:tr>
      <w:tr>
        <w:trPr>
          <w:cantSplit/>
        </w:trPr>
        <w:tc>
          <w:tcPr>
            <w:tcW w:w="6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26</w:t>
            </w:r>
          </w:p>
        </w:tc>
        <w:tc>
          <w:tcPr>
            <w:tcW w:w="64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Removable catch tray, cleanable material</w:t>
            </w:r>
          </w:p>
        </w:tc>
        <w:tc>
          <w:tcPr>
            <w:tcW w:w="72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700.00 E</w:t>
            </w:r>
          </w:p>
        </w:tc>
      </w:tr>
      <w:tr>
        <w:trPr>
          <w:cantSplit/>
        </w:trPr>
        <w:tc>
          <w:tcPr>
            <w:tcW w:w="6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27</w:t>
            </w:r>
          </w:p>
        </w:tc>
        <w:tc>
          <w:tcPr>
            <w:tcW w:w="64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Hinge and latch assembly</w:t>
            </w:r>
          </w:p>
        </w:tc>
        <w:tc>
          <w:tcPr>
            <w:tcW w:w="72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500.00 E</w:t>
            </w:r>
          </w:p>
        </w:tc>
      </w:tr>
      <w:tr>
        <w:trPr>
          <w:cantSplit/>
        </w:trPr>
        <w:tc>
          <w:tcPr>
            <w:tcW w:w="6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28</w:t>
            </w:r>
          </w:p>
        </w:tc>
        <w:tc>
          <w:tcPr>
            <w:tcW w:w="64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Anti-slip instrument feet</w:t>
            </w:r>
          </w:p>
        </w:tc>
        <w:tc>
          <w:tcPr>
            <w:tcW w:w="72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4</w:t>
            </w:r>
          </w:p>
        </w:tc>
        <w:tc>
          <w:tcPr>
            <w:tcW w:w="2952"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75.00 E</w:t>
            </w:r>
          </w:p>
        </w:tc>
      </w:tr>
      <w:tr>
        <w:trPr>
          <w:cantSplit/>
        </w:trPr>
        <w:tc>
          <w:tcPr>
            <w:tcW w:w="6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29</w:t>
            </w:r>
          </w:p>
        </w:tc>
        <w:tc>
          <w:tcPr>
            <w:tcW w:w="64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Fastener and standoff kit</w:t>
            </w:r>
          </w:p>
        </w:tc>
        <w:tc>
          <w:tcPr>
            <w:tcW w:w="72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600.00 E</w:t>
            </w:r>
          </w:p>
        </w:tc>
      </w:tr>
      <w:tr>
        <w:trPr>
          <w:cantSplit/>
        </w:trPr>
        <w:tc>
          <w:tcPr>
            <w:tcW w:w="6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30</w:t>
            </w:r>
          </w:p>
        </w:tc>
        <w:tc>
          <w:tcPr>
            <w:tcW w:w="64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Durable instrument and plate barcode label kit</w:t>
            </w:r>
          </w:p>
        </w:tc>
        <w:tc>
          <w:tcPr>
            <w:tcW w:w="72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300.00 E</w:t>
            </w:r>
          </w:p>
        </w:tc>
      </w:tr>
    </w:tbl>
    <w:p>
      <w:pPr>
        <w:pStyle w:val="Heading3"/>
        <w:keepNext/>
        <w:keepLines/>
        <w:spacing w:before="240" w:after="120" w:line="269" w:lineRule="auto"/>
      </w:pPr>
      <w:r>
        <w:rPr>
          <w:color w:val="000000"/>
        </w:rPr>
        <w:t>Fit and serviceability</w:t>
      </w:r>
    </w:p>
    <w:p>
      <w:pPr>
        <w:pStyle w:val="Normal"/>
        <w:spacing w:before="0" w:after="50" w:line="250" w:lineRule="auto"/>
        <w:rPr/>
      </w:pPr>
      <w:r>
        <w:rPr>
          <w:rFonts w:ascii="Calibri" w:hAnsi="Calibri"/>
          <w:color w:val="000000"/>
          <w:sz w:val="20"/>
        </w:rPr>
        <w:t>The frame must accommodate the optical working distance established on the bench, the selected plate field and stable camera mounting. The holder should locate the intended plate family reproducibly without obscuring relevant growth or labels. A different plate size requires a separate fit and field-of-view check.</w:t>
      </w:r>
    </w:p>
    <w:p>
      <w:pPr>
        <w:pStyle w:val="Normal"/>
        <w:spacing w:before="0" w:after="50" w:line="250" w:lineRule="auto"/>
        <w:rPr/>
      </w:pPr>
      <w:r>
        <w:rPr>
          <w:rFonts w:ascii="Calibri" w:hAnsi="Calibri"/>
          <w:color w:val="000000"/>
          <w:sz w:val="20"/>
        </w:rPr>
        <w:t>The removable tray and enclosure should support the laboratory's qualified cleaning procedure. Hinges, latches and feet should preserve stability during normal loading. Fasteners and standoffs are a single kit allowance; final quantities belong in controlled assembly drawings.</w:t>
      </w:r>
    </w:p>
    <w:p>
      <w:pPr>
        <w:pStyle w:val="Normal"/>
        <w:spacing w:before="0" w:after="50" w:line="250" w:lineRule="auto"/>
        <w:rPr/>
      </w:pPr>
      <w:r>
        <w:rPr>
          <w:rFonts w:ascii="Calibri" w:hAnsi="Calibri"/>
          <w:color w:val="000000"/>
          <w:sz w:val="20"/>
        </w:rPr>
        <w:t>The initial identification path uses image-readable labels or manually verified identifiers within the proposed review workflow. A separate barcode scanner and printer are not included. Label media must remain legible under the intended handling and cleaning conditions. Supplier selection, material grades, tolerances and fabrication lead times remain quotation and engineering gaps for every item on this page.</w:t>
      </w:r>
    </w:p>
    <w:p>
      <w:pPr>
        <w:pStyle w:val="Heading3"/>
        <w:keepNext/>
        <w:keepLines/>
        <w:spacing w:before="240" w:after="120" w:line="269" w:lineRule="auto"/>
      </w:pPr>
      <w:r>
        <w:rPr>
          <w:color w:val="000000"/>
        </w:rPr>
        <w:t>Reader V1 BOM power wiring and environmental checks</w:t>
      </w:r>
    </w:p>
    <w:p>
      <w:pPr>
        <w:pStyle w:val="Normal"/>
        <w:keepNext/>
        <w:spacing w:before="0" w:after="50" w:line="250" w:lineRule="auto"/>
        <w:rPr/>
      </w:pPr>
      <w:r>
        <w:rPr>
          <w:rFonts w:ascii="Calibri" w:hAnsi="Calibri"/>
          <w:b/>
          <w:color w:val="000000"/>
          <w:sz w:val="20"/>
        </w:rPr>
        <w:t>Separated power domains and basic environmental context</w:t>
      </w:r>
    </w:p>
    <w:p>
      <w:pPr>
        <w:pStyle w:val="Normal"/>
        <w:spacing w:before="0" w:after="50" w:line="250" w:lineRule="auto"/>
        <w:rPr/>
      </w:pPr>
      <w:r>
        <w:rPr>
          <w:rFonts w:ascii="Calibri" w:hAnsi="Calibri"/>
          <w:color w:val="000000"/>
          <w:sz w:val="20"/>
        </w:rPr>
        <w:t xml:space="preserve">The 12 V adapter powers illumination; the computer has its separate USB-C supply. The SHT40 is a candidate ambient temperature/humidity monitor, not a resistance detector.  </w:t>
      </w:r>
    </w:p>
    <w:p>
      <w:pPr>
        <w:pStyle w:val="Caption"/>
        <w:keepNext/>
      </w:pPr>
      <w:bookmarkStart w:id="97026" w:name="table_14"/>
      <w:r>
        <w:t>Table 14 Reader V1 power wiring and environmental checks</w:t>
      </w:r>
      <w:bookmarkEnd w:id="97026"/>
    </w:p>
    <w:tbl>
      <w:tblPr>
        <w:tblStyle w:val="TableGrid"/>
        <w:tblW w:w="10280" w:type="dxa"/>
        <w:jc w:val="center"/>
        <w:tblInd w:w="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0" w:type="dxa"/>
          <w:start w:w="108" w:type="dxa"/>
          <w:bottom w:w="0" w:type="dxa"/>
          <w:end w:w="108" w:type="dxa"/>
        </w:tblCellMar>
        <w:tblLook w:val="04a0" w:noHBand="0" w:noVBand="1" w:firstColumn="1" w:lastRow="0" w:lastColumn="0" w:firstRow="1"/>
      </w:tblPr>
      <w:tblGrid>
        <w:gridCol w:w="648"/>
        <w:gridCol w:w="6480"/>
        <w:gridCol w:w="720"/>
        <w:gridCol w:w="2952"/>
      </w:tblGrid>
      <w:tr>
        <w:trPr>
          <w:cantSplit/>
          <w:tblHeader/>
        </w:trPr>
        <w:tc>
          <w:tcPr>
            <w:tcW w:w="648"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ID</w:t>
            </w:r>
          </w:p>
        </w:tc>
        <w:tc>
          <w:tcPr>
            <w:tcW w:w="6480"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Candidate component or assembly</w:t>
            </w:r>
          </w:p>
        </w:tc>
        <w:tc>
          <w:tcPr>
            <w:tcW w:w="720"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Qty</w:t>
            </w:r>
          </w:p>
        </w:tc>
        <w:tc>
          <w:tcPr>
            <w:tcW w:w="2952"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Unit INR / basis</w:t>
            </w:r>
          </w:p>
        </w:tc>
      </w:tr>
      <w:tr>
        <w:trPr>
          <w:cantSplit/>
        </w:trPr>
        <w:tc>
          <w:tcPr>
            <w:tcW w:w="6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31</w:t>
            </w:r>
          </w:p>
        </w:tc>
        <w:tc>
          <w:tcPr>
            <w:tcW w:w="64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MEAN WELL GST25A12-P1J; element14 2815879</w:t>
            </w:r>
          </w:p>
        </w:tc>
        <w:tc>
          <w:tcPr>
            <w:tcW w:w="72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1,333.13 U</w:t>
            </w:r>
          </w:p>
        </w:tc>
      </w:tr>
      <w:tr>
        <w:trPr>
          <w:cantSplit/>
        </w:trPr>
        <w:tc>
          <w:tcPr>
            <w:tcW w:w="6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32</w:t>
            </w:r>
          </w:p>
        </w:tc>
        <w:tc>
          <w:tcPr>
            <w:tcW w:w="64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India earthed plug to IEC C13 mains lead</w:t>
            </w:r>
          </w:p>
        </w:tc>
        <w:tc>
          <w:tcPr>
            <w:tcW w:w="72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450.00 E</w:t>
            </w:r>
          </w:p>
        </w:tc>
      </w:tr>
      <w:tr>
        <w:trPr>
          <w:cantSplit/>
        </w:trPr>
        <w:tc>
          <w:tcPr>
            <w:tcW w:w="6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33</w:t>
            </w:r>
          </w:p>
        </w:tc>
        <w:tc>
          <w:tcPr>
            <w:tcW w:w="64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Panel DC jack, 5.5 x 2.1 mm, centre positive</w:t>
            </w:r>
          </w:p>
        </w:tc>
        <w:tc>
          <w:tcPr>
            <w:tcW w:w="72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120.00 E</w:t>
            </w:r>
          </w:p>
        </w:tc>
      </w:tr>
      <w:tr>
        <w:trPr>
          <w:cantSplit/>
        </w:trPr>
        <w:tc>
          <w:tcPr>
            <w:tcW w:w="6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34</w:t>
            </w:r>
          </w:p>
        </w:tc>
        <w:tc>
          <w:tcPr>
            <w:tcW w:w="64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DC illumination master switch</w:t>
            </w:r>
          </w:p>
        </w:tc>
        <w:tc>
          <w:tcPr>
            <w:tcW w:w="72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150.00 E</w:t>
            </w:r>
          </w:p>
        </w:tc>
      </w:tr>
      <w:tr>
        <w:trPr>
          <w:cantSplit/>
        </w:trPr>
        <w:tc>
          <w:tcPr>
            <w:tcW w:w="6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35</w:t>
            </w:r>
          </w:p>
        </w:tc>
        <w:tc>
          <w:tcPr>
            <w:tcW w:w="64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DC fuse holder and fuse set</w:t>
            </w:r>
          </w:p>
        </w:tc>
        <w:tc>
          <w:tcPr>
            <w:tcW w:w="72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250.00 E</w:t>
            </w:r>
          </w:p>
        </w:tc>
      </w:tr>
      <w:tr>
        <w:trPr>
          <w:cantSplit/>
        </w:trPr>
        <w:tc>
          <w:tcPr>
            <w:tcW w:w="6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36</w:t>
            </w:r>
          </w:p>
        </w:tc>
        <w:tc>
          <w:tcPr>
            <w:tcW w:w="64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Low-voltage wiring harness and strain relief</w:t>
            </w:r>
          </w:p>
        </w:tc>
        <w:tc>
          <w:tcPr>
            <w:tcW w:w="72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500.00 E</w:t>
            </w:r>
          </w:p>
        </w:tc>
      </w:tr>
      <w:tr>
        <w:trPr>
          <w:cantSplit/>
        </w:trPr>
        <w:tc>
          <w:tcPr>
            <w:tcW w:w="6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37</w:t>
            </w:r>
          </w:p>
        </w:tc>
        <w:tc>
          <w:tcPr>
            <w:tcW w:w="64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Adafruit SHT40 4885; Thingbits TH2066</w:t>
            </w:r>
          </w:p>
        </w:tc>
        <w:tc>
          <w:tcPr>
            <w:tcW w:w="72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695.02 L</w:t>
            </w:r>
          </w:p>
        </w:tc>
      </w:tr>
      <w:tr>
        <w:trPr>
          <w:cantSplit/>
        </w:trPr>
        <w:tc>
          <w:tcPr>
            <w:tcW w:w="6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38</w:t>
            </w:r>
          </w:p>
        </w:tc>
        <w:tc>
          <w:tcPr>
            <w:tcW w:w="64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JST-SH 4-pin QT to GPIO interface cable</w:t>
            </w:r>
          </w:p>
        </w:tc>
        <w:tc>
          <w:tcPr>
            <w:tcW w:w="72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180.00 E</w:t>
            </w:r>
          </w:p>
        </w:tc>
      </w:tr>
      <w:tr>
        <w:trPr>
          <w:cantSplit/>
        </w:trPr>
        <w:tc>
          <w:tcPr>
            <w:tcW w:w="648"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39</w:t>
            </w:r>
          </w:p>
        </w:tc>
        <w:tc>
          <w:tcPr>
            <w:tcW w:w="64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Lid-position switch and 3.3 V input assembly</w:t>
            </w:r>
          </w:p>
        </w:tc>
        <w:tc>
          <w:tcPr>
            <w:tcW w:w="72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250.00 E</w:t>
            </w:r>
          </w:p>
        </w:tc>
      </w:tr>
      <w:tr>
        <w:trPr>
          <w:cantSplit/>
        </w:trPr>
        <w:tc>
          <w:tcPr>
            <w:tcW w:w="648"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40</w:t>
            </w:r>
          </w:p>
        </w:tc>
        <w:tc>
          <w:tcPr>
            <w:tcW w:w="64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Protective bonding hardware kit</w:t>
            </w:r>
          </w:p>
        </w:tc>
        <w:tc>
          <w:tcPr>
            <w:tcW w:w="72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w:t>
            </w:r>
          </w:p>
        </w:tc>
        <w:tc>
          <w:tcPr>
            <w:tcW w:w="2952"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250.00 E</w:t>
            </w:r>
          </w:p>
        </w:tc>
      </w:tr>
    </w:tbl>
    <w:p>
      <w:pPr>
        <w:pStyle w:val="Heading3"/>
        <w:keepNext/>
        <w:keepLines/>
        <w:spacing w:before="240" w:after="120" w:line="269" w:lineRule="auto"/>
      </w:pPr>
      <w:r>
        <w:rPr>
          <w:color w:val="000000"/>
        </w:rPr>
        <w:t>Electrical compatibility and quotation gaps</w:t>
      </w:r>
    </w:p>
    <w:p>
      <w:pPr>
        <w:pStyle w:val="Normal"/>
        <w:spacing w:before="0" w:after="50" w:line="250" w:lineRule="auto"/>
        <w:rPr/>
      </w:pPr>
      <w:r>
        <w:rPr>
          <w:rFonts w:ascii="Calibri" w:hAnsi="Calibri"/>
          <w:color w:val="000000"/>
          <w:sz w:val="20"/>
        </w:rPr>
        <w:t>The MEAN WELL adapter is 12 V, 2.08 A with a centre-positive 5.5 × 2.1 mm output. Its inspected listing shows UK stock and INR 1,333.13; tax and destination delivery remain unresolved. The matching earthed IEC lead is a separate allowance. Product-level electrical safety still requires assessment.</w:t>
      </w:r>
    </w:p>
    <w:p>
      <w:pPr>
        <w:pStyle w:val="Normal"/>
        <w:spacing w:before="0" w:after="50" w:line="250" w:lineRule="auto"/>
        <w:rPr/>
      </w:pPr>
      <w:r>
        <w:rPr>
          <w:rFonts w:ascii="Calibri" w:hAnsi="Calibri"/>
          <w:color w:val="000000"/>
          <w:sz w:val="20"/>
        </w:rPr>
        <w:t>Use the SHT40 interface at a qualified 3.3 V logic configuration. Verify the QT cable pinout and mounting away from heat sources. The lid input supports workflow state; it is not a certified safety interlock. Fuse rating, wire gauge, bonding and protection require design review and load tests before assembly release. No mains wiring should be improvised inside the optical enclosure.</w:t>
      </w:r>
    </w:p>
    <w:p>
      <w:pPr>
        <w:pStyle w:val="Heading3"/>
        <w:keepNext/>
        <w:keepLines/>
        <w:spacing w:before="240" w:after="120" w:line="269" w:lineRule="auto"/>
      </w:pPr>
      <w:r>
        <w:rPr>
          <w:color w:val="000000"/>
        </w:rPr>
        <w:t>Reader V1 BOM alternatives compatibility and procurement</w:t>
      </w:r>
    </w:p>
    <w:p>
      <w:pPr>
        <w:pStyle w:val="Normal"/>
        <w:keepNext/>
        <w:spacing w:before="0" w:after="50" w:line="250" w:lineRule="auto"/>
        <w:rPr/>
      </w:pPr>
      <w:r>
        <w:rPr>
          <w:rFonts w:ascii="Calibri" w:hAnsi="Calibri"/>
          <w:b/>
          <w:color w:val="000000"/>
          <w:sz w:val="20"/>
        </w:rPr>
        <w:t>Substitution requires a compatibility decision and a new price check</w:t>
      </w:r>
    </w:p>
    <w:p>
      <w:pPr>
        <w:pStyle w:val="Normal"/>
        <w:spacing w:before="0" w:after="50" w:line="250" w:lineRule="auto"/>
        <w:rPr/>
      </w:pPr>
      <w:r>
        <w:rPr>
          <w:rFonts w:ascii="Calibri" w:hAnsi="Calibri"/>
          <w:color w:val="000000"/>
          <w:sz w:val="20"/>
        </w:rPr>
        <w:t>The reference is coherent at the interface level, but assembly performance has not been demonstrated. An available alternative should be selected only after checking its electrical, optical, mechanical and software consequences. A lower listing price does not establish an equivalent measurement system.</w:t>
      </w:r>
    </w:p>
    <w:p>
      <w:pPr>
        <w:keepNext/>
        <w:spacing w:before="0" w:after="50" w:line="250" w:lineRule="auto"/>
      </w:pPr>
      <w:r>
        <w:rPr>
          <w:rFonts w:ascii="Calibri" w:hAnsi="Calibri"/>
          <w:color w:val="000000"/>
          <w:sz w:val="20"/>
        </w:rPr>
        <w:t xml:space="preserve">Candidate alternative: Pi 5 8 GB, Robocraze TIFC00186</w:t>
      </w:r>
    </w:p>
    <w:p>
      <w:pPr>
        <w:spacing w:before="0" w:after="50" w:line="250" w:lineRule="auto"/>
      </w:pPr>
      <w:r>
        <w:rPr>
          <w:rFonts w:ascii="Calibri" w:hAnsi="Calibri"/>
          <w:color w:val="000000"/>
          <w:sz w:val="20"/>
        </w:rPr>
        <w:t xml:space="preserve">Required decision before substitution: INR 19,999 including GST; sold out on 13 September. Same memory variant required.</w:t>
      </w:r>
    </w:p>
    <w:p>
      <w:pPr>
        <w:keepNext/>
        <w:spacing w:before="0" w:after="50" w:line="250" w:lineRule="auto"/>
      </w:pPr>
      <w:r>
        <w:rPr>
          <w:rFonts w:ascii="Calibri" w:hAnsi="Calibri"/>
          <w:color w:val="000000"/>
          <w:sz w:val="20"/>
        </w:rPr>
        <w:t xml:space="preserve">Candidate alternative: HQ camera, Robocraze TIFCM0021</w:t>
      </w:r>
    </w:p>
    <w:p>
      <w:pPr>
        <w:spacing w:before="0" w:after="50" w:line="250" w:lineRule="auto"/>
      </w:pPr>
      <w:r>
        <w:rPr>
          <w:rFonts w:ascii="Calibri" w:hAnsi="Calibri"/>
          <w:color w:val="000000"/>
          <w:sz w:val="20"/>
        </w:rPr>
        <w:t xml:space="preserve">Required decision before substitution: INR 6,723 including GST; sold out on 13 September. Confirm C/CS mount and included adapter.</w:t>
      </w:r>
    </w:p>
    <w:p>
      <w:pPr>
        <w:keepNext/>
        <w:spacing w:before="0" w:after="50" w:line="250" w:lineRule="auto"/>
      </w:pPr>
      <w:r>
        <w:rPr>
          <w:rFonts w:ascii="Calibri" w:hAnsi="Calibri"/>
          <w:color w:val="000000"/>
          <w:sz w:val="20"/>
        </w:rPr>
        <w:t xml:space="preserve">Candidate alternative: Official white 27 W PSU, Silverline</w:t>
      </w:r>
    </w:p>
    <w:p>
      <w:pPr>
        <w:spacing w:before="0" w:after="50" w:line="250" w:lineRule="auto"/>
      </w:pPr>
      <w:r>
        <w:rPr>
          <w:rFonts w:ascii="Calibri" w:hAnsi="Calibri"/>
          <w:color w:val="000000"/>
          <w:sz w:val="20"/>
        </w:rPr>
        <w:t xml:space="preserve">Required decision before substitution: INR 1,020 displayed; tax treatment unresolved. Confirm regional plug and exact assembly.</w:t>
      </w:r>
    </w:p>
    <w:p>
      <w:pPr>
        <w:keepNext/>
        <w:spacing w:before="0" w:after="50" w:line="250" w:lineRule="auto"/>
      </w:pPr>
      <w:r>
        <w:rPr>
          <w:rFonts w:ascii="Calibri" w:hAnsi="Calibri"/>
          <w:color w:val="000000"/>
          <w:sz w:val="20"/>
        </w:rPr>
        <w:t xml:space="preserve">Candidate alternative: Another C-mount lens</w:t>
      </w:r>
    </w:p>
    <w:p>
      <w:pPr>
        <w:spacing w:before="0" w:after="50" w:line="250" w:lineRule="auto"/>
      </w:pPr>
      <w:r>
        <w:rPr>
          <w:rFonts w:ascii="Calibri" w:hAnsi="Calibri"/>
          <w:color w:val="000000"/>
          <w:sz w:val="20"/>
        </w:rPr>
        <w:t xml:space="preserve">Required decision before substitution: Re-evaluate focal length, sensor coverage, focus and distortion; current quotation required.</w:t>
      </w:r>
    </w:p>
    <w:p>
      <w:pPr>
        <w:keepNext/>
        <w:spacing w:before="0" w:after="50" w:line="250" w:lineRule="auto"/>
      </w:pPr>
      <w:r>
        <w:rPr>
          <w:rFonts w:ascii="Calibri" w:hAnsi="Calibri"/>
          <w:color w:val="000000"/>
          <w:sz w:val="20"/>
        </w:rPr>
        <w:t xml:space="preserve">Candidate alternative: Another storage medium</w:t>
      </w:r>
    </w:p>
    <w:p>
      <w:pPr>
        <w:spacing w:before="0" w:after="50" w:line="250" w:lineRule="auto"/>
      </w:pPr>
      <w:r>
        <w:rPr>
          <w:rFonts w:ascii="Calibri" w:hAnsi="Calibri"/>
          <w:color w:val="000000"/>
          <w:sz w:val="20"/>
        </w:rPr>
        <w:t xml:space="preserve">Required decision before substitution: Requalify write reliability, boot, power-loss behavior and retention.</w:t>
      </w:r>
    </w:p>
    <w:p>
      <w:pPr>
        <w:keepNext/>
        <w:spacing w:before="0" w:after="50" w:line="250" w:lineRule="auto"/>
      </w:pPr>
      <w:r>
        <w:rPr>
          <w:rFonts w:ascii="Calibri" w:hAnsi="Calibri"/>
          <w:color w:val="000000"/>
          <w:sz w:val="20"/>
        </w:rPr>
        <w:t xml:space="preserve">Candidate alternative: Industrial camera or compute module</w:t>
      </w:r>
    </w:p>
    <w:p>
      <w:pPr>
        <w:spacing w:before="0" w:after="50" w:line="250" w:lineRule="auto"/>
      </w:pPr>
      <w:r>
        <w:rPr>
          <w:rFonts w:ascii="Calibri" w:hAnsi="Calibri"/>
          <w:color w:val="000000"/>
          <w:sz w:val="20"/>
        </w:rPr>
        <w:t xml:space="preserve">Required decision before substitution: Treat as a configuration change with new interfaces and calibration.</w:t>
      </w:r>
    </w:p>
    <w:p>
      <w:pPr>
        <w:pStyle w:val="Heading3"/>
        <w:keepNext/>
        <w:keepLines/>
        <w:spacing w:before="240" w:after="120" w:line="269" w:lineRule="auto"/>
      </w:pPr>
      <w:r>
        <w:rPr>
          <w:color w:val="000000"/>
        </w:rPr>
        <w:t>Supplier evidence to obtain</w:t>
      </w:r>
    </w:p>
    <w:p>
      <w:pPr>
        <w:pStyle w:val="Normal"/>
        <w:spacing w:before="0" w:after="50" w:line="250" w:lineRule="auto"/>
        <w:rPr/>
      </w:pPr>
      <w:r>
        <w:rPr>
          <w:rFonts w:ascii="Calibri" w:hAnsi="Calibri"/>
          <w:color w:val="000000"/>
          <w:sz w:val="20"/>
        </w:rPr>
        <w:t>Before ordering, request the full manufacturer part number where a merchant SKU is insufficient, the selected variant, invoice GST treatment, shipping and any import charges. Obtain actual dispatch origin and destination-specific delivery confirmation. A listing's inventory counter is an observation, not reserved stock.</w:t>
      </w:r>
    </w:p>
    <w:p>
      <w:pPr>
        <w:pStyle w:val="Normal"/>
        <w:spacing w:before="0" w:after="50" w:line="250" w:lineRule="auto"/>
        <w:rPr/>
      </w:pPr>
      <w:r>
        <w:rPr>
          <w:rFonts w:ascii="Calibri" w:hAnsi="Calibri"/>
          <w:color w:val="000000"/>
          <w:sz w:val="20"/>
        </w:rPr>
        <w:t>For custom parts, issue drawings or functional specifications before requesting a formal quotation. Record revision, material, quantity, tolerance, finish and acceptance criteria. The procurement decision should preserve the source and date of the accepted quotation, while retaining this dated reference as an earlier planning basis.</w:t>
      </w:r>
    </w:p>
    <w:p>
      <w:pPr>
        <w:pStyle w:val="Heading3"/>
        <w:keepNext/>
        <w:keepLines/>
        <w:spacing w:before="240" w:after="120" w:line="269" w:lineRule="auto"/>
      </w:pPr>
      <w:r>
        <w:rPr>
          <w:color w:val="000000"/>
        </w:rPr>
        <w:t>Reader V1 BOM totals exclusions and verification gaps</w:t>
      </w:r>
    </w:p>
    <w:p>
      <w:pPr>
        <w:pStyle w:val="Normal"/>
        <w:keepNext/>
        <w:spacing w:before="0" w:after="50" w:line="250" w:lineRule="auto"/>
        <w:rPr/>
      </w:pPr>
      <w:r>
        <w:rPr>
          <w:rFonts w:ascii="Calibri" w:hAnsi="Calibri"/>
          <w:b/>
          <w:color w:val="000000"/>
          <w:sz w:val="20"/>
        </w:rPr>
        <w:t>The planning sum is INR 69,241.65 before unresolved charges</w:t>
      </w:r>
    </w:p>
    <w:p>
      <w:pPr>
        <w:pStyle w:val="Normal"/>
        <w:spacing w:before="0" w:after="50" w:line="250" w:lineRule="auto"/>
        <w:rPr/>
      </w:pPr>
      <w:r>
        <w:rPr>
          <w:rFonts w:ascii="Calibri" w:hAnsi="Calibri"/>
          <w:color w:val="000000"/>
          <w:sz w:val="20"/>
        </w:rPr>
        <w:t>This figure combines displayed prices and explicit engineering allowances. It is not a fully taxed delivered quotation, a manufacturing cost or a selling price. The basis is intentionally separated below so that uncertain amounts do not appear commercially verified.</w:t>
      </w:r>
    </w:p>
    <w:p>
      <w:pPr>
        <w:keepNext/>
        <w:spacing w:before="0" w:after="50" w:line="250" w:lineRule="auto"/>
      </w:pPr>
      <w:r>
        <w:rPr>
          <w:rFonts w:ascii="Calibri" w:hAnsi="Calibri"/>
          <w:color w:val="000000"/>
          <w:sz w:val="20"/>
        </w:rPr>
        <w:t xml:space="preserve">Cost basis: L: displayed supplier amounts, GST included</w:t>
      </w:r>
    </w:p>
    <w:p>
      <w:pPr>
        <w:spacing w:before="0" w:after="50" w:line="250" w:lineRule="auto"/>
      </w:pPr>
      <w:r>
        <w:rPr>
          <w:rFonts w:ascii="Calibri" w:hAnsi="Calibri"/>
          <w:color w:val="000000"/>
          <w:sz w:val="20"/>
        </w:rPr>
        <w:t xml:space="preserve">INR: 36,358.52</w:t>
      </w:r>
    </w:p>
    <w:p>
      <w:pPr>
        <w:keepNext/>
        <w:spacing w:before="0" w:after="50" w:line="250" w:lineRule="auto"/>
      </w:pPr>
      <w:r>
        <w:rPr>
          <w:rFonts w:ascii="Calibri" w:hAnsi="Calibri"/>
          <w:color w:val="000000"/>
          <w:sz w:val="20"/>
        </w:rPr>
        <w:t xml:space="preserve">Cost basis: U: displayed amount, GST treatment unresolved</w:t>
      </w:r>
    </w:p>
    <w:p>
      <w:pPr>
        <w:spacing w:before="0" w:after="50" w:line="250" w:lineRule="auto"/>
      </w:pPr>
      <w:r>
        <w:rPr>
          <w:rFonts w:ascii="Calibri" w:hAnsi="Calibri"/>
          <w:color w:val="000000"/>
          <w:sz w:val="20"/>
        </w:rPr>
        <w:t xml:space="preserve">INR: 1,333.13</w:t>
      </w:r>
    </w:p>
    <w:p>
      <w:pPr>
        <w:keepNext/>
        <w:spacing w:before="0" w:after="50" w:line="250" w:lineRule="auto"/>
      </w:pPr>
      <w:r>
        <w:rPr>
          <w:rFonts w:ascii="Calibri" w:hAnsi="Calibri"/>
          <w:color w:val="000000"/>
          <w:sz w:val="20"/>
        </w:rPr>
        <w:t xml:space="preserve">Cost basis: E: engineering allowances, excluding GST and shipping</w:t>
      </w:r>
    </w:p>
    <w:p>
      <w:pPr>
        <w:spacing w:before="0" w:after="50" w:line="250" w:lineRule="auto"/>
      </w:pPr>
      <w:r>
        <w:rPr>
          <w:rFonts w:ascii="Calibri" w:hAnsi="Calibri"/>
          <w:color w:val="000000"/>
          <w:sz w:val="20"/>
        </w:rPr>
        <w:t xml:space="preserve">INR: 31,550.00</w:t>
      </w:r>
    </w:p>
    <w:p>
      <w:pPr>
        <w:keepNext/>
        <w:spacing w:before="0" w:after="50" w:line="250" w:lineRule="auto"/>
      </w:pPr>
      <w:r>
        <w:rPr>
          <w:rFonts w:ascii="Calibri" w:hAnsi="Calibri"/>
          <w:color w:val="000000"/>
          <w:sz w:val="20"/>
        </w:rPr>
        <w:t xml:space="preserve">Cost basis: I: adapter included in camera line</w:t>
      </w:r>
    </w:p>
    <w:p>
      <w:pPr>
        <w:spacing w:before="0" w:after="50" w:line="250" w:lineRule="auto"/>
      </w:pPr>
      <w:r>
        <w:rPr>
          <w:rFonts w:ascii="Calibri" w:hAnsi="Calibri"/>
          <w:color w:val="000000"/>
          <w:sz w:val="20"/>
        </w:rPr>
        <w:t xml:space="preserve">INR: 0.00</w:t>
      </w:r>
    </w:p>
    <w:p>
      <w:pPr>
        <w:keepNext/>
        <w:spacing w:before="0" w:after="50" w:line="250" w:lineRule="auto"/>
      </w:pPr>
      <w:r>
        <w:rPr>
          <w:rFonts w:ascii="Calibri" w:hAnsi="Calibri"/>
          <w:color w:val="000000"/>
          <w:sz w:val="20"/>
        </w:rPr>
        <w:t xml:space="preserve">Cost basis: Mixed-basis planning sum</w:t>
      </w:r>
    </w:p>
    <w:p>
      <w:pPr>
        <w:spacing w:before="0" w:after="50" w:line="250" w:lineRule="auto"/>
      </w:pPr>
      <w:r>
        <w:rPr>
          <w:rFonts w:ascii="Calibri" w:hAnsi="Calibri"/>
          <w:color w:val="000000"/>
          <w:sz w:val="20"/>
        </w:rPr>
        <w:t xml:space="preserve">INR: 69,241.65</w:t>
      </w:r>
    </w:p>
    <w:p>
      <w:pPr>
        <w:pStyle w:val="Heading3"/>
        <w:keepNext/>
        <w:keepLines/>
        <w:spacing w:before="240" w:after="120" w:line="269" w:lineRule="auto"/>
      </w:pPr>
      <w:r>
        <w:rPr>
          <w:color w:val="000000"/>
        </w:rPr>
        <w:t>Charges and work excluded</w:t>
      </w:r>
    </w:p>
    <w:p>
      <w:pPr>
        <w:pStyle w:val="Normal"/>
        <w:spacing w:before="0" w:after="50" w:line="250" w:lineRule="auto"/>
        <w:rPr/>
      </w:pPr>
      <w:r>
        <w:rPr>
          <w:rFonts w:ascii="Calibri" w:hAnsi="Calibri"/>
          <w:color w:val="000000"/>
          <w:sz w:val="20"/>
        </w:rPr>
        <w:t>Additional tax on U/E items, shipping, customs where applicable, quote revisions and fabrication overruns are unresolved. The sum excludes an existing review workstation's peripherals, laboratory consumables, reference strains, biological validation, calibration services beyond the artifact allowance, engineering labor, software development, regulatory work, cloud services and production tooling. It is a reference hardware basket, not the total programme budget.</w:t>
      </w:r>
    </w:p>
    <w:p>
      <w:pPr>
        <w:pStyle w:val="Heading3"/>
        <w:keepNext/>
        <w:keepLines/>
        <w:spacing w:before="240" w:after="120" w:line="269" w:lineRule="auto"/>
      </w:pPr>
      <w:r>
        <w:rPr>
          <w:color w:val="000000"/>
        </w:rPr>
        <w:t>Verification needed before procurement</w:t>
      </w:r>
    </w:p>
    <w:p>
      <w:pPr>
        <w:pStyle w:val="Normal"/>
        <w:spacing w:before="0" w:after="50" w:line="250" w:lineRule="auto"/>
        <w:rPr/>
      </w:pPr>
      <w:r>
        <w:rPr>
          <w:rFonts w:ascii="Calibri" w:hAnsi="Calibri"/>
          <w:color w:val="000000"/>
          <w:sz w:val="20"/>
        </w:rPr>
        <w:t>Resolve the sold-out lens and cable, obtain custom-part quotations, confirm exact commodity SKUs and complete an electrical/optical compatibility review. Verify invoice and delivery terms for each supplier. The geometric artifact's certificate and uncertainty are a particularly material gap.</w:t>
      </w:r>
    </w:p>
    <w:p>
      <w:pPr>
        <w:pStyle w:val="Normal"/>
        <w:spacing w:before="0" w:after="50" w:line="250" w:lineRule="auto"/>
        <w:rPr/>
      </w:pPr>
      <w:r>
        <w:rPr>
          <w:rFonts w:ascii="Calibri" w:hAnsi="Calibri"/>
          <w:color w:val="000000"/>
          <w:sz w:val="20"/>
        </w:rPr>
        <w:t>The BOM is complete as a dated, transparent reference configuration with 40 line items. Procurement readiness remains conditional on these listed checks and quotations. No fundraising, revenue forecast or selling-price assumption is included. Future component changes should be evaluated against the measurement and service requirements rather than selected solely because they are newer.</w:t>
      </w:r>
    </w:p>
    <w:p>
      <w:pPr>
        <w:pStyle w:val="Heading2"/>
        <w:keepNext/>
        <w:keepLines/>
      </w:pPr>
      <w:r>
        <w:rPr>
          <w:color w:val="000000"/>
        </w:rPr>
        <w:t>Advanced configuration cost boundaries</w:t>
      </w:r>
    </w:p>
    <w:p>
      <w:pPr>
        <w:spacing w:before="0" w:after="50" w:line="250" w:lineRule="auto"/>
      </w:pPr>
      <w:r>
        <w:rPr>
          <w:rFonts w:ascii="Calibri" w:hAnsi="Calibri"/>
          <w:sz w:val="20"/>
        </w:rPr>
        <w:t>The APEX XR concept carries an approximately INR 55 lakh first engineering-unit budget and an unvalidated INR 89 lakh plus GST commercial price concept. These values are not a Reader V1 requirement, a supplier quotation or a justified selling price. Configuration, service scope, validation costs, warranty, taxes and margin must be rebuilt before commercial use.</w:t>
      </w:r>
    </w:p>
    <w:p>
      <w:pPr>
        <w:spacing w:before="0" w:after="50" w:line="250" w:lineRule="auto"/>
      </w:pPr>
      <w:r>
        <w:rPr>
          <w:rFonts w:ascii="Calibri" w:hAnsi="Calibri"/>
          <w:sz w:val="20"/>
        </w:rPr>
        <w:t>Detailed flagship architecture is covered in the Development Roadmap and Advanced Architecture companion. The following table retains the corresponding BOM categories and pricing assumptions.</w:t>
      </w:r>
    </w:p>
    <w:p>
      <w:pPr>
        <w:pStyle w:val="Normal"/>
        <w:spacing w:before="0" w:after="50" w:line="250" w:lineRule="auto"/>
        <w:rPr/>
      </w:pPr>
      <w:r>
        <w:rPr>
          <w:rFonts w:ascii="Calibri" w:hAnsi="Calibri"/>
          <w:color w:val="000000"/>
          <w:sz w:val="20"/>
        </w:rPr>
        <w:t>The planning allocation below reconciles to ₹54.96 lakh. It is an engineering model, not a purchase order. It includes prototype integration allowance but excludes GST, recurring software/cloud, salaries, clinical studies, regulatory fees, facility changes, consumables and mass-production tooling unless explicitly noted.</w:t>
      </w:r>
    </w:p>
    <w:p>
      <w:pPr>
        <w:pStyle w:val="Caption"/>
        <w:keepNext/>
      </w:pPr>
      <w:bookmarkStart w:id="97027" w:name="table_15"/>
      <w:r>
        <w:t>Table 15 Advanced configuration cost categories</w:t>
      </w:r>
      <w:bookmarkEnd w:id="97027"/>
    </w:p>
    <w:tbl>
      <w:tblPr>
        <w:tblStyle w:val="TableGrid"/>
        <w:tblW w:w="10281" w:type="dxa"/>
        <w:jc w:val="center"/>
        <w:tblInd w:w="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0" w:type="dxa"/>
          <w:start w:w="108" w:type="dxa"/>
          <w:bottom w:w="0" w:type="dxa"/>
          <w:end w:w="108" w:type="dxa"/>
        </w:tblCellMar>
        <w:tblLook w:val="04a0" w:noHBand="0" w:noVBand="1" w:firstColumn="1" w:lastRow="0" w:lastColumn="0" w:firstRow="1"/>
      </w:tblPr>
      <w:tblGrid>
        <w:gridCol w:w="4464"/>
        <w:gridCol w:w="1080"/>
        <w:gridCol w:w="5256"/>
      </w:tblGrid>
      <w:tr>
        <w:trPr>
          <w:cantSplit/>
          <w:tblHeader/>
        </w:trPr>
        <w:tc>
          <w:tcPr>
            <w:tcW w:w="4464"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BOM category</w:t>
            </w:r>
          </w:p>
        </w:tc>
        <w:tc>
          <w:tcPr>
            <w:tcW w:w="1080"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 xml:space="preserve">₹ </w:t>
            </w:r>
            <w:r>
              <w:rPr>
                <w:rFonts w:eastAsia="ＭＳ 明朝" w:cs="" w:ascii="Calibri" w:hAnsi="Calibri"/>
                <w:b/>
                <w:color w:val="FFFFFF"/>
                <w:kern w:val="0"/>
                <w:sz w:val="18"/>
                <w:szCs w:val="22"/>
                <w:lang w:val="en-US" w:eastAsia="en-US" w:bidi="ar-SA"/>
              </w:rPr>
              <w:t>lakh</w:t>
            </w:r>
          </w:p>
        </w:tc>
        <w:tc>
          <w:tcPr>
            <w:tcW w:w="5256" w:type="dxa"/>
            <w:tcBorders/>
            <w:shd w:fill="173F51"/>
            <w:tcMar>
              <w:top w:w="85" w:type="dxa"/>
              <w:left w:w="100" w:type="dxa"/>
              <w:bottom w:w="85" w:type="dxa"/>
              <w:right w:w="100" w:type="dxa"/>
            </w:tcMar>
            <w:vAlign w:val="center"/>
          </w:tcPr>
          <w:p>
            <w:pPr>
              <w:pStyle w:val="Normal"/>
              <w:keepNext/>
              <w:widowControl/>
              <w:spacing w:lineRule="auto" w:line="254" w:before="0" w:after="60"/>
              <w:jc w:val="start"/>
              <w:rPr>
                <w:rFonts w:eastAsia="ＭＳ 明朝" w:cs=""/>
                <w:kern w:val="0"/>
                <w:szCs w:val="22"/>
                <w:lang w:val="en-US" w:eastAsia="en-US" w:bidi="ar-SA"/>
              </w:rPr>
            </w:pPr>
            <w:r>
              <w:rPr>
                <w:rFonts w:eastAsia="ＭＳ 明朝" w:cs="" w:ascii="Calibri" w:hAnsi="Calibri"/>
                <w:b/>
                <w:color w:val="FFFFFF"/>
                <w:kern w:val="0"/>
                <w:sz w:val="18"/>
                <w:szCs w:val="22"/>
                <w:lang w:val="en-US" w:eastAsia="en-US" w:bidi="ar-SA"/>
              </w:rPr>
              <w:t>Assumption</w:t>
            </w:r>
          </w:p>
        </w:tc>
      </w:tr>
      <w:tr>
        <w:trPr>
          <w:cantSplit/>
        </w:trPr>
        <w:tc>
          <w:tcPr>
            <w:tcW w:w="44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Thor compute, HMI, control, storage, networking and cooling</w:t>
            </w:r>
          </w:p>
        </w:tc>
        <w:tc>
          <w:tcPr>
            <w:tcW w:w="10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7.25</w:t>
            </w:r>
          </w:p>
        </w:tc>
        <w:tc>
          <w:tcPr>
            <w:tcW w:w="5256"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Developer-kit/T5000-class planning; includes carrier/control/HMI/NVMe/10GigE/TPM/cooling</w:t>
            </w:r>
          </w:p>
        </w:tc>
      </w:tr>
      <w:tr>
        <w:trPr>
          <w:cantSplit/>
        </w:trPr>
        <w:tc>
          <w:tcPr>
            <w:tcW w:w="44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31 MP metrology camera</w:t>
            </w:r>
          </w:p>
        </w:tc>
        <w:tc>
          <w:tcPr>
            <w:tcW w:w="10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7.53</w:t>
            </w:r>
          </w:p>
        </w:tc>
        <w:tc>
          <w:tcPr>
            <w:tcW w:w="5256"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Current reference price class; confirm regional quote and monochrome SKU [S9]</w:t>
            </w:r>
          </w:p>
        </w:tc>
      </w:tr>
      <w:tr>
        <w:trPr>
          <w:cantSplit/>
        </w:trPr>
        <w:tc>
          <w:tcPr>
            <w:tcW w:w="44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Large-field telecentric lens</w:t>
            </w:r>
          </w:p>
        </w:tc>
        <w:tc>
          <w:tcPr>
            <w:tcW w:w="10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7.68</w:t>
            </w:r>
          </w:p>
        </w:tc>
        <w:tc>
          <w:tcPr>
            <w:tcW w:w="5256"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Current Edmund India reference price; clamp/accessories separate [S8]</w:t>
            </w:r>
          </w:p>
        </w:tc>
      </w:tr>
      <w:tr>
        <w:trPr>
          <w:cantSplit/>
        </w:trPr>
        <w:tc>
          <w:tcPr>
            <w:tcW w:w="44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Metrology lighting, mounts and calibration hardware</w:t>
            </w:r>
          </w:p>
        </w:tc>
        <w:tc>
          <w:tcPr>
            <w:tcW w:w="10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1.25</w:t>
            </w:r>
          </w:p>
        </w:tc>
        <w:tc>
          <w:tcPr>
            <w:tcW w:w="5256"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Strobes, drivers, plate nest, mounts, artifacts and mechanical tuning</w:t>
            </w:r>
          </w:p>
        </w:tc>
      </w:tr>
      <w:tr>
        <w:trPr>
          <w:cantSplit/>
        </w:trPr>
        <w:tc>
          <w:tcPr>
            <w:tcW w:w="44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RGB/NIR research imaging</w:t>
            </w:r>
          </w:p>
        </w:tc>
        <w:tc>
          <w:tcPr>
            <w:tcW w:w="10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0.90</w:t>
            </w:r>
          </w:p>
        </w:tc>
        <w:tc>
          <w:tcPr>
            <w:tcW w:w="5256"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Camera, lens, filter mechanics and interface</w:t>
            </w:r>
          </w:p>
        </w:tc>
      </w:tr>
      <w:tr>
        <w:trPr>
          <w:cantSplit/>
        </w:trPr>
        <w:tc>
          <w:tcPr>
            <w:tcW w:w="44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Fluorescence imaging</w:t>
            </w:r>
          </w:p>
        </w:tc>
        <w:tc>
          <w:tcPr>
            <w:tcW w:w="10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1.80</w:t>
            </w:r>
          </w:p>
        </w:tc>
        <w:tc>
          <w:tcPr>
            <w:tcW w:w="5256"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Excitation/emission channels, filter wheel, shielding and controls</w:t>
            </w:r>
          </w:p>
        </w:tc>
      </w:tr>
      <w:tr>
        <w:trPr>
          <w:cantSplit/>
        </w:trPr>
        <w:tc>
          <w:tcPr>
            <w:tcW w:w="44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Research 3D profilometry</w:t>
            </w:r>
          </w:p>
        </w:tc>
        <w:tc>
          <w:tcPr>
            <w:tcW w:w="10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2.80</w:t>
            </w:r>
          </w:p>
        </w:tc>
        <w:tc>
          <w:tcPr>
            <w:tcW w:w="5256"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Selected industrial sensor class, stage and calibration artifacts</w:t>
            </w:r>
          </w:p>
        </w:tc>
      </w:tr>
      <w:tr>
        <w:trPr>
          <w:cantSplit/>
        </w:trPr>
        <w:tc>
          <w:tcPr>
            <w:tcW w:w="44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BME690 VOC architecture</w:t>
            </w:r>
          </w:p>
        </w:tc>
        <w:tc>
          <w:tcPr>
            <w:tcW w:w="10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0.60</w:t>
            </w:r>
          </w:p>
        </w:tc>
        <w:tc>
          <w:tcPr>
            <w:tcW w:w="5256"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Eight-sensor array, chamber, pumps, valves, filters and reference path</w:t>
            </w:r>
          </w:p>
        </w:tc>
      </w:tr>
      <w:tr>
        <w:trPr>
          <w:cantSplit/>
        </w:trPr>
        <w:tc>
          <w:tcPr>
            <w:tcW w:w="44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Environmental and gas sensing</w:t>
            </w:r>
          </w:p>
        </w:tc>
        <w:tc>
          <w:tcPr>
            <w:tcW w:w="10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0.45</w:t>
            </w:r>
          </w:p>
        </w:tc>
        <w:tc>
          <w:tcPr>
            <w:tcW w:w="5256"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Temperature, RH, O2/CO2, pressure, flow and calibration provisions</w:t>
            </w:r>
          </w:p>
        </w:tc>
      </w:tr>
      <w:tr>
        <w:trPr>
          <w:cantSplit/>
        </w:trPr>
        <w:tc>
          <w:tcPr>
            <w:tcW w:w="44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Precision thermal, humidity and gas control</w:t>
            </w:r>
          </w:p>
        </w:tc>
        <w:tc>
          <w:tcPr>
            <w:tcW w:w="10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1.80</w:t>
            </w:r>
          </w:p>
        </w:tc>
        <w:tc>
          <w:tcPr>
            <w:tcW w:w="5256"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Insulation, thermal actuation, humidify/dehumidify and regulated gas path</w:t>
            </w:r>
          </w:p>
        </w:tc>
      </w:tr>
      <w:tr>
        <w:trPr>
          <w:cantSplit/>
        </w:trPr>
        <w:tc>
          <w:tcPr>
            <w:tcW w:w="44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Integrated nephelometer</w:t>
            </w:r>
          </w:p>
        </w:tc>
        <w:tc>
          <w:tcPr>
            <w:tcW w:w="10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0.50</w:t>
            </w:r>
          </w:p>
        </w:tc>
        <w:tc>
          <w:tcPr>
            <w:tcW w:w="5256"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Optics, tube mechanics, reference and electronics</w:t>
            </w:r>
          </w:p>
        </w:tc>
      </w:tr>
      <w:tr>
        <w:trPr>
          <w:cantSplit/>
        </w:trPr>
        <w:tc>
          <w:tcPr>
            <w:tcW w:w="44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Broth microdilution / direct MIC module</w:t>
            </w:r>
          </w:p>
        </w:tc>
        <w:tc>
          <w:tcPr>
            <w:tcW w:w="10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1.70</w:t>
            </w:r>
          </w:p>
        </w:tc>
        <w:tc>
          <w:tcPr>
            <w:tcW w:w="5256"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Plate deck, optical readout and integration; consumables excluded</w:t>
            </w:r>
          </w:p>
        </w:tc>
      </w:tr>
      <w:tr>
        <w:trPr>
          <w:cantSplit/>
        </w:trPr>
        <w:tc>
          <w:tcPr>
            <w:tcW w:w="44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Robotic 24-48 plate queue</w:t>
            </w:r>
          </w:p>
        </w:tc>
        <w:tc>
          <w:tcPr>
            <w:tcW w:w="10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2.80</w:t>
            </w:r>
          </w:p>
        </w:tc>
        <w:tc>
          <w:tcPr>
            <w:tcW w:w="5256"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Custom constrained mechanism, sensors and guarding</w:t>
            </w:r>
          </w:p>
        </w:tc>
      </w:tr>
      <w:tr>
        <w:trPr>
          <w:cantSplit/>
        </w:trPr>
        <w:tc>
          <w:tcPr>
            <w:tcW w:w="44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Purpose-built liquid handling</w:t>
            </w:r>
          </w:p>
        </w:tc>
        <w:tc>
          <w:tcPr>
            <w:tcW w:w="10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4.20</w:t>
            </w:r>
          </w:p>
        </w:tc>
        <w:tc>
          <w:tcPr>
            <w:tcW w:w="5256"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8/12-channel concept, motion, pumps, sensing and tip handling</w:t>
            </w:r>
          </w:p>
        </w:tc>
      </w:tr>
      <w:tr>
        <w:trPr>
          <w:cantSplit/>
        </w:trPr>
        <w:tc>
          <w:tcPr>
            <w:tcW w:w="44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Power, UPS, safety, HEPA and UV provisions</w:t>
            </w:r>
          </w:p>
        </w:tc>
        <w:tc>
          <w:tcPr>
            <w:tcW w:w="10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1.60</w:t>
            </w:r>
          </w:p>
        </w:tc>
        <w:tc>
          <w:tcPr>
            <w:tcW w:w="5256"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PSU class, battery, protective devices, filtered path and interlocks</w:t>
            </w:r>
          </w:p>
        </w:tc>
      </w:tr>
      <w:tr>
        <w:trPr>
          <w:cantSplit/>
        </w:trPr>
        <w:tc>
          <w:tcPr>
            <w:tcW w:w="44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Flagship chassis / Bio-Vault</w:t>
            </w:r>
          </w:p>
        </w:tc>
        <w:tc>
          <w:tcPr>
            <w:tcW w:w="10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2.20</w:t>
            </w:r>
          </w:p>
        </w:tc>
        <w:tc>
          <w:tcPr>
            <w:tcW w:w="5256"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CNC/sheet-metal prototype, liners, seals, doors and insulation</w:t>
            </w:r>
          </w:p>
        </w:tc>
      </w:tr>
      <w:tr>
        <w:trPr>
          <w:cantSplit/>
        </w:trPr>
        <w:tc>
          <w:tcPr>
            <w:tcW w:w="44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Electronics, PCBs and internal networking</w:t>
            </w:r>
          </w:p>
        </w:tc>
        <w:tc>
          <w:tcPr>
            <w:tcW w:w="10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1.20</w:t>
            </w:r>
          </w:p>
        </w:tc>
        <w:tc>
          <w:tcPr>
            <w:tcW w:w="5256"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Custom boards, isolation, harness interfaces and network hardware</w:t>
            </w:r>
          </w:p>
        </w:tc>
      </w:tr>
      <w:tr>
        <w:trPr>
          <w:cantSplit/>
        </w:trPr>
        <w:tc>
          <w:tcPr>
            <w:tcW w:w="44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Barcode/RFID/PIMS hardware</w:t>
            </w:r>
          </w:p>
        </w:tc>
        <w:tc>
          <w:tcPr>
            <w:tcW w:w="10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0.30</w:t>
            </w:r>
          </w:p>
        </w:tc>
        <w:tc>
          <w:tcPr>
            <w:tcW w:w="5256"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Readers, labels/tags and device integration</w:t>
            </w:r>
          </w:p>
        </w:tc>
      </w:tr>
      <w:tr>
        <w:trPr>
          <w:cantSplit/>
        </w:trPr>
        <w:tc>
          <w:tcPr>
            <w:tcW w:w="44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Wiring, fittings, pumps, valves and mechanics</w:t>
            </w:r>
          </w:p>
        </w:tc>
        <w:tc>
          <w:tcPr>
            <w:tcW w:w="10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0.90</w:t>
            </w:r>
          </w:p>
        </w:tc>
        <w:tc>
          <w:tcPr>
            <w:tcW w:w="5256"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Long-tail integration parts</w:t>
            </w:r>
          </w:p>
        </w:tc>
      </w:tr>
      <w:tr>
        <w:trPr>
          <w:cantSplit/>
        </w:trPr>
        <w:tc>
          <w:tcPr>
            <w:tcW w:w="44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Calibration fixtures and reference materials</w:t>
            </w:r>
          </w:p>
        </w:tc>
        <w:tc>
          <w:tcPr>
            <w:tcW w:w="10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1.00</w:t>
            </w:r>
          </w:p>
        </w:tc>
        <w:tc>
          <w:tcPr>
            <w:tcW w:w="5256"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Dimensional, optical, thermal, turbidity and liquid checks</w:t>
            </w:r>
          </w:p>
        </w:tc>
      </w:tr>
      <w:tr>
        <w:trPr>
          <w:cantSplit/>
        </w:trPr>
        <w:tc>
          <w:tcPr>
            <w:tcW w:w="4464"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Integration, spares, rework and contingency</w:t>
            </w:r>
          </w:p>
        </w:tc>
        <w:tc>
          <w:tcPr>
            <w:tcW w:w="1080"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6.50</w:t>
            </w:r>
          </w:p>
        </w:tc>
        <w:tc>
          <w:tcPr>
            <w:tcW w:w="5256" w:type="dxa"/>
            <w:tcBorders/>
            <w:shd w:fill="FFFFFF"/>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Prototype iterations, failures, replacement parts and integration uncertainty</w:t>
            </w:r>
          </w:p>
        </w:tc>
      </w:tr>
      <w:tr>
        <w:trPr>
          <w:cantSplit/>
        </w:trPr>
        <w:tc>
          <w:tcPr>
            <w:tcW w:w="4464"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b/>
                <w:color w:val="000000"/>
                <w:kern w:val="0"/>
                <w:sz w:val="18"/>
                <w:szCs w:val="22"/>
                <w:lang w:val="en-US" w:eastAsia="en-US" w:bidi="ar-SA"/>
              </w:rPr>
              <w:t>TOTAL INTERNAL PLANNING ALLOCATION</w:t>
            </w:r>
          </w:p>
        </w:tc>
        <w:tc>
          <w:tcPr>
            <w:tcW w:w="1080"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54.96</w:t>
            </w:r>
          </w:p>
        </w:tc>
        <w:tc>
          <w:tcPr>
            <w:tcW w:w="5256" w:type="dxa"/>
            <w:tcBorders/>
            <w:shd w:fill="F0F4F6"/>
            <w:tcMar>
              <w:top w:w="85" w:type="dxa"/>
              <w:left w:w="100" w:type="dxa"/>
              <w:bottom w:w="85" w:type="dxa"/>
              <w:right w:w="100" w:type="dxa"/>
            </w:tcMar>
            <w:vAlign w:val="center"/>
          </w:tcPr>
          <w:p>
            <w:pPr>
              <w:pStyle w:val="Normal"/>
              <w:keepNext w:val="0"/>
              <w:widowControl/>
              <w:spacing w:lineRule="auto" w:line="254" w:before="0" w:after="60"/>
              <w:jc w:val="start"/>
              <w:rPr>
                <w:rFonts w:eastAsia="ＭＳ 明朝" w:cs=""/>
                <w:kern w:val="0"/>
                <w:szCs w:val="22"/>
                <w:lang w:val="en-US" w:eastAsia="en-US" w:bidi="ar-SA"/>
              </w:rPr>
            </w:pPr>
            <w:r>
              <w:rPr>
                <w:rFonts w:eastAsia="ＭＳ 明朝" w:cs="" w:ascii="Calibri" w:hAnsi="Calibri"/>
                <w:color w:val="000000"/>
                <w:kern w:val="0"/>
                <w:sz w:val="18"/>
                <w:szCs w:val="22"/>
                <w:lang w:val="en-US" w:eastAsia="en-US" w:bidi="ar-SA"/>
              </w:rPr>
              <w:t>Rounded externally to ~₹55 lakh; realistic one-off range ~₹50-56 lakh</w:t>
            </w:r>
          </w:p>
        </w:tc>
      </w:tr>
    </w:tbl>
    <w:p>
      <w:pPr>
        <w:pStyle w:val="Heading3"/>
        <w:keepNext/>
        <w:keepLines/>
        <w:spacing w:before="240" w:after="120" w:line="269" w:lineRule="auto"/>
      </w:pPr>
      <w:r>
        <w:rPr>
          <w:color w:val="000000"/>
        </w:rPr>
        <w:t>Cost uncertainty and exclusions</w:t>
      </w:r>
    </w:p>
    <w:p>
      <w:pPr>
        <w:pStyle w:val="Normal"/>
        <w:spacing w:before="0" w:after="50" w:line="250" w:lineRule="auto"/>
        <w:rPr/>
      </w:pPr>
      <w:r>
        <w:rPr>
          <w:rFonts w:ascii="Calibri" w:hAnsi="Calibri"/>
          <w:color w:val="000000"/>
          <w:sz w:val="20"/>
        </w:rPr>
        <w:t>Foreign exchange, freight, customs duties, distributor margin and supplier minimum order quantities can move the optics/compute cost materially.</w:t>
      </w:r>
    </w:p>
    <w:p>
      <w:pPr>
        <w:pStyle w:val="Normal"/>
        <w:spacing w:before="0" w:after="50" w:line="250" w:lineRule="auto"/>
        <w:rPr/>
      </w:pPr>
      <w:r>
        <w:rPr>
          <w:rFonts w:ascii="Calibri" w:hAnsi="Calibri"/>
          <w:color w:val="000000"/>
          <w:sz w:val="20"/>
        </w:rPr>
        <w:t>The lens and camera reference prices are current snapshots, not negotiated quotations. Validate compatibility, taxes and accessories before procurement.</w:t>
      </w:r>
    </w:p>
    <w:p>
      <w:pPr>
        <w:pStyle w:val="Normal"/>
        <w:spacing w:before="0" w:after="50" w:line="250" w:lineRule="auto"/>
        <w:rPr/>
      </w:pPr>
      <w:r>
        <w:rPr>
          <w:rFonts w:ascii="Calibri" w:hAnsi="Calibri"/>
          <w:color w:val="000000"/>
          <w:sz w:val="20"/>
        </w:rPr>
        <w:t>A custom production design may reduce unit BOM but adds non-recurring engineering, tooling, certification and supplier qualification.</w:t>
      </w:r>
    </w:p>
    <w:p>
      <w:pPr>
        <w:pStyle w:val="Normal"/>
        <w:spacing w:before="0" w:after="50" w:line="250" w:lineRule="auto"/>
        <w:rPr/>
      </w:pPr>
      <w:r>
        <w:rPr>
          <w:rFonts w:ascii="Calibri" w:hAnsi="Calibri"/>
          <w:color w:val="000000"/>
          <w:sz w:val="20"/>
        </w:rPr>
        <w:t>Clinical validation, quality-system implementation and regulatory submissions can exceed hardware cost and are not included in ₹54.96 lakh.</w:t>
      </w:r>
    </w:p>
    <w:p>
      <w:pPr>
        <w:pStyle w:val="Normal"/>
        <w:spacing w:before="0" w:after="50" w:line="250" w:lineRule="auto"/>
        <w:rPr/>
      </w:pPr>
      <w:r>
        <w:rPr>
          <w:rFonts w:ascii="Calibri" w:hAnsi="Calibri"/>
          <w:color w:val="000000"/>
          <w:sz w:val="20"/>
        </w:rPr>
        <w:t>Commercial price should be approved only after configuration freeze, service model, warranty reserve, software offering, channel structure and target gross margin are defined.</w:t>
      </w:r>
    </w:p>
    <w:p>
      <w:pPr>
        <w:pStyle w:val="Heading3"/>
        <w:keepNext/>
        <w:keepLines/>
        <w:spacing w:before="240" w:after="120" w:line="269" w:lineRule="auto"/>
      </w:pPr>
      <w:r>
        <w:rPr>
          <w:color w:val="000000"/>
        </w:rPr>
        <w:t>Preliminary commercial price bridge</w:t>
      </w:r>
    </w:p>
    <w:p>
      <w:pPr>
        <w:keepNext/>
        <w:spacing w:before="0" w:after="50" w:line="250" w:lineRule="auto"/>
      </w:pPr>
      <w:r>
        <w:rPr>
          <w:rFonts w:ascii="Calibri" w:hAnsi="Calibri"/>
          <w:color w:val="000000"/>
          <w:sz w:val="20"/>
        </w:rPr>
        <w:t xml:space="preserve">Bridge item: Engineering hardware and integration</w:t>
      </w:r>
    </w:p>
    <w:p>
      <w:pPr>
        <w:spacing w:before="0" w:after="50" w:line="250" w:lineRule="auto"/>
      </w:pPr>
      <w:r>
        <w:rPr>
          <w:rFonts w:ascii="Calibri" w:hAnsi="Calibri"/>
          <w:color w:val="000000"/>
          <w:sz w:val="20"/>
        </w:rPr>
        <w:t xml:space="preserve">Purpose: Creates the physical flagship and absorbs one-off rework.</w:t>
      </w:r>
    </w:p>
    <w:p>
      <w:pPr>
        <w:keepNext/>
        <w:spacing w:before="0" w:after="50" w:line="250" w:lineRule="auto"/>
      </w:pPr>
      <w:r>
        <w:rPr>
          <w:rFonts w:ascii="Calibri" w:hAnsi="Calibri"/>
          <w:color w:val="000000"/>
          <w:sz w:val="20"/>
        </w:rPr>
        <w:t xml:space="preserve">Bridge item: Productization and quality</w:t>
      </w:r>
    </w:p>
    <w:p>
      <w:pPr>
        <w:spacing w:before="0" w:after="50" w:line="250" w:lineRule="auto"/>
      </w:pPr>
      <w:r>
        <w:rPr>
          <w:rFonts w:ascii="Calibri" w:hAnsi="Calibri"/>
          <w:color w:val="000000"/>
          <w:sz w:val="20"/>
        </w:rPr>
        <w:t xml:space="preserve">Purpose: DFM/DFA, documentation, supplier control, testing and design transfer.</w:t>
      </w:r>
    </w:p>
    <w:p>
      <w:pPr>
        <w:keepNext/>
        <w:spacing w:before="0" w:after="50" w:line="250" w:lineRule="auto"/>
      </w:pPr>
      <w:r>
        <w:rPr>
          <w:rFonts w:ascii="Calibri" w:hAnsi="Calibri"/>
          <w:color w:val="000000"/>
          <w:sz w:val="20"/>
        </w:rPr>
        <w:t xml:space="preserve">Bridge item: Software and data platform</w:t>
      </w:r>
    </w:p>
    <w:p>
      <w:pPr>
        <w:spacing w:before="0" w:after="50" w:line="250" w:lineRule="auto"/>
      </w:pPr>
      <w:r>
        <w:rPr>
          <w:rFonts w:ascii="Calibri" w:hAnsi="Calibri"/>
          <w:color w:val="000000"/>
          <w:sz w:val="20"/>
        </w:rPr>
        <w:t xml:space="preserve">Purpose: BAHU, PIMS, standards/rules, AI pipelines, cybersecurity and integrations.</w:t>
      </w:r>
    </w:p>
    <w:p>
      <w:pPr>
        <w:keepNext/>
        <w:spacing w:before="0" w:after="50" w:line="250" w:lineRule="auto"/>
      </w:pPr>
      <w:r>
        <w:rPr>
          <w:rFonts w:ascii="Calibri" w:hAnsi="Calibri"/>
          <w:color w:val="000000"/>
          <w:sz w:val="20"/>
        </w:rPr>
        <w:t xml:space="preserve">Bridge item: Validation and regulatory</w:t>
      </w:r>
    </w:p>
    <w:p>
      <w:pPr>
        <w:spacing w:before="0" w:after="50" w:line="250" w:lineRule="auto"/>
      </w:pPr>
      <w:r>
        <w:rPr>
          <w:rFonts w:ascii="Calibri" w:hAnsi="Calibri"/>
          <w:color w:val="000000"/>
          <w:sz w:val="20"/>
        </w:rPr>
        <w:t xml:space="preserve">Purpose: Performance studies, usability, risk controls, submissions and external testing.</w:t>
      </w:r>
    </w:p>
    <w:p>
      <w:pPr>
        <w:keepNext/>
        <w:spacing w:before="0" w:after="50" w:line="250" w:lineRule="auto"/>
      </w:pPr>
      <w:r>
        <w:rPr>
          <w:rFonts w:ascii="Calibri" w:hAnsi="Calibri"/>
          <w:color w:val="000000"/>
          <w:sz w:val="20"/>
        </w:rPr>
        <w:t xml:space="preserve">Bridge item: Installation, calibration and training</w:t>
      </w:r>
    </w:p>
    <w:p>
      <w:pPr>
        <w:spacing w:before="0" w:after="50" w:line="250" w:lineRule="auto"/>
      </w:pPr>
      <w:r>
        <w:rPr>
          <w:rFonts w:ascii="Calibri" w:hAnsi="Calibri"/>
          <w:color w:val="000000"/>
          <w:sz w:val="20"/>
        </w:rPr>
        <w:t xml:space="preserve">Purpose: Site acceptance, operator onboarding and initial workflow configuration.</w:t>
      </w:r>
    </w:p>
    <w:p>
      <w:pPr>
        <w:keepNext/>
        <w:spacing w:before="0" w:after="50" w:line="250" w:lineRule="auto"/>
      </w:pPr>
      <w:r>
        <w:rPr>
          <w:rFonts w:ascii="Calibri" w:hAnsi="Calibri"/>
          <w:color w:val="000000"/>
          <w:sz w:val="20"/>
        </w:rPr>
        <w:t xml:space="preserve">Bridge item: Warranty, service and spares</w:t>
      </w:r>
    </w:p>
    <w:p>
      <w:pPr>
        <w:spacing w:before="0" w:after="50" w:line="250" w:lineRule="auto"/>
      </w:pPr>
      <w:r>
        <w:rPr>
          <w:rFonts w:ascii="Calibri" w:hAnsi="Calibri"/>
          <w:color w:val="000000"/>
          <w:sz w:val="20"/>
        </w:rPr>
        <w:t xml:space="preserve">Purpose: Field support, preventive maintenance, replacement stock and response capacity.</w:t>
      </w:r>
    </w:p>
    <w:p>
      <w:pPr>
        <w:keepNext/>
        <w:spacing w:before="0" w:after="50" w:line="250" w:lineRule="auto"/>
      </w:pPr>
      <w:r>
        <w:rPr>
          <w:rFonts w:ascii="Calibri" w:hAnsi="Calibri"/>
          <w:color w:val="000000"/>
          <w:sz w:val="20"/>
        </w:rPr>
        <w:t xml:space="preserve">Bridge item: Commercial risk and margin</w:t>
      </w:r>
    </w:p>
    <w:p>
      <w:pPr>
        <w:spacing w:before="0" w:after="50" w:line="250" w:lineRule="auto"/>
      </w:pPr>
      <w:r>
        <w:rPr>
          <w:rFonts w:ascii="Calibri" w:hAnsi="Calibri"/>
          <w:color w:val="000000"/>
          <w:sz w:val="20"/>
        </w:rPr>
        <w:t xml:space="preserve">Purpose: Sustains sales, channel, ongoing development and business operations.</w:t>
      </w:r>
    </w:p>
    <w:sectPr w:rsidR="00FC693F" w:rsidRPr="0006063C" w:rsidSect="00034616">
      <w:headerReference w:type="default" r:id="rId9"/>
      <w:footerReference w:type="default" r:id="rId10"/>
      <w:pgSz w:w="12240" w:h="20160"/>
      <w:pgMar w:top="720" w:right="720" w:bottom="720" w:left="720"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AMREYE.AI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Bill of Materials and Financial Planning  |  Supporting reference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0" w:before="0" w:after="50"/>
      <w:jc w:val="start"/>
    </w:pPr>
    <w:rPr>
      <w:rFonts w:ascii="Calibri" w:hAnsi="Calibri" w:eastAsia="ＭＳ 明朝" w:cs="" w:cstheme="minorBidi" w:eastAsiaTheme="minorEastAsia"/>
      <w:color w:val="000000"/>
      <w:kern w:val="0"/>
      <w:sz w:val="20"/>
      <w:szCs w:val="22"/>
      <w:lang w:val="en-US" w:eastAsia="en-US" w:bidi="ar-SA"/>
    </w:rPr>
  </w:style>
  <w:style w:type="paragraph" w:styleId="Heading1">
    <w:name w:val="heading 1"/>
    <w:basedOn w:val="Normal"/>
    <w:next w:val="Normal"/>
    <w:link w:val="Heading1Char"/>
    <w:uiPriority w:val="9"/>
    <w:qFormat/>
    <w:rsid w:val="00fc693f"/>
    <w:pPr>
      <w:keepNext/>
      <w:keepLines/>
      <w:pageBreakBefore w:val="0"/>
      <w:spacing w:before="300" w:after="14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00"/>
      <w:outlineLvl w:val="1"/>
    </w:pPr>
    <w:rPr>
      <w:rFonts w:ascii="Calibri" w:hAnsi="Calibri" w:eastAsia="ＭＳ ゴシック" w:cs="" w:asciiTheme="majorHAnsi" w:cstheme="majorBidi" w:eastAsiaTheme="majorEastAsia" w:hAnsiTheme="majorHAnsi"/>
      <w:b/>
      <w:bCs/>
      <w:color w:val="00000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140" w:after="6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000000"/>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b/>
      <w:color w:val="000000"/>
      <w:sz w:val="21"/>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b/>
      <w:i/>
      <w:iCs/>
      <w:color w:val="000000"/>
      <w:sz w:val="2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00000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i" w:hAnsi="Calibri" w:eastAsia="Noto Sans CJK SC" w:cs="Lohit Devanagari"/>
      <w:color w:val="000000"/>
      <w:sz w:val="28"/>
      <w:szCs w:val="28"/>
    </w:rPr>
  </w:style>
  <w:style w:type="paragraph" w:styleId="BodyText">
    <w:name w:val="Body Text"/>
    <w:basedOn w:val="Normal"/>
    <w:link w:val="BodyTextChar"/>
    <w:uiPriority w:val="99"/>
    <w:unhideWhenUsed/>
    <w:rsid w:val="00aa1d8d"/>
    <w:pPr>
      <w:spacing w:before="0" w:after="100" w:line="269" w:lineRule="auto"/>
    </w:pPr>
    <w:rPr>
      <w:rFonts w:ascii="Calibri" w:hAnsi="Calibri"/>
      <w:color w:val="000000"/>
      <w:sz w:val="22"/>
    </w:rPr>
  </w:style>
  <w:style w:type="paragraph" w:styleId="List">
    <w:name w:val="List"/>
    <w:basedOn w:val="Normal"/>
    <w:uiPriority w:val="99"/>
    <w:unhideWhenUsed/>
    <w:rsid w:val="00aa1d8d"/>
    <w:pPr>
      <w:spacing w:before="0" w:after="60"/>
      <w:ind w:hanging="360" w:start="360"/>
      <w:contextualSpacing/>
    </w:pPr>
    <w:rPr>
      <w:rFonts w:ascii="Calibri" w:hAnsi="Calibri"/>
      <w:color w:val="000000"/>
    </w:rPr>
  </w:style>
  <w:style w:type="paragraph" w:styleId="Caption">
    <w:name w:val="caption"/>
    <w:basedOn w:val="Normal"/>
    <w:next w:val="Normal"/>
    <w:uiPriority w:val="35"/>
    <w:semiHidden/>
    <w:unhideWhenUsed/>
    <w:qFormat/>
    <w:rsid w:val="00fc693f"/>
    <w:pPr>
      <w:keepNext/>
      <w:spacing w:lineRule="auto" w:line="240"/>
    </w:pPr>
    <w:rPr>
      <w:rFonts w:ascii="Calibri" w:hAnsi="Calibri"/>
      <w:b/>
      <w:bCs/>
      <w:color w:val="333333"/>
      <w:sz w:val="18"/>
      <w:szCs w:val="18"/>
    </w:rPr>
  </w:style>
  <w:style w:type="paragraph" w:styleId="Index">
    <w:name w:val="Index"/>
    <w:basedOn w:val="Normal"/>
    <w:qFormat/>
    <w:pPr>
      <w:suppressLineNumbers/>
    </w:pPr>
    <w:rPr>
      <w:rFonts w:cs="Lohit Devanagari" w:ascii="Calibri" w:hAnsi="Calibri"/>
      <w:color w:val="000000"/>
    </w:rPr>
  </w:style>
  <w:style w:type="paragraph" w:styleId="HeaderandFooter">
    <w:name w:val="Header and Footer"/>
    <w:basedOn w:val="Normal"/>
    <w:qFormat/>
    <w:pPr/>
    <w:rPr>
      <w:rFonts w:ascii="Calibri" w:hAnsi="Calibri"/>
      <w:color w:val="000000"/>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NoSpacing">
    <w:name w:val="No Spacing"/>
    <w:uiPriority w:val="1"/>
    <w:qFormat/>
    <w:rsid w:val="00fc693f"/>
    <w:pPr>
      <w:widowControl/>
      <w:bidi w:val="0"/>
      <w:spacing w:lineRule="auto" w:line="240" w:before="0" w:after="0"/>
      <w:jc w:val="start"/>
    </w:pPr>
    <w:rPr>
      <w:rFonts w:ascii="Calibri" w:hAnsi="Calibri" w:eastAsia="ＭＳ 明朝" w:cs="" w:asciiTheme="minorHAnsi" w:cstheme="minorBidi" w:eastAsiaTheme="minorEastAsia" w:hAnsiTheme="minorHAnsi"/>
      <w:color w:val="000000"/>
      <w:kern w:val="0"/>
      <w:sz w:val="22"/>
      <w:szCs w:val="22"/>
      <w:lang w:val="en-US" w:eastAsia="en-US" w:bidi="ar-SA"/>
    </w:rPr>
  </w:style>
  <w:style w:type="paragraph" w:styleId="Title">
    <w:name w:val="Title"/>
    <w:basedOn w:val="Normal"/>
    <w:next w:val="Normal"/>
    <w:link w:val="TitleChar"/>
    <w:uiPriority w:val="10"/>
    <w:qFormat/>
    <w:rsid w:val="00fc693f"/>
    <w:pPr>
      <w:keepNext/>
      <w:pageBreakBefore w:val="0"/>
      <w:spacing w:lineRule="auto" w:line="240" w:before="0" w:after="200"/>
      <w:contextualSpacing/>
    </w:pPr>
    <w:rPr>
      <w:rFonts w:ascii="Calibri" w:hAnsi="Calibri" w:eastAsia="ＭＳ ゴシック" w:cs="" w:asciiTheme="majorHAnsi" w:cstheme="majorBidi" w:eastAsiaTheme="majorEastAsia" w:hAnsiTheme="majorHAnsi"/>
      <w:b/>
      <w:color w:val="000000"/>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00" w:line="269" w:lineRule="auto"/>
      <w:ind w:start="720"/>
      <w:contextualSpacing/>
    </w:pPr>
    <w:rPr>
      <w:rFonts w:ascii="Calibri" w:hAnsi="Calibri"/>
      <w:color w:val="000000"/>
      <w:sz w:val="22"/>
    </w:rPr>
  </w:style>
  <w:style w:type="paragraph" w:styleId="BodyText2">
    <w:name w:val="Body Text 2"/>
    <w:basedOn w:val="Normal"/>
    <w:link w:val="BodyText2Char"/>
    <w:uiPriority w:val="99"/>
    <w:unhideWhenUsed/>
    <w:qFormat/>
    <w:rsid w:val="00aa1d8d"/>
    <w:pPr>
      <w:spacing w:lineRule="auto" w:line="480" w:before="0" w:after="120"/>
    </w:pPr>
    <w:rPr>
      <w:rFonts w:ascii="Calibri" w:hAnsi="Calibri"/>
      <w:color w:val="000000"/>
    </w:rPr>
  </w:style>
  <w:style w:type="paragraph" w:styleId="BodyText3">
    <w:name w:val="Body Text 3"/>
    <w:basedOn w:val="Normal"/>
    <w:link w:val="BodyText3Char"/>
    <w:uiPriority w:val="99"/>
    <w:unhideWhenUsed/>
    <w:qFormat/>
    <w:rsid w:val="00aa1d8d"/>
    <w:pPr>
      <w:spacing w:before="0" w:after="120"/>
    </w:pPr>
    <w:rPr>
      <w:rFonts w:ascii="Calibri" w:hAnsi="Calibri"/>
      <w:color w:val="000000"/>
      <w:sz w:val="16"/>
      <w:szCs w:val="16"/>
    </w:rPr>
  </w:style>
  <w:style w:type="paragraph" w:styleId="List2">
    <w:name w:val="List 2"/>
    <w:basedOn w:val="Normal"/>
    <w:uiPriority w:val="99"/>
    <w:unhideWhenUsed/>
    <w:qFormat/>
    <w:rsid w:val="00326f90"/>
    <w:pPr>
      <w:spacing w:before="0" w:after="60"/>
      <w:ind w:hanging="360" w:start="720"/>
      <w:contextualSpacing/>
    </w:pPr>
    <w:rPr>
      <w:rFonts w:ascii="Calibri" w:hAnsi="Calibri"/>
      <w:color w:val="000000"/>
    </w:rPr>
  </w:style>
  <w:style w:type="paragraph" w:styleId="List3">
    <w:name w:val="List 3"/>
    <w:basedOn w:val="Normal"/>
    <w:uiPriority w:val="99"/>
    <w:unhideWhenUsed/>
    <w:qFormat/>
    <w:rsid w:val="00326f90"/>
    <w:pPr>
      <w:spacing w:before="0" w:after="60"/>
      <w:ind w:hanging="360" w:start="1080"/>
      <w:contextualSpacing/>
    </w:pPr>
    <w:rPr>
      <w:rFonts w:ascii="Calibri" w:hAnsi="Calibri"/>
      <w:color w:val="000000"/>
    </w:rPr>
  </w:style>
  <w:style w:type="paragraph" w:styleId="ListBullet">
    <w:name w:val="List Bullet"/>
    <w:basedOn w:val="Normal"/>
    <w:uiPriority w:val="99"/>
    <w:unhideWhenUsed/>
    <w:rsid w:val="00326f90"/>
    <w:pPr>
      <w:numPr>
        <w:ilvl w:val="0"/>
        <w:numId w:val="1"/>
      </w:numPr>
      <w:spacing w:before="0" w:after="60"/>
      <w:contextualSpacing/>
    </w:pPr>
    <w:rPr>
      <w:rFonts w:ascii="Calibri" w:hAnsi="Calibri"/>
      <w:color w:val="000000"/>
    </w:rPr>
  </w:style>
  <w:style w:type="paragraph" w:styleId="ListBullet2">
    <w:name w:val="List Bullet 2"/>
    <w:basedOn w:val="Normal"/>
    <w:uiPriority w:val="99"/>
    <w:unhideWhenUsed/>
    <w:rsid w:val="00326f90"/>
    <w:pPr>
      <w:numPr>
        <w:ilvl w:val="0"/>
        <w:numId w:val="2"/>
      </w:numPr>
      <w:spacing w:before="0" w:after="60"/>
      <w:contextualSpacing/>
    </w:pPr>
    <w:rPr>
      <w:rFonts w:ascii="Calibri" w:hAnsi="Calibri"/>
      <w:color w:val="000000"/>
    </w:rPr>
  </w:style>
  <w:style w:type="paragraph" w:styleId="ListBullet3">
    <w:name w:val="List Bullet 3"/>
    <w:basedOn w:val="Normal"/>
    <w:uiPriority w:val="99"/>
    <w:unhideWhenUsed/>
    <w:rsid w:val="00326f90"/>
    <w:pPr>
      <w:numPr>
        <w:ilvl w:val="0"/>
        <w:numId w:val="3"/>
      </w:numPr>
      <w:spacing w:before="0" w:after="60"/>
      <w:contextualSpacing/>
    </w:pPr>
    <w:rPr>
      <w:rFonts w:ascii="Calibri" w:hAnsi="Calibri"/>
      <w:color w:val="000000"/>
    </w:rPr>
  </w:style>
  <w:style w:type="paragraph" w:styleId="ListNumber">
    <w:name w:val="List Number"/>
    <w:basedOn w:val="Normal"/>
    <w:uiPriority w:val="99"/>
    <w:unhideWhenUsed/>
    <w:rsid w:val="00326f90"/>
    <w:pPr>
      <w:numPr>
        <w:ilvl w:val="0"/>
        <w:numId w:val="4"/>
      </w:numPr>
      <w:spacing w:before="0" w:after="60"/>
      <w:contextualSpacing/>
    </w:pPr>
    <w:rPr>
      <w:rFonts w:ascii="Calibri" w:hAnsi="Calibri"/>
      <w:color w:val="000000"/>
    </w:rPr>
  </w:style>
  <w:style w:type="paragraph" w:styleId="ListNumber2">
    <w:name w:val="List Number 2"/>
    <w:basedOn w:val="Normal"/>
    <w:uiPriority w:val="99"/>
    <w:unhideWhenUsed/>
    <w:rsid w:val="0029639d"/>
    <w:pPr>
      <w:numPr>
        <w:ilvl w:val="0"/>
        <w:numId w:val="5"/>
      </w:numPr>
      <w:spacing w:before="0" w:after="60"/>
      <w:contextualSpacing/>
    </w:pPr>
    <w:rPr>
      <w:rFonts w:ascii="Calibri" w:hAnsi="Calibri"/>
      <w:color w:val="000000"/>
    </w:rPr>
  </w:style>
  <w:style w:type="paragraph" w:styleId="ListNumber3">
    <w:name w:val="List Number 3"/>
    <w:basedOn w:val="Normal"/>
    <w:uiPriority w:val="99"/>
    <w:unhideWhenUsed/>
    <w:rsid w:val="0029639d"/>
    <w:pPr>
      <w:numPr>
        <w:ilvl w:val="0"/>
        <w:numId w:val="6"/>
      </w:numPr>
      <w:spacing w:before="0" w:after="60"/>
      <w:contextualSpacing/>
    </w:pPr>
    <w:rPr>
      <w:rFonts w:ascii="Calibri" w:hAnsi="Calibri"/>
      <w:color w:val="000000"/>
    </w:rPr>
  </w:style>
  <w:style w:type="paragraph" w:styleId="ListContinue">
    <w:name w:val="List Continue"/>
    <w:basedOn w:val="Normal"/>
    <w:uiPriority w:val="99"/>
    <w:unhideWhenUsed/>
    <w:rsid w:val="0029639d"/>
    <w:pPr>
      <w:spacing w:before="0" w:after="120"/>
      <w:ind w:start="360"/>
      <w:contextualSpacing/>
    </w:pPr>
    <w:rPr>
      <w:rFonts w:ascii="Calibri" w:hAnsi="Calibri"/>
      <w:color w:val="000000"/>
    </w:rPr>
  </w:style>
  <w:style w:type="paragraph" w:styleId="ListContinue2">
    <w:name w:val="List Continue 2"/>
    <w:basedOn w:val="Normal"/>
    <w:uiPriority w:val="99"/>
    <w:unhideWhenUsed/>
    <w:rsid w:val="0029639d"/>
    <w:pPr>
      <w:spacing w:before="0" w:after="120"/>
      <w:ind w:start="720"/>
      <w:contextualSpacing/>
    </w:pPr>
    <w:rPr>
      <w:rFonts w:ascii="Calibri" w:hAnsi="Calibri"/>
      <w:color w:val="000000"/>
    </w:rPr>
  </w:style>
  <w:style w:type="paragraph" w:styleId="ListContinue3">
    <w:name w:val="List Continue 3"/>
    <w:basedOn w:val="Normal"/>
    <w:uiPriority w:val="99"/>
    <w:unhideWhenUsed/>
    <w:rsid w:val="0029639d"/>
    <w:pPr>
      <w:spacing w:before="0" w:after="120"/>
      <w:ind w:start="1080"/>
      <w:contextualSpacing/>
    </w:pPr>
    <w:rPr>
      <w:rFonts w:ascii="Calibri" w:hAnsi="Calibri"/>
      <w:color w:val="000000"/>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alibri" w:hAnsi="Calibri" w:eastAsia="ＭＳ 明朝" w:cs="" w:cstheme="minorBidi" w:eastAsiaTheme="minorEastAsia"/>
      <w:color w:val="000000"/>
      <w:kern w:val="0"/>
      <w:sz w:val="20"/>
      <w:szCs w:val="20"/>
      <w:lang w:val="en-US" w:eastAsia="en-US" w:bidi="ar-SA"/>
    </w:rPr>
  </w:style>
  <w:style w:type="paragraph" w:styleId="Quote">
    <w:name w:val="Quote"/>
    <w:basedOn w:val="Normal"/>
    <w:next w:val="Normal"/>
    <w:link w:val="QuoteChar"/>
    <w:uiPriority w:val="29"/>
    <w:qFormat/>
    <w:rsid w:val="00fc693f"/>
    <w:pPr/>
    <w:rPr>
      <w:rFonts w:ascii="Calibri" w:hAnsi="Calibri"/>
      <w:i/>
      <w:iCs/>
      <w:color w:val="000000"/>
    </w:rPr>
  </w:style>
  <w:style w:type="paragraph" w:styleId="IntenseQuote">
    <w:name w:val="Intense Quote"/>
    <w:basedOn w:val="Normal"/>
    <w:next w:val="Normal"/>
    <w:link w:val="IntenseQuoteChar"/>
    <w:uiPriority w:val="30"/>
    <w:qFormat/>
    <w:rsid w:val="00fc693f"/>
    <w:pPr>
      <w:spacing w:before="200" w:after="280"/>
      <w:ind w:start="936" w:end="936"/>
    </w:pPr>
    <w:rPr>
      <w:rFonts w:ascii="Calibri" w:hAnsi="Calibri"/>
      <w:b/>
      <w:bCs/>
      <w:i/>
      <w:iCs/>
      <w:color w:val="000000"/>
    </w:rPr>
  </w:style>
  <w:style w:type="paragraph" w:styleId="IndexHeading">
    <w:name w:val="index heading"/>
    <w:basedOn w:val="Heading"/>
    <w:pPr/>
    <w:rPr>
      <w:rFonts w:ascii="Calibri" w:hAnsi="Calibri"/>
      <w:color w:val="000000"/>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paragraph" w:styleId="TOC1">
    <w:name w:val="toc 1"/>
    <w:basedOn w:val="Index"/>
    <w:pPr>
      <w:tabs>
        <w:tab w:val="clear" w:pos="720"/>
        <w:tab w:val="right" w:pos="10282" w:leader="dot"/>
      </w:tabs>
      <w:ind w:hanging="0" w:start="0"/>
    </w:pPr>
    <w:rPr>
      <w:rFonts w:ascii="Calibri" w:hAnsi="Calibri"/>
      <w:color w:val="000000"/>
    </w:rPr>
  </w:style>
  <w:style w:type="paragraph" w:styleId="TOC2">
    <w:name w:val="toc 2"/>
    <w:basedOn w:val="Index"/>
    <w:pPr>
      <w:tabs>
        <w:tab w:val="clear" w:pos="720"/>
        <w:tab w:val="right" w:pos="9999" w:leader="dot"/>
      </w:tabs>
      <w:ind w:hanging="0" w:start="283"/>
    </w:pPr>
    <w:rPr>
      <w:rFonts w:ascii="Calibri" w:hAnsi="Calibri"/>
      <w:color w:val="000000"/>
    </w:rPr>
  </w:style>
  <w:style w:type="paragraph" w:styleId="TOC3">
    <w:name w:val="toc 3"/>
    <w:basedOn w:val="Index"/>
    <w:pPr>
      <w:tabs>
        <w:tab w:val="clear" w:pos="720"/>
        <w:tab w:val="right" w:pos="9715" w:leader="dot"/>
      </w:tabs>
      <w:ind w:hanging="0" w:start="567"/>
    </w:pPr>
    <w:rPr>
      <w:rFonts w:ascii="Calibri" w:hAnsi="Calibri"/>
      <w:color w:val="00000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rive.google.com/file/d/1yuNv2ukKT3OJ6aUCe5bVRlqtTuc-rn50/view" TargetMode="External"/><Relationship Id="rId12" Type="http://schemas.openxmlformats.org/officeDocument/2006/relationships/hyperlink" Target="https://drive.google.com/file/d/1RTRqQsgskSywx2cf2YkpJOHzD_qNFfPv/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AMREYE AI Bill of Materials and Financial Planning</dc:title>
  <dc:subject>Component and procurement detail, working budgets, illustrative pricing and scenario models. Figures are internal planning inputs or dated observations. Reader V1, integrated Bio-Vault and APEX XR scopes must remain separate. The source records an un</dc:subject>
  <dc:creator>AMREYE.AI</dc:creator>
  <cp:keywords/>
  <dc:description>Detailed source content redistributed from the canonical master; claims retain their original evidence status.</dc:description>
  <cp:lastModifiedBy/>
  <cp:revision>1</cp:revision>
  <dcterms:created xsi:type="dcterms:W3CDTF">2013-12-23T23:15:00Z</dcterms:created>
  <dcterms:modified xsi:type="dcterms:W3CDTF">2013-12-23T23:15:00Z</dcterms:modified>
  <cp:category/>
</cp:coreProperties>
</file>