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rPr>
          <w:color w:val="000000"/>
        </w:rPr>
        <w:t>AMREYE AI Development Roadmap and Advanced Architecture</w:t>
      </w:r>
    </w:p>
    <w:p>
      <w:pPr>
        <w:spacing w:before="0" w:after="50" w:line="250" w:lineRule="auto"/>
      </w:pPr>
      <w:r>
        <w:rPr>
          <w:rFonts w:ascii="Calibri" w:hAnsi="Calibri"/>
          <w:sz w:val="20"/>
        </w:rPr>
        <w:t>Reader V1 development priorities, implementation planning, and proposed Bio-Vault and APEX XR configurations. Advanced specifications, interfaces and subsystem descriptions remain proposed architecture. Dates, durations and capability descriptions do not establish delivery commitments or completed functions.</w:t>
      </w:r>
    </w:p>
    <w:p>
      <w:pPr>
        <w:spacing w:before="0" w:after="50" w:line="250" w:lineRule="auto"/>
      </w:pPr>
      <w:r>
        <w:rPr>
          <w:rFonts w:ascii="Calibri" w:hAnsi="Calibri"/>
          <w:sz w:val="20"/>
        </w:rPr>
        <w:t>Supporting reference revised 19 September 2026 from the source master last updated 17 September 2026. Detailed source content is retained for specialist use. Original figure and table numbers are retained for traceability. The concise AMREYE.AI Super Document remains the main project overview.</w:t>
      </w:r>
    </w:p>
    <w:p>
      <w:pPr>
        <w:spacing w:before="0" w:after="50" w:line="250" w:lineRule="auto"/>
      </w:pPr>
      <w:hyperlink r:id="rId11">
        <w:r>
          <w:rPr>
            <w:color w:val="154F63"/>
            <w:u w:val="single"/>
          </w:rPr>
          <w:t>Open the main project overview</w:t>
        </w:r>
      </w:hyperlink>
    </w:p>
    <w:p>
      <w:pPr>
        <w:pStyle w:val="Heading2"/>
        <w:keepNext/>
        <w:keepLines/>
      </w:pPr>
      <w:r>
        <w:rPr>
          <w:color w:val="000000"/>
        </w:rPr>
        <w:t>Contents</w:t>
      </w:r>
    </w:p>
    <w:p>
      <w:pPr>
        <w:spacing w:before="0" w:after="50" w:line="250" w:lineRule="auto"/>
      </w:pPr>
      <w:hyperlink w:anchor="P6_chapter_1">
        <w:r>
          <w:rPr>
            <w:color w:val="154F63"/>
            <w:u w:val="single"/>
          </w:rPr>
          <w:t>Development roadmap and advanced configurations</w:t>
        </w:r>
      </w:hyperlink>
    </w:p>
    <w:p>
      <w:pPr>
        <w:spacing w:before="0" w:after="50" w:line="250" w:lineRule="auto"/>
      </w:pPr>
      <w:hyperlink r:id="rId12">
        <w:r>
          <w:rPr>
            <w:color w:val="154F63"/>
            <w:u w:val="single"/>
          </w:rPr>
          <w:t>Full source catalogue</w:t>
        </w:r>
      </w:hyperlink>
    </w:p>
    <w:p>
      <w:pPr>
        <w:spacing w:before="0" w:after="50" w:line="250" w:lineRule="auto"/>
      </w:pPr>
    </w:p>
    <w:p>
      <w:pPr>
        <w:pStyle w:val="Heading1"/>
        <w:keepNext/>
        <w:keepLines/>
        <w:pageBreakBefore w:val="0"/>
      </w:pPr>
      <w:bookmarkStart w:id="200000" w:name="P6_chapter_1"/>
      <w:r>
        <w:rPr>
          <w:color w:val="000000"/>
        </w:rPr>
        <w:t>Development roadmap and advanced configurations</w:t>
      </w:r>
      <w:bookmarkStart w:id="95008" w:name="product_9"/>
      <w:bookmarkEnd w:id="95008"/>
      <w:bookmarkEnd w:id="200000"/>
    </w:p>
    <w:p>
      <w:pPr>
        <w:pStyle w:val="Heading3"/>
        <w:keepNext/>
        <w:keepLines/>
        <w:spacing w:before="240" w:after="120" w:line="269" w:lineRule="auto"/>
      </w:pPr>
      <w:r>
        <w:rPr>
          <w:color w:val="000000"/>
        </w:rPr>
        <w:t>From requirements to verified increments</w:t>
      </w:r>
    </w:p>
    <w:p>
      <w:pPr>
        <w:pStyle w:val="Normal"/>
        <w:keepNext/>
        <w:spacing w:before="0" w:after="50" w:line="250" w:lineRule="auto"/>
        <w:rPr/>
      </w:pPr>
      <w:r>
        <w:rPr>
          <w:rFonts w:ascii="Calibri" w:hAnsi="Calibri"/>
          <w:b/>
          <w:color w:val="000000"/>
          <w:sz w:val="20"/>
        </w:rPr>
        <w:t>Development should produce evidence-bearing increments</w:t>
      </w:r>
    </w:p>
    <w:p>
      <w:pPr>
        <w:pStyle w:val="Normal"/>
        <w:spacing w:before="0" w:after="50" w:line="250" w:lineRule="auto"/>
        <w:rPr/>
      </w:pPr>
      <w:r>
        <w:rPr>
          <w:rFonts w:ascii="Calibri" w:hAnsi="Calibri"/>
          <w:color w:val="000000"/>
          <w:sz w:val="20"/>
        </w:rPr>
        <w:t>The proposed programme should convert the platform vision into bounded engineering questions. Each increment should deliver a function and the evidence needed to assess it. This approach allows configuration ideas to remain flexible while preventing an untested concept from becoming a fixed product promise.</w:t>
      </w:r>
    </w:p>
    <w:p>
      <w:pPr>
        <w:pStyle w:val="Heading3"/>
        <w:keepNext/>
        <w:keepLines/>
        <w:spacing w:before="240" w:after="120" w:line="269" w:lineRule="auto"/>
      </w:pPr>
      <w:r>
        <w:rPr>
          <w:color w:val="000000"/>
        </w:rPr>
        <w:t>Begin with observable requirements</w:t>
      </w:r>
    </w:p>
    <w:p>
      <w:pPr>
        <w:pStyle w:val="Normal"/>
        <w:spacing w:before="0" w:after="50" w:line="250" w:lineRule="auto"/>
        <w:rPr/>
      </w:pPr>
      <w:r>
        <w:rPr>
          <w:rFonts w:ascii="Calibri" w:hAnsi="Calibri"/>
          <w:color w:val="000000"/>
          <w:sz w:val="20"/>
        </w:rPr>
        <w:t>A requirement should describe a behavior, condition and acceptance method. “Reliable imaging” is too broad to test directly. A more useful requirement identifies the permitted plate range, capture conditions, quality decision and retained record. Numerical thresholds should follow justified design targets and evidence, not arbitrary precision.</w:t>
      </w:r>
    </w:p>
    <w:p>
      <w:pPr>
        <w:pStyle w:val="Caption"/>
        <w:keepNext/>
      </w:pPr>
      <w:bookmarkStart w:id="97013" w:name="figure_13"/>
      <w:r>
        <w:t>Figure 13 Requirements and development evidence</w:t>
      </w:r>
      <w:bookmarkEnd w:id="97013"/>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04230" cy="1905635"/>
            <wp:effectExtent l="0" t="0" r="0" b="0"/>
            <wp:docPr id="22" name="Picture 22"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2" name="Picture 22" descr="" title=""/>
                    <pic:cNvPicPr>
                      <a:picLocks noChangeAspect="1" noChangeArrowheads="1"/>
                    </pic:cNvPicPr>
                  </pic:nvPicPr>
                  <pic:blipFill>
                    <a:blip r:embed="rId13"/>
                    <a:stretch>
                      <a:fillRect/>
                    </a:stretch>
                  </pic:blipFill>
                  <pic:spPr bwMode="auto">
                    <a:xfrm>
                      <a:off x="0" y="0"/>
                      <a:ext cx="5904230" cy="1905635"/>
                    </a:xfrm>
                    <a:prstGeom prst="rect">
                      <a:avLst/>
                    </a:prstGeom>
                    <a:noFill/>
                  </pic:spPr>
                </pic:pic>
              </a:graphicData>
            </a:graphic>
          </wp:inline>
        </w:drawing>
      </w:r>
    </w:p>
    <w:p>
      <w:pPr>
        <w:pStyle w:val="Heading3"/>
        <w:keepNext/>
        <w:keepLines/>
        <w:spacing w:before="240" w:after="120" w:line="269" w:lineRule="auto"/>
      </w:pPr>
      <w:r>
        <w:rPr>
          <w:color w:val="000000"/>
        </w:rPr>
        <w:t>Preserve learning across changes</w:t>
      </w:r>
    </w:p>
    <w:p>
      <w:pPr>
        <w:pStyle w:val="Normal"/>
        <w:spacing w:before="0" w:after="50" w:line="250" w:lineRule="auto"/>
        <w:rPr/>
      </w:pPr>
      <w:r>
        <w:rPr>
          <w:rFonts w:ascii="Calibri" w:hAnsi="Calibri"/>
          <w:color w:val="000000"/>
          <w:sz w:val="20"/>
        </w:rPr>
        <w:t>An unsuccessful prototype can establish a useful limit, such as insufficient optical contrast or an impractical service requirement. The relevant conditions and measurements should be retained so that the same assumption is not repeatedly rediscovered. Historical evidence must still identify the configuration that produced it.</w:t>
      </w:r>
    </w:p>
    <w:p>
      <w:pPr>
        <w:pStyle w:val="Normal"/>
        <w:spacing w:before="0" w:after="50" w:line="250" w:lineRule="auto"/>
        <w:rPr/>
      </w:pPr>
      <w:r>
        <w:rPr>
          <w:rFonts w:ascii="Calibri" w:hAnsi="Calibri"/>
          <w:color w:val="000000"/>
          <w:sz w:val="20"/>
        </w:rPr>
        <w:t>For AMReye.AI, the first increments should establish the endpoint reader's capture, calibration, measurement, review and export chain. Advanced sensing, automation and predictive twins can develop through separate research questions that use those foundations. Their progress should be assessed individually, without making the initial product depend on every element of the long-term vision.</w:t>
      </w:r>
    </w:p>
    <w:p>
      <w:pPr>
        <w:pStyle w:val="Heading3"/>
        <w:keepNext/>
        <w:keepLines/>
        <w:spacing w:before="240" w:after="120" w:line="269" w:lineRule="auto"/>
      </w:pPr>
      <w:r>
        <w:rPr>
          <w:color w:val="000000"/>
        </w:rPr>
        <w:t>Reader V1 engineering sequence</w:t>
      </w:r>
    </w:p>
    <w:p>
      <w:pPr>
        <w:pStyle w:val="Normal"/>
        <w:keepNext/>
        <w:spacing w:before="0" w:after="50" w:line="250" w:lineRule="auto"/>
        <w:rPr/>
      </w:pPr>
      <w:r>
        <w:rPr>
          <w:rFonts w:ascii="Calibri" w:hAnsi="Calibri"/>
          <w:b/>
          <w:color w:val="000000"/>
          <w:sz w:val="20"/>
        </w:rPr>
        <w:t>Reader V1 should establish a complete, narrow workflow</w:t>
      </w:r>
    </w:p>
    <w:p>
      <w:pPr>
        <w:pStyle w:val="Normal"/>
        <w:spacing w:before="0" w:after="50" w:line="250" w:lineRule="auto"/>
        <w:rPr/>
      </w:pPr>
      <w:r>
        <w:rPr>
          <w:rFonts w:ascii="Calibri" w:hAnsi="Calibri"/>
          <w:color w:val="000000"/>
          <w:sz w:val="20"/>
        </w:rPr>
        <w:t>The near-term engineering sequence should prioritize controlled endpoint imaging and a traceable reviewed measurement. A small complete workflow is more informative than a collection of disconnected demonstrations because it exposes identity, calibration and state-management failures at their interfaces.</w:t>
      </w:r>
    </w:p>
    <w:p>
      <w:pPr>
        <w:pStyle w:val="Heading3"/>
        <w:keepNext/>
        <w:keepLines/>
        <w:spacing w:before="240" w:after="120" w:line="269" w:lineRule="auto"/>
      </w:pPr>
      <w:r>
        <w:rPr>
          <w:color w:val="000000"/>
        </w:rPr>
        <w:t>Proposed sequence</w:t>
      </w:r>
    </w:p>
    <w:p>
      <w:pPr>
        <w:pStyle w:val="Normal"/>
        <w:spacing w:before="0" w:after="50" w:line="250" w:lineRule="auto"/>
        <w:rPr/>
      </w:pPr>
      <w:r>
        <w:rPr>
          <w:rFonts w:ascii="Calibri" w:hAnsi="Calibri"/>
          <w:color w:val="000000"/>
          <w:sz w:val="20"/>
        </w:rPr>
        <w:t>First establish a repeatable optical arrangement and qualified capture records. Then develop spatial calibration and image-quality assessment. Add measurement with independent comparison, followed by controlled interpretation, review and export. Integrate service and recovery behavior before evaluating the workflow in a broader setting.</w:t>
      </w:r>
    </w:p>
    <w:p>
      <w:pPr>
        <w:spacing w:before="0" w:after="50" w:line="250" w:lineRule="auto"/>
      </w:pPr>
      <w:r>
        <w:rPr>
          <w:rFonts w:ascii="Calibri" w:hAnsi="Calibri"/>
          <w:color w:val="000000"/>
          <w:sz w:val="20"/>
        </w:rPr>
        <w:t xml:space="preserve">Increment: Capture bench</w:t>
      </w:r>
    </w:p>
    <w:p>
      <w:pPr>
        <w:spacing w:before="0" w:after="50" w:line="250" w:lineRule="auto"/>
      </w:pPr>
      <w:r>
        <w:rPr>
          <w:rFonts w:ascii="Calibri" w:hAnsi="Calibri"/>
          <w:color w:val="000000"/>
          <w:sz w:val="20"/>
        </w:rPr>
        <w:t xml:space="preserve">Exit evidence: Readable field coverage and stable acquisition records.</w:t>
      </w:r>
    </w:p>
    <w:p>
      <w:pPr>
        <w:spacing w:before="0" w:after="50" w:line="250" w:lineRule="auto"/>
      </w:pPr>
      <w:r>
        <w:rPr>
          <w:rFonts w:ascii="Calibri" w:hAnsi="Calibri"/>
          <w:color w:val="000000"/>
          <w:sz w:val="20"/>
        </w:rPr>
        <w:t xml:space="preserve">Increment: Calibration</w:t>
      </w:r>
    </w:p>
    <w:p>
      <w:pPr>
        <w:spacing w:before="0" w:after="50" w:line="250" w:lineRule="auto"/>
      </w:pPr>
      <w:r>
        <w:rPr>
          <w:rFonts w:ascii="Calibri" w:hAnsi="Calibri"/>
          <w:color w:val="000000"/>
          <w:sz w:val="20"/>
        </w:rPr>
        <w:t xml:space="preserve">Exit evidence: Traceable scale and characterized spatial residuals.</w:t>
      </w:r>
    </w:p>
    <w:p>
      <w:pPr>
        <w:spacing w:before="0" w:after="50" w:line="250" w:lineRule="auto"/>
      </w:pPr>
      <w:r>
        <w:rPr>
          <w:rFonts w:ascii="Calibri" w:hAnsi="Calibri"/>
          <w:color w:val="000000"/>
          <w:sz w:val="20"/>
        </w:rPr>
        <w:t xml:space="preserve">Increment: Quality checks</w:t>
      </w:r>
    </w:p>
    <w:p>
      <w:pPr>
        <w:spacing w:before="0" w:after="50" w:line="250" w:lineRule="auto"/>
      </w:pPr>
      <w:r>
        <w:rPr>
          <w:rFonts w:ascii="Calibri" w:hAnsi="Calibri"/>
          <w:color w:val="000000"/>
          <w:sz w:val="20"/>
        </w:rPr>
        <w:t xml:space="preserve">Exit evidence: Detection of relevant unreadable or unsupported images.</w:t>
      </w:r>
    </w:p>
    <w:p>
      <w:pPr>
        <w:spacing w:before="0" w:after="50" w:line="250" w:lineRule="auto"/>
      </w:pPr>
      <w:r>
        <w:rPr>
          <w:rFonts w:ascii="Calibri" w:hAnsi="Calibri"/>
          <w:color w:val="000000"/>
          <w:sz w:val="20"/>
        </w:rPr>
        <w:t xml:space="preserve">Increment: Measurement</w:t>
      </w:r>
    </w:p>
    <w:p>
      <w:pPr>
        <w:spacing w:before="0" w:after="50" w:line="250" w:lineRule="auto"/>
      </w:pPr>
      <w:r>
        <w:rPr>
          <w:rFonts w:ascii="Calibri" w:hAnsi="Calibri"/>
          <w:color w:val="000000"/>
          <w:sz w:val="20"/>
        </w:rPr>
        <w:t xml:space="preserve">Exit evidence: Independent agreement within the proposed domain.</w:t>
      </w:r>
    </w:p>
    <w:p>
      <w:pPr>
        <w:spacing w:before="0" w:after="50" w:line="250" w:lineRule="auto"/>
      </w:pPr>
      <w:r>
        <w:rPr>
          <w:rFonts w:ascii="Calibri" w:hAnsi="Calibri"/>
          <w:color w:val="000000"/>
          <w:sz w:val="20"/>
        </w:rPr>
        <w:t xml:space="preserve">Increment: Review and interpretation</w:t>
      </w:r>
    </w:p>
    <w:p>
      <w:pPr>
        <w:spacing w:before="0" w:after="50" w:line="250" w:lineRule="auto"/>
      </w:pPr>
      <w:r>
        <w:rPr>
          <w:rFonts w:ascii="Calibri" w:hAnsi="Calibri"/>
          <w:color w:val="000000"/>
          <w:sz w:val="20"/>
        </w:rPr>
        <w:t xml:space="preserve">Exit evidence: Correct rules, corrections and approval behavior.</w:t>
      </w:r>
    </w:p>
    <w:p>
      <w:pPr>
        <w:spacing w:before="0" w:after="50" w:line="250" w:lineRule="auto"/>
      </w:pPr>
      <w:r>
        <w:rPr>
          <w:rFonts w:ascii="Calibri" w:hAnsi="Calibri"/>
          <w:color w:val="000000"/>
          <w:sz w:val="20"/>
        </w:rPr>
        <w:t xml:space="preserve">Increment: Integrated workflow</w:t>
      </w:r>
    </w:p>
    <w:p>
      <w:pPr>
        <w:spacing w:before="0" w:after="50" w:line="250" w:lineRule="auto"/>
      </w:pPr>
      <w:r>
        <w:rPr>
          <w:rFonts w:ascii="Calibri" w:hAnsi="Calibri"/>
          <w:color w:val="000000"/>
          <w:sz w:val="20"/>
        </w:rPr>
        <w:t xml:space="preserve">Exit evidence: End-to-end identity, export and recovery verification.</w:t>
      </w:r>
    </w:p>
    <w:p>
      <w:pPr>
        <w:pStyle w:val="Heading3"/>
        <w:keepNext/>
        <w:keepLines/>
        <w:spacing w:before="240" w:after="120" w:line="269" w:lineRule="auto"/>
      </w:pPr>
      <w:r>
        <w:rPr>
          <w:color w:val="000000"/>
        </w:rPr>
        <w:t>Keep the biological method controlled</w:t>
      </w:r>
    </w:p>
    <w:p>
      <w:pPr>
        <w:pStyle w:val="Normal"/>
        <w:spacing w:before="0" w:after="50" w:line="250" w:lineRule="auto"/>
        <w:rPr/>
      </w:pPr>
      <w:r>
        <w:rPr>
          <w:rFonts w:ascii="Calibri" w:hAnsi="Calibri"/>
          <w:color w:val="000000"/>
          <w:sz w:val="20"/>
        </w:rPr>
        <w:t>The reader should not change incubation or preparation conditions merely to simplify imaging. Any proposed method change requires a separate assessment. The exact reference components in the concluding BOM are a dated procurement configuration, not a commitment to a permanent chip generation or enclosure shape.</w:t>
      </w:r>
    </w:p>
    <w:p>
      <w:pPr>
        <w:pStyle w:val="Normal"/>
        <w:spacing w:before="0" w:after="50" w:line="250" w:lineRule="auto"/>
        <w:rPr/>
      </w:pPr>
      <w:r>
        <w:rPr>
          <w:rFonts w:ascii="Calibri" w:hAnsi="Calibri"/>
          <w:color w:val="000000"/>
          <w:sz w:val="20"/>
        </w:rPr>
        <w:t>The programme should use explicit go/no-go decisions after each major uncertainty is tested. If the optical arrangement cannot meet the required field and measurement performance, software complexity should not be used to conceal the limitation. The appropriate response is to revise the arrangement or narrow the intended scope before proceeding.</w:t>
      </w:r>
    </w:p>
    <w:p>
      <w:pPr>
        <w:pStyle w:val="Heading3"/>
        <w:keepNext/>
        <w:keepLines/>
        <w:spacing w:before="240" w:after="120" w:line="269" w:lineRule="auto"/>
      </w:pPr>
      <w:r>
        <w:rPr>
          <w:color w:val="000000"/>
        </w:rPr>
        <w:t>Optical bench development</w:t>
      </w:r>
    </w:p>
    <w:p>
      <w:pPr>
        <w:pStyle w:val="Normal"/>
        <w:keepNext/>
        <w:spacing w:before="0" w:after="50" w:line="250" w:lineRule="auto"/>
        <w:rPr/>
      </w:pPr>
      <w:r>
        <w:rPr>
          <w:rFonts w:ascii="Calibri" w:hAnsi="Calibri"/>
          <w:b/>
          <w:color w:val="000000"/>
          <w:sz w:val="20"/>
        </w:rPr>
        <w:t>The optical bench should measure its own limitations</w:t>
      </w:r>
    </w:p>
    <w:p>
      <w:pPr>
        <w:pStyle w:val="Normal"/>
        <w:spacing w:before="0" w:after="50" w:line="250" w:lineRule="auto"/>
        <w:rPr/>
      </w:pPr>
      <w:r>
        <w:rPr>
          <w:rFonts w:ascii="Calibri" w:hAnsi="Calibri"/>
          <w:color w:val="000000"/>
          <w:sz w:val="20"/>
        </w:rPr>
        <w:t>Optical development should establish field coverage, sampling, distortion, focus behavior, illumination uniformity and stability. The bench should allow controlled comparison of alternatives without implying that the final product must use one fixed enclosure or station arrangement.</w:t>
      </w:r>
    </w:p>
    <w:p>
      <w:pPr>
        <w:pStyle w:val="Heading3"/>
        <w:keepNext/>
        <w:keepLines/>
        <w:spacing w:before="240" w:after="120" w:line="269" w:lineRule="auto"/>
      </w:pPr>
      <w:r>
        <w:rPr>
          <w:color w:val="000000"/>
        </w:rPr>
        <w:t>Proposed bench programme</w:t>
      </w:r>
    </w:p>
    <w:p>
      <w:pPr>
        <w:pStyle w:val="Normal"/>
        <w:spacing w:before="0" w:after="50" w:line="250" w:lineRule="auto"/>
        <w:rPr/>
      </w:pPr>
      <w:r>
        <w:rPr>
          <w:rFonts w:ascii="Calibri" w:hAnsi="Calibri"/>
          <w:color w:val="000000"/>
          <w:sz w:val="20"/>
        </w:rPr>
        <w:t>Use appropriate reference artifacts to characterize geometry and image formation, then evaluate representative biological appearances within authorized laboratory work. Record lens settings, distances, illumination, exposure and processing. A photograph of a clear plate is insufficient evidence of calibrated measurement performance.</w:t>
      </w:r>
    </w:p>
    <w:p>
      <w:pPr>
        <w:spacing w:before="0" w:after="50" w:line="250" w:lineRule="auto"/>
      </w:pPr>
      <w:r>
        <w:rPr>
          <w:rFonts w:ascii="Calibri" w:hAnsi="Calibri"/>
          <w:color w:val="000000"/>
          <w:sz w:val="20"/>
        </w:rPr>
        <w:t xml:space="preserve">Bench question: Is the full field usable?</w:t>
      </w:r>
    </w:p>
    <w:p>
      <w:pPr>
        <w:spacing w:before="0" w:after="50" w:line="250" w:lineRule="auto"/>
      </w:pPr>
      <w:r>
        <w:rPr>
          <w:rFonts w:ascii="Calibri" w:hAnsi="Calibri"/>
          <w:color w:val="000000"/>
          <w:sz w:val="20"/>
        </w:rPr>
        <w:t xml:space="preserve">Proposed observation: Focus and distortion behavior across the intended region.</w:t>
      </w:r>
    </w:p>
    <w:p>
      <w:pPr>
        <w:spacing w:before="0" w:after="50" w:line="250" w:lineRule="auto"/>
      </w:pPr>
      <w:r>
        <w:rPr>
          <w:rFonts w:ascii="Calibri" w:hAnsi="Calibri"/>
          <w:color w:val="000000"/>
          <w:sz w:val="20"/>
        </w:rPr>
        <w:t xml:space="preserve">Bench question: Does scale change with pose?</w:t>
      </w:r>
    </w:p>
    <w:p>
      <w:pPr>
        <w:spacing w:before="0" w:after="50" w:line="250" w:lineRule="auto"/>
      </w:pPr>
      <w:r>
        <w:rPr>
          <w:rFonts w:ascii="Calibri" w:hAnsi="Calibri"/>
          <w:color w:val="000000"/>
          <w:sz w:val="20"/>
        </w:rPr>
        <w:t xml:space="preserve">Proposed observation: Measurement effect of permitted height and tilt variation.</w:t>
      </w:r>
    </w:p>
    <w:p>
      <w:pPr>
        <w:spacing w:before="0" w:after="50" w:line="250" w:lineRule="auto"/>
      </w:pPr>
      <w:r>
        <w:rPr>
          <w:rFonts w:ascii="Calibri" w:hAnsi="Calibri"/>
          <w:color w:val="000000"/>
          <w:sz w:val="20"/>
        </w:rPr>
        <w:t xml:space="preserve">Bench question: Is illumination stable?</w:t>
      </w:r>
    </w:p>
    <w:p>
      <w:pPr>
        <w:spacing w:before="0" w:after="50" w:line="250" w:lineRule="auto"/>
      </w:pPr>
      <w:r>
        <w:rPr>
          <w:rFonts w:ascii="Calibri" w:hAnsi="Calibri"/>
          <w:color w:val="000000"/>
          <w:sz w:val="20"/>
        </w:rPr>
        <w:t xml:space="preserve">Proposed observation: Spatial and temporal reference-image metrics.</w:t>
      </w:r>
    </w:p>
    <w:p>
      <w:pPr>
        <w:spacing w:before="0" w:after="50" w:line="250" w:lineRule="auto"/>
      </w:pPr>
      <w:r>
        <w:rPr>
          <w:rFonts w:ascii="Calibri" w:hAnsi="Calibri"/>
          <w:color w:val="000000"/>
          <w:sz w:val="20"/>
        </w:rPr>
        <w:t xml:space="preserve">Bench question: Are boundaries visible?</w:t>
      </w:r>
    </w:p>
    <w:p>
      <w:pPr>
        <w:spacing w:before="0" w:after="50" w:line="250" w:lineRule="auto"/>
      </w:pPr>
      <w:r>
        <w:rPr>
          <w:rFonts w:ascii="Calibri" w:hAnsi="Calibri"/>
          <w:color w:val="000000"/>
          <w:sz w:val="20"/>
        </w:rPr>
        <w:t xml:space="preserve">Proposed observation: Contrast and ambiguity across relevant plate appearances.</w:t>
      </w:r>
    </w:p>
    <w:p>
      <w:pPr>
        <w:spacing w:before="0" w:after="50" w:line="250" w:lineRule="auto"/>
      </w:pPr>
      <w:r>
        <w:rPr>
          <w:rFonts w:ascii="Calibri" w:hAnsi="Calibri"/>
          <w:color w:val="000000"/>
          <w:sz w:val="20"/>
        </w:rPr>
        <w:t xml:space="preserve">Bench question: Can the system be recalibrated?</w:t>
      </w:r>
    </w:p>
    <w:p>
      <w:pPr>
        <w:spacing w:before="0" w:after="50" w:line="250" w:lineRule="auto"/>
      </w:pPr>
      <w:r>
        <w:rPr>
          <w:rFonts w:ascii="Calibri" w:hAnsi="Calibri"/>
          <w:color w:val="000000"/>
          <w:sz w:val="20"/>
        </w:rPr>
        <w:t xml:space="preserve">Proposed observation: Repeatable setup and independent verification after adjustment.</w:t>
      </w:r>
    </w:p>
    <w:p>
      <w:pPr>
        <w:pStyle w:val="Heading3"/>
        <w:keepNext/>
        <w:keepLines/>
        <w:spacing w:before="240" w:after="120" w:line="269" w:lineRule="auto"/>
      </w:pPr>
      <w:r>
        <w:rPr>
          <w:color w:val="000000"/>
        </w:rPr>
        <w:t>Compare alternatives on the same task</w:t>
      </w:r>
    </w:p>
    <w:p>
      <w:pPr>
        <w:pStyle w:val="Normal"/>
        <w:spacing w:before="0" w:after="50" w:line="250" w:lineRule="auto"/>
        <w:rPr/>
      </w:pPr>
      <w:r>
        <w:rPr>
          <w:rFonts w:ascii="Calibri" w:hAnsi="Calibri"/>
          <w:color w:val="000000"/>
          <w:sz w:val="20"/>
        </w:rPr>
        <w:t xml:space="preserve">Conventional and telecentric optics, different illumination geometries and alternate acquisition settings should be compared using the intended measurement and service constraints. Telecentricity may reduce some magnification variation, but field size, cost and integration burden remain relevant. </w:t>
      </w:r>
    </w:p>
    <w:p>
      <w:pPr>
        <w:pStyle w:val="Normal"/>
        <w:spacing w:before="0" w:after="50" w:line="250" w:lineRule="auto"/>
        <w:rPr/>
      </w:pPr>
      <w:r>
        <w:rPr>
          <w:rFonts w:ascii="Calibri" w:hAnsi="Calibri"/>
          <w:color w:val="000000"/>
          <w:sz w:val="20"/>
        </w:rPr>
        <w:t>The development report should separate object-plane sampling from achieved accuracy. A small nominal pixel pitch does not account for blur, distortion, calibration or boundary ambiguity. The selected arrangement should be justified by a measured uncertainty budget and practical reproducibility, with unresolved limitations carried into the next prototype rather than hidden by a high-resolution specification.</w:t>
      </w:r>
    </w:p>
    <w:p>
      <w:pPr>
        <w:pStyle w:val="Heading3"/>
        <w:keepNext/>
        <w:keepLines/>
        <w:spacing w:before="240" w:after="120" w:line="269" w:lineRule="auto"/>
      </w:pPr>
      <w:r>
        <w:rPr>
          <w:color w:val="000000"/>
        </w:rPr>
        <w:t>Mechanical design and service access</w:t>
      </w:r>
    </w:p>
    <w:p>
      <w:pPr>
        <w:pStyle w:val="Normal"/>
        <w:keepNext/>
        <w:spacing w:before="0" w:after="50" w:line="250" w:lineRule="auto"/>
        <w:rPr/>
      </w:pPr>
      <w:r>
        <w:rPr>
          <w:rFonts w:ascii="Calibri" w:hAnsi="Calibri"/>
          <w:b/>
          <w:color w:val="000000"/>
          <w:sz w:val="20"/>
        </w:rPr>
        <w:t>Mechanical design should support measurement and maintenance</w:t>
      </w:r>
    </w:p>
    <w:p>
      <w:pPr>
        <w:pStyle w:val="Normal"/>
        <w:spacing w:before="0" w:after="50" w:line="250" w:lineRule="auto"/>
        <w:rPr/>
      </w:pPr>
      <w:r>
        <w:rPr>
          <w:rFonts w:ascii="Calibri" w:hAnsi="Calibri"/>
          <w:color w:val="000000"/>
          <w:sz w:val="20"/>
        </w:rPr>
        <w:t>The mechanical system should hold relevant optical and sample relationships within their permitted ranges while allowing cleaning, service and safe operation. Plate loading, access and thermal behavior are part of the measurement design. A rigid-looking enclosure does not establish stability under actual use.</w:t>
      </w:r>
    </w:p>
    <w:p>
      <w:pPr>
        <w:pStyle w:val="Heading3"/>
        <w:keepNext/>
        <w:keepLines/>
        <w:spacing w:before="240" w:after="120" w:line="269" w:lineRule="auto"/>
      </w:pPr>
      <w:r>
        <w:rPr>
          <w:color w:val="000000"/>
        </w:rPr>
        <w:t>Proposed design considerations</w:t>
      </w:r>
    </w:p>
    <w:p>
      <w:pPr>
        <w:pStyle w:val="Normal"/>
        <w:spacing w:before="0" w:after="50" w:line="250" w:lineRule="auto"/>
        <w:rPr/>
      </w:pPr>
      <w:r>
        <w:rPr>
          <w:rFonts w:ascii="Calibri" w:hAnsi="Calibri"/>
          <w:color w:val="000000"/>
          <w:sz w:val="20"/>
        </w:rPr>
        <w:t>Candidate configurations should be assessed for vessel compatibility, repeatable placement, access to components, cable routing and contamination-sensitive surfaces. The design should avoid unnecessary crevices and provide materials and finishes appropriate to the cleaning process being qualified.</w:t>
      </w:r>
    </w:p>
    <w:p>
      <w:pPr>
        <w:keepNext/>
        <w:spacing w:before="0" w:after="50" w:line="250" w:lineRule="auto"/>
      </w:pPr>
      <w:r>
        <w:rPr>
          <w:rFonts w:ascii="Calibri" w:hAnsi="Calibri"/>
          <w:color w:val="000000"/>
          <w:sz w:val="20"/>
        </w:rPr>
        <w:t xml:space="preserve">Mechanical function: Plate positioning</w:t>
      </w:r>
    </w:p>
    <w:p>
      <w:pPr>
        <w:spacing w:before="0" w:after="50" w:line="250" w:lineRule="auto"/>
      </w:pPr>
      <w:r>
        <w:rPr>
          <w:rFonts w:ascii="Calibri" w:hAnsi="Calibri"/>
          <w:color w:val="000000"/>
          <w:sz w:val="20"/>
        </w:rPr>
        <w:t xml:space="preserve">Verification question: Does placement variation remain within the calibrated domain?</w:t>
      </w:r>
    </w:p>
    <w:p>
      <w:pPr>
        <w:keepNext/>
        <w:spacing w:before="0" w:after="50" w:line="250" w:lineRule="auto"/>
      </w:pPr>
      <w:r>
        <w:rPr>
          <w:rFonts w:ascii="Calibri" w:hAnsi="Calibri"/>
          <w:color w:val="000000"/>
          <w:sz w:val="20"/>
        </w:rPr>
        <w:t xml:space="preserve">Mechanical function: Optical support</w:t>
      </w:r>
    </w:p>
    <w:p>
      <w:pPr>
        <w:spacing w:before="0" w:after="50" w:line="250" w:lineRule="auto"/>
      </w:pPr>
      <w:r>
        <w:rPr>
          <w:rFonts w:ascii="Calibri" w:hAnsi="Calibri"/>
          <w:color w:val="000000"/>
          <w:sz w:val="20"/>
        </w:rPr>
        <w:t xml:space="preserve">Verification question: Are alignment and focus stable during ordinary handling?</w:t>
      </w:r>
    </w:p>
    <w:p>
      <w:pPr>
        <w:keepNext/>
        <w:spacing w:before="0" w:after="50" w:line="250" w:lineRule="auto"/>
      </w:pPr>
      <w:r>
        <w:rPr>
          <w:rFonts w:ascii="Calibri" w:hAnsi="Calibri"/>
          <w:color w:val="000000"/>
          <w:sz w:val="20"/>
        </w:rPr>
        <w:t xml:space="preserve">Mechanical function: Light exclusion</w:t>
      </w:r>
    </w:p>
    <w:p>
      <w:pPr>
        <w:spacing w:before="0" w:after="50" w:line="250" w:lineRule="auto"/>
      </w:pPr>
      <w:r>
        <w:rPr>
          <w:rFonts w:ascii="Calibri" w:hAnsi="Calibri"/>
          <w:color w:val="000000"/>
          <w:sz w:val="20"/>
        </w:rPr>
        <w:t xml:space="preserve">Verification question: Is ambient-light influence controlled over the intended environment?</w:t>
      </w:r>
    </w:p>
    <w:p>
      <w:pPr>
        <w:keepNext/>
        <w:spacing w:before="0" w:after="50" w:line="250" w:lineRule="auto"/>
      </w:pPr>
      <w:r>
        <w:rPr>
          <w:rFonts w:ascii="Calibri" w:hAnsi="Calibri"/>
          <w:color w:val="000000"/>
          <w:sz w:val="20"/>
        </w:rPr>
        <w:t xml:space="preserve">Mechanical function: Service access</w:t>
      </w:r>
    </w:p>
    <w:p>
      <w:pPr>
        <w:spacing w:before="0" w:after="50" w:line="250" w:lineRule="auto"/>
      </w:pPr>
      <w:r>
        <w:rPr>
          <w:rFonts w:ascii="Calibri" w:hAnsi="Calibri"/>
          <w:color w:val="000000"/>
          <w:sz w:val="20"/>
        </w:rPr>
        <w:t xml:space="preserve">Verification question: Can components be replaced without uncontrolled misalignment?</w:t>
      </w:r>
    </w:p>
    <w:p>
      <w:pPr>
        <w:keepNext/>
        <w:spacing w:before="0" w:after="50" w:line="250" w:lineRule="auto"/>
      </w:pPr>
      <w:r>
        <w:rPr>
          <w:rFonts w:ascii="Calibri" w:hAnsi="Calibri"/>
          <w:color w:val="000000"/>
          <w:sz w:val="20"/>
        </w:rPr>
        <w:t xml:space="preserve">Mechanical function: Cleaning</w:t>
      </w:r>
    </w:p>
    <w:p>
      <w:pPr>
        <w:spacing w:before="0" w:after="50" w:line="250" w:lineRule="auto"/>
      </w:pPr>
      <w:r>
        <w:rPr>
          <w:rFonts w:ascii="Calibri" w:hAnsi="Calibri"/>
          <w:color w:val="000000"/>
          <w:sz w:val="20"/>
        </w:rPr>
        <w:t xml:space="preserve">Verification question: Can the intended procedure be performed without damage or hidden contamination paths?</w:t>
      </w:r>
    </w:p>
    <w:p>
      <w:pPr>
        <w:pStyle w:val="Heading3"/>
        <w:keepNext/>
        <w:keepLines/>
        <w:spacing w:before="240" w:after="120" w:line="269" w:lineRule="auto"/>
      </w:pPr>
      <w:r>
        <w:rPr>
          <w:color w:val="000000"/>
        </w:rPr>
        <w:t>Design for recovery from ordinary mistakes</w:t>
      </w:r>
    </w:p>
    <w:p>
      <w:pPr>
        <w:pStyle w:val="Normal"/>
        <w:spacing w:before="0" w:after="50" w:line="250" w:lineRule="auto"/>
        <w:rPr/>
      </w:pPr>
      <w:r>
        <w:rPr>
          <w:rFonts w:ascii="Calibri" w:hAnsi="Calibri"/>
          <w:color w:val="000000"/>
          <w:sz w:val="20"/>
        </w:rPr>
        <w:t>Misloading should be detectable before measurement. Access panels and moving parts need appropriate safeguards. The instrument should make it clear when a service action requires recalibration or readiness checks before returning to use.</w:t>
      </w:r>
    </w:p>
    <w:p>
      <w:pPr>
        <w:pStyle w:val="Normal"/>
        <w:spacing w:before="0" w:after="50" w:line="250" w:lineRule="auto"/>
        <w:rPr/>
      </w:pPr>
      <w:r>
        <w:rPr>
          <w:rFonts w:ascii="Calibri" w:hAnsi="Calibri"/>
          <w:color w:val="000000"/>
          <w:sz w:val="20"/>
        </w:rPr>
        <w:t>Early prototypes may use adjustable fixtures to explore geometry. A later production design should reduce unnecessary adjustment while retaining the controls needed for calibration and service. The transition should be supported by tolerance analysis and measured assembly variation. No particular multi-zone layout or final industrial form is fixed by this compendium; alternative configurations remain open to evidence-led selection.</w:t>
      </w:r>
    </w:p>
    <w:p>
      <w:pPr>
        <w:pStyle w:val="Heading3"/>
        <w:keepNext/>
        <w:keepLines/>
        <w:spacing w:before="240" w:after="120" w:line="269" w:lineRule="auto"/>
      </w:pPr>
      <w:r>
        <w:rPr>
          <w:color w:val="000000"/>
        </w:rPr>
        <w:t>Electronics and power development</w:t>
      </w:r>
    </w:p>
    <w:p>
      <w:pPr>
        <w:pStyle w:val="Normal"/>
        <w:keepNext/>
        <w:spacing w:before="0" w:after="50" w:line="250" w:lineRule="auto"/>
        <w:rPr/>
      </w:pPr>
      <w:r>
        <w:rPr>
          <w:rFonts w:ascii="Calibri" w:hAnsi="Calibri"/>
          <w:b/>
          <w:color w:val="000000"/>
          <w:sz w:val="20"/>
        </w:rPr>
        <w:t>Electronics should provide stable, observable power and signal paths</w:t>
      </w:r>
    </w:p>
    <w:p>
      <w:pPr>
        <w:pStyle w:val="Normal"/>
        <w:spacing w:before="0" w:after="50" w:line="250" w:lineRule="auto"/>
        <w:rPr/>
      </w:pPr>
      <w:r>
        <w:rPr>
          <w:rFonts w:ascii="Calibri" w:hAnsi="Calibri"/>
          <w:color w:val="000000"/>
          <w:sz w:val="20"/>
        </w:rPr>
        <w:t>Electronics development should define power domains, interfaces, protection, grounding and timing requirements before selecting components. Compute capability is only one requirement. Stable acquisition, manageable heat, serviceability and predictable failure behavior are equally relevant to a measurement instrument.</w:t>
      </w:r>
    </w:p>
    <w:p>
      <w:pPr>
        <w:pStyle w:val="Heading3"/>
        <w:keepNext/>
        <w:keepLines/>
        <w:spacing w:before="240" w:after="120" w:line="269" w:lineRule="auto"/>
      </w:pPr>
      <w:r>
        <w:rPr>
          <w:color w:val="000000"/>
        </w:rPr>
        <w:t>Proposed electrical design record</w:t>
      </w:r>
    </w:p>
    <w:p>
      <w:pPr>
        <w:pStyle w:val="Normal"/>
        <w:spacing w:before="0" w:after="50" w:line="250" w:lineRule="auto"/>
        <w:rPr/>
      </w:pPr>
      <w:r>
        <w:rPr>
          <w:rFonts w:ascii="Calibri" w:hAnsi="Calibri"/>
          <w:color w:val="000000"/>
          <w:sz w:val="20"/>
        </w:rPr>
        <w:t>The design should document expected and peak loads, supply tolerances, connection ratings and behavior during startup, shutdown and interruption. Sensor signals should retain appropriate conditioning and calibration. Loads such as illumination or motors should not be driven directly from interfaces that are not rated for them.</w:t>
      </w:r>
    </w:p>
    <w:p>
      <w:pPr>
        <w:spacing w:before="0" w:after="50" w:line="250" w:lineRule="auto"/>
      </w:pPr>
      <w:r>
        <w:rPr>
          <w:rFonts w:ascii="Calibri" w:hAnsi="Calibri"/>
          <w:color w:val="000000"/>
          <w:sz w:val="20"/>
        </w:rPr>
        <w:t xml:space="preserve">Design area: Power budget</w:t>
      </w:r>
    </w:p>
    <w:p>
      <w:pPr>
        <w:spacing w:before="0" w:after="50" w:line="250" w:lineRule="auto"/>
      </w:pPr>
      <w:r>
        <w:rPr>
          <w:rFonts w:ascii="Calibri" w:hAnsi="Calibri"/>
          <w:color w:val="000000"/>
          <w:sz w:val="20"/>
        </w:rPr>
        <w:t xml:space="preserve">Required engineering evidence: Measured demand under representative and worst relevant workloads.</w:t>
      </w:r>
    </w:p>
    <w:p>
      <w:pPr>
        <w:spacing w:before="0" w:after="50" w:line="250" w:lineRule="auto"/>
      </w:pPr>
      <w:r>
        <w:rPr>
          <w:rFonts w:ascii="Calibri" w:hAnsi="Calibri"/>
          <w:color w:val="000000"/>
          <w:sz w:val="20"/>
        </w:rPr>
        <w:t xml:space="preserve">Design area: Protection</w:t>
      </w:r>
    </w:p>
    <w:p>
      <w:pPr>
        <w:spacing w:before="0" w:after="50" w:line="250" w:lineRule="auto"/>
      </w:pPr>
      <w:r>
        <w:rPr>
          <w:rFonts w:ascii="Calibri" w:hAnsi="Calibri"/>
          <w:color w:val="000000"/>
          <w:sz w:val="20"/>
        </w:rPr>
        <w:t xml:space="preserve">Required engineering evidence: Appropriate response to overload, incorrect connection and supply disturbance.</w:t>
      </w:r>
    </w:p>
    <w:p>
      <w:pPr>
        <w:spacing w:before="0" w:after="50" w:line="250" w:lineRule="auto"/>
      </w:pPr>
      <w:r>
        <w:rPr>
          <w:rFonts w:ascii="Calibri" w:hAnsi="Calibri"/>
          <w:color w:val="000000"/>
          <w:sz w:val="20"/>
        </w:rPr>
        <w:t xml:space="preserve">Design area: Signal integrity</w:t>
      </w:r>
    </w:p>
    <w:p>
      <w:pPr>
        <w:spacing w:before="0" w:after="50" w:line="250" w:lineRule="auto"/>
      </w:pPr>
      <w:r>
        <w:rPr>
          <w:rFonts w:ascii="Calibri" w:hAnsi="Calibri"/>
          <w:color w:val="000000"/>
          <w:sz w:val="20"/>
        </w:rPr>
        <w:t xml:space="preserve">Required engineering evidence: Reliable communication and measurement under expected interference.</w:t>
      </w:r>
    </w:p>
    <w:p>
      <w:pPr>
        <w:spacing w:before="0" w:after="50" w:line="250" w:lineRule="auto"/>
      </w:pPr>
      <w:r>
        <w:rPr>
          <w:rFonts w:ascii="Calibri" w:hAnsi="Calibri"/>
          <w:color w:val="000000"/>
          <w:sz w:val="20"/>
        </w:rPr>
        <w:t xml:space="preserve">Design area: Thermal behavior</w:t>
      </w:r>
    </w:p>
    <w:p>
      <w:pPr>
        <w:spacing w:before="0" w:after="50" w:line="250" w:lineRule="auto"/>
      </w:pPr>
      <w:r>
        <w:rPr>
          <w:rFonts w:ascii="Calibri" w:hAnsi="Calibri"/>
          <w:color w:val="000000"/>
          <w:sz w:val="20"/>
        </w:rPr>
        <w:t xml:space="preserve">Required engineering evidence: Stable operation within qualified component and system limits.</w:t>
      </w:r>
    </w:p>
    <w:p>
      <w:pPr>
        <w:spacing w:before="0" w:after="50" w:line="250" w:lineRule="auto"/>
      </w:pPr>
      <w:r>
        <w:rPr>
          <w:rFonts w:ascii="Calibri" w:hAnsi="Calibri"/>
          <w:color w:val="000000"/>
          <w:sz w:val="20"/>
        </w:rPr>
        <w:t xml:space="preserve">Design area: Serviceability</w:t>
      </w:r>
    </w:p>
    <w:p>
      <w:pPr>
        <w:spacing w:before="0" w:after="50" w:line="250" w:lineRule="auto"/>
      </w:pPr>
      <w:r>
        <w:rPr>
          <w:rFonts w:ascii="Calibri" w:hAnsi="Calibri"/>
          <w:color w:val="000000"/>
          <w:sz w:val="20"/>
        </w:rPr>
        <w:t xml:space="preserve">Required engineering evidence: Identifiable connections and controlled replacement procedures.</w:t>
      </w:r>
    </w:p>
    <w:p>
      <w:pPr>
        <w:pStyle w:val="Heading3"/>
        <w:keepNext/>
        <w:keepLines/>
        <w:spacing w:before="240" w:after="120" w:line="269" w:lineRule="auto"/>
      </w:pPr>
      <w:r>
        <w:rPr>
          <w:color w:val="000000"/>
        </w:rPr>
        <w:t>Evaluate substitutions as system changes</w:t>
      </w:r>
    </w:p>
    <w:p>
      <w:pPr>
        <w:pStyle w:val="Normal"/>
        <w:spacing w:before="0" w:after="50" w:line="250" w:lineRule="auto"/>
        <w:rPr/>
      </w:pPr>
      <w:r>
        <w:rPr>
          <w:rFonts w:ascii="Calibri" w:hAnsi="Calibri"/>
          <w:color w:val="000000"/>
          <w:sz w:val="20"/>
        </w:rPr>
        <w:t>A newer processor may offer more performance but introduce thermal, software or availability disadvantages. Selection should compare the actual workload, power envelope, support and validation burden. The concluding BOM records current candidates for one reference configuration; the main design remains generation-independent.</w:t>
      </w:r>
    </w:p>
    <w:p>
      <w:pPr>
        <w:pStyle w:val="Normal"/>
        <w:spacing w:before="0" w:after="50" w:line="250" w:lineRule="auto"/>
        <w:rPr/>
      </w:pPr>
      <w:r>
        <w:rPr>
          <w:rFonts w:ascii="Calibri" w:hAnsi="Calibri"/>
          <w:color w:val="000000"/>
          <w:sz w:val="20"/>
        </w:rPr>
        <w:t>Custom electronics can later reduce wiring complexity or improve efficiency when the required interfaces and performance are stable. Before that transition, modular procurement can support rapid learning. Both stages require configuration records and verification of the complete signal and power path, especially where an electrical fault could produce a plausible but incorrect observation.</w:t>
      </w:r>
    </w:p>
    <w:p>
      <w:pPr>
        <w:pStyle w:val="Heading3"/>
        <w:keepNext/>
        <w:keepLines/>
        <w:spacing w:before="240" w:after="120" w:line="269" w:lineRule="auto"/>
      </w:pPr>
      <w:r>
        <w:rPr>
          <w:color w:val="000000"/>
        </w:rPr>
        <w:t>Embedded software and control development</w:t>
      </w:r>
    </w:p>
    <w:p>
      <w:pPr>
        <w:pStyle w:val="Normal"/>
        <w:keepNext/>
        <w:spacing w:before="0" w:after="50" w:line="250" w:lineRule="auto"/>
        <w:rPr/>
      </w:pPr>
      <w:r>
        <w:rPr>
          <w:rFonts w:ascii="Calibri" w:hAnsi="Calibri"/>
          <w:b/>
          <w:color w:val="000000"/>
          <w:sz w:val="20"/>
        </w:rPr>
        <w:t>Embedded control should make instrument state explicit</w:t>
      </w:r>
    </w:p>
    <w:p>
      <w:pPr>
        <w:pStyle w:val="Normal"/>
        <w:spacing w:before="0" w:after="50" w:line="250" w:lineRule="auto"/>
        <w:rPr/>
      </w:pPr>
      <w:r>
        <w:rPr>
          <w:rFonts w:ascii="Calibri" w:hAnsi="Calibri"/>
          <w:color w:val="000000"/>
          <w:sz w:val="20"/>
        </w:rPr>
        <w:t>The embedded layer coordinates acquisition, readiness checks, local storage and hardware status. Its design should distinguish commanded actions from confirmed outcomes. An image request, for example, is not a completed observation until the acquired data and associated record have been verified and stored.</w:t>
      </w:r>
    </w:p>
    <w:p>
      <w:pPr>
        <w:pStyle w:val="Heading3"/>
        <w:keepNext/>
        <w:keepLines/>
        <w:spacing w:before="240" w:after="120" w:line="269" w:lineRule="auto"/>
      </w:pPr>
      <w:r>
        <w:rPr>
          <w:color w:val="000000"/>
        </w:rPr>
        <w:t>Proposed state model</w:t>
      </w:r>
    </w:p>
    <w:p>
      <w:pPr>
        <w:pStyle w:val="Normal"/>
        <w:spacing w:before="0" w:after="50" w:line="250" w:lineRule="auto"/>
        <w:rPr/>
      </w:pPr>
      <w:r>
        <w:rPr>
          <w:rFonts w:ascii="Calibri" w:hAnsi="Calibri"/>
          <w:color w:val="000000"/>
          <w:sz w:val="20"/>
        </w:rPr>
        <w:t>Useful states include initialization, ready, acquiring, processing, awaiting review, degraded and faulted, with transitions defined by the relevant workflow. A physical-control subsystem may require additional states. The exact implementation can vary, but unsupported transitions should be rejected consistently.</w:t>
      </w:r>
    </w:p>
    <w:p>
      <w:pPr>
        <w:spacing w:before="0" w:after="50" w:line="250" w:lineRule="auto"/>
      </w:pPr>
      <w:r>
        <w:rPr>
          <w:rFonts w:ascii="Calibri" w:hAnsi="Calibri"/>
          <w:color w:val="000000"/>
          <w:sz w:val="20"/>
        </w:rPr>
        <w:t xml:space="preserve">Control responsibility: Startup</w:t>
      </w:r>
    </w:p>
    <w:p>
      <w:pPr>
        <w:spacing w:before="0" w:after="50" w:line="250" w:lineRule="auto"/>
      </w:pPr>
      <w:r>
        <w:rPr>
          <w:rFonts w:ascii="Calibri" w:hAnsi="Calibri"/>
          <w:color w:val="000000"/>
          <w:sz w:val="20"/>
        </w:rPr>
        <w:t xml:space="preserve">Proposed behavior: Verify configuration, essential components and storage readiness.</w:t>
      </w:r>
    </w:p>
    <w:p>
      <w:pPr>
        <w:spacing w:before="0" w:after="50" w:line="250" w:lineRule="auto"/>
      </w:pPr>
      <w:r>
        <w:rPr>
          <w:rFonts w:ascii="Calibri" w:hAnsi="Calibri"/>
          <w:color w:val="000000"/>
          <w:sz w:val="20"/>
        </w:rPr>
        <w:t xml:space="preserve">Control responsibility: Acquisition</w:t>
      </w:r>
    </w:p>
    <w:p>
      <w:pPr>
        <w:spacing w:before="0" w:after="50" w:line="250" w:lineRule="auto"/>
      </w:pPr>
      <w:r>
        <w:rPr>
          <w:rFonts w:ascii="Calibri" w:hAnsi="Calibri"/>
          <w:color w:val="000000"/>
          <w:sz w:val="20"/>
        </w:rPr>
        <w:t xml:space="preserve">Proposed behavior: Associate data with the correct plate and timing context.</w:t>
      </w:r>
    </w:p>
    <w:p>
      <w:pPr>
        <w:spacing w:before="0" w:after="50" w:line="250" w:lineRule="auto"/>
      </w:pPr>
      <w:r>
        <w:rPr>
          <w:rFonts w:ascii="Calibri" w:hAnsi="Calibri"/>
          <w:color w:val="000000"/>
          <w:sz w:val="20"/>
        </w:rPr>
        <w:t xml:space="preserve">Control responsibility: Local persistence</w:t>
      </w:r>
    </w:p>
    <w:p>
      <w:pPr>
        <w:spacing w:before="0" w:after="50" w:line="250" w:lineRule="auto"/>
      </w:pPr>
      <w:r>
        <w:rPr>
          <w:rFonts w:ascii="Calibri" w:hAnsi="Calibri"/>
          <w:color w:val="000000"/>
          <w:sz w:val="20"/>
        </w:rPr>
        <w:t xml:space="preserve">Proposed behavior: Commit complete records and identify interrupted writes.</w:t>
      </w:r>
    </w:p>
    <w:p>
      <w:pPr>
        <w:spacing w:before="0" w:after="50" w:line="250" w:lineRule="auto"/>
      </w:pPr>
      <w:r>
        <w:rPr>
          <w:rFonts w:ascii="Calibri" w:hAnsi="Calibri"/>
          <w:color w:val="000000"/>
          <w:sz w:val="20"/>
        </w:rPr>
        <w:t xml:space="preserve">Control responsibility: Fault handling</w:t>
      </w:r>
    </w:p>
    <w:p>
      <w:pPr>
        <w:spacing w:before="0" w:after="50" w:line="250" w:lineRule="auto"/>
      </w:pPr>
      <w:r>
        <w:rPr>
          <w:rFonts w:ascii="Calibri" w:hAnsi="Calibri"/>
          <w:color w:val="000000"/>
          <w:sz w:val="20"/>
        </w:rPr>
        <w:t xml:space="preserve">Proposed behavior: Preserve diagnostics and stop affected functions appropriately.</w:t>
      </w:r>
    </w:p>
    <w:p>
      <w:pPr>
        <w:spacing w:before="0" w:after="50" w:line="250" w:lineRule="auto"/>
      </w:pPr>
      <w:r>
        <w:rPr>
          <w:rFonts w:ascii="Calibri" w:hAnsi="Calibri"/>
          <w:color w:val="000000"/>
          <w:sz w:val="20"/>
        </w:rPr>
        <w:t xml:space="preserve">Control responsibility: Recovery</w:t>
      </w:r>
    </w:p>
    <w:p>
      <w:pPr>
        <w:spacing w:before="0" w:after="50" w:line="250" w:lineRule="auto"/>
      </w:pPr>
      <w:r>
        <w:rPr>
          <w:rFonts w:ascii="Calibri" w:hAnsi="Calibri"/>
          <w:color w:val="000000"/>
          <w:sz w:val="20"/>
        </w:rPr>
        <w:t xml:space="preserve">Proposed behavior: Reconcile pending jobs without inventing completed actions.</w:t>
      </w:r>
    </w:p>
    <w:p>
      <w:pPr>
        <w:pStyle w:val="Heading3"/>
        <w:keepNext/>
        <w:keepLines/>
        <w:spacing w:before="240" w:after="120" w:line="269" w:lineRule="auto"/>
      </w:pPr>
      <w:r>
        <w:rPr>
          <w:color w:val="000000"/>
        </w:rPr>
        <w:t>Keep timing and identity close to acquisition</w:t>
      </w:r>
    </w:p>
    <w:p>
      <w:pPr>
        <w:pStyle w:val="Normal"/>
        <w:spacing w:before="0" w:after="50" w:line="250" w:lineRule="auto"/>
        <w:rPr/>
      </w:pPr>
      <w:r>
        <w:rPr>
          <w:rFonts w:ascii="Calibri" w:hAnsi="Calibri"/>
          <w:color w:val="000000"/>
          <w:sz w:val="20"/>
        </w:rPr>
        <w:t>The capture record should be created from the actual instrument event rather than reconstructed from a later filename or upload time. Clock status, sequence identifiers and configuration should remain available during offline operation.</w:t>
      </w:r>
    </w:p>
    <w:p>
      <w:pPr>
        <w:pStyle w:val="Normal"/>
        <w:spacing w:before="0" w:after="50" w:line="250" w:lineRule="auto"/>
        <w:rPr/>
      </w:pPr>
      <w:r>
        <w:rPr>
          <w:rFonts w:ascii="Calibri" w:hAnsi="Calibri"/>
          <w:color w:val="000000"/>
          <w:sz w:val="20"/>
        </w:rPr>
        <w:t>Verification should challenge rapid repeated commands, power loss, full storage, unavailable sensors and invalid configuration. A responsive interface is not enough if background acquisition silently fails. The embedded layer should provide reliable evidence of what the instrument did, allowing higher-level AI and workflow software to reason from trustworthy observations rather than optimistic command status.</w:t>
      </w:r>
    </w:p>
    <w:p>
      <w:pPr>
        <w:pStyle w:val="Heading3"/>
        <w:keepNext/>
        <w:keepLines/>
        <w:spacing w:before="240" w:after="120" w:line="269" w:lineRule="auto"/>
      </w:pPr>
      <w:r>
        <w:rPr>
          <w:color w:val="000000"/>
        </w:rPr>
        <w:t>Measurement software development</w:t>
      </w:r>
    </w:p>
    <w:p>
      <w:pPr>
        <w:pStyle w:val="Normal"/>
        <w:keepNext/>
        <w:spacing w:before="0" w:after="50" w:line="250" w:lineRule="auto"/>
        <w:rPr/>
      </w:pPr>
      <w:r>
        <w:rPr>
          <w:rFonts w:ascii="Calibri" w:hAnsi="Calibri"/>
          <w:b/>
          <w:color w:val="000000"/>
          <w:sz w:val="20"/>
        </w:rPr>
        <w:t>Measurement software should preserve the numerical chain</w:t>
      </w:r>
    </w:p>
    <w:p>
      <w:pPr>
        <w:pStyle w:val="Normal"/>
        <w:spacing w:before="0" w:after="50" w:line="250" w:lineRule="auto"/>
        <w:rPr/>
      </w:pPr>
      <w:r>
        <w:rPr>
          <w:rFonts w:ascii="Calibri" w:hAnsi="Calibri"/>
          <w:color w:val="000000"/>
          <w:sz w:val="20"/>
        </w:rPr>
        <w:t>The measurement pipeline should connect the original image to calibrated geometry, quality assessment and a reviewable output. Each transformation needs a defined purpose and version. Preprocessing that improves visual appearance can change edge location or suppress small features, so its effect on the measurand must be evaluated.</w:t>
      </w:r>
    </w:p>
    <w:p>
      <w:pPr>
        <w:pStyle w:val="Heading3"/>
        <w:keepNext/>
        <w:keepLines/>
        <w:spacing w:before="240" w:after="120" w:line="269" w:lineRule="auto"/>
      </w:pPr>
      <w:r>
        <w:rPr>
          <w:color w:val="000000"/>
        </w:rPr>
        <w:t>Proposed pipeline development</w:t>
      </w:r>
    </w:p>
    <w:p>
      <w:pPr>
        <w:pStyle w:val="Normal"/>
        <w:spacing w:before="0" w:after="50" w:line="250" w:lineRule="auto"/>
        <w:rPr/>
      </w:pPr>
      <w:r>
        <w:rPr>
          <w:rFonts w:ascii="Calibri" w:hAnsi="Calibri"/>
          <w:color w:val="000000"/>
          <w:sz w:val="20"/>
        </w:rPr>
        <w:t>Begin with explicit geometric baselines and independently assessed boundaries. Compare candidate segmentation approaches on representative data, including ambiguous cases. Preserve calibration and image-coordinate transforms so that a reviewer can understand how a numerical diameter was obtained.</w:t>
      </w:r>
    </w:p>
    <w:p>
      <w:pPr>
        <w:spacing w:before="0" w:after="50" w:line="250" w:lineRule="auto"/>
      </w:pPr>
      <w:r>
        <w:rPr>
          <w:rFonts w:ascii="Calibri" w:hAnsi="Calibri"/>
          <w:color w:val="000000"/>
          <w:sz w:val="20"/>
        </w:rPr>
        <w:t xml:space="preserve">Pipeline stage: Input qualification</w:t>
      </w:r>
    </w:p>
    <w:p>
      <w:pPr>
        <w:spacing w:before="0" w:after="50" w:line="250" w:lineRule="auto"/>
      </w:pPr>
      <w:r>
        <w:rPr>
          <w:rFonts w:ascii="Calibri" w:hAnsi="Calibri"/>
          <w:color w:val="000000"/>
          <w:sz w:val="20"/>
        </w:rPr>
        <w:t xml:space="preserve">Development evidence: Correct format, identity, completeness and image-quality state.</w:t>
      </w:r>
    </w:p>
    <w:p>
      <w:pPr>
        <w:spacing w:before="0" w:after="50" w:line="250" w:lineRule="auto"/>
      </w:pPr>
      <w:r>
        <w:rPr>
          <w:rFonts w:ascii="Calibri" w:hAnsi="Calibri"/>
          <w:color w:val="000000"/>
          <w:sz w:val="20"/>
        </w:rPr>
        <w:t xml:space="preserve">Pipeline stage: Calibration</w:t>
      </w:r>
    </w:p>
    <w:p>
      <w:pPr>
        <w:spacing w:before="0" w:after="50" w:line="250" w:lineRule="auto"/>
      </w:pPr>
      <w:r>
        <w:rPr>
          <w:rFonts w:ascii="Calibri" w:hAnsi="Calibri"/>
          <w:color w:val="000000"/>
          <w:sz w:val="20"/>
        </w:rPr>
        <w:t xml:space="preserve">Development evidence: Valid transform and uncertainty for the current configuration.</w:t>
      </w:r>
    </w:p>
    <w:p>
      <w:pPr>
        <w:spacing w:before="0" w:after="50" w:line="250" w:lineRule="auto"/>
      </w:pPr>
      <w:r>
        <w:rPr>
          <w:rFonts w:ascii="Calibri" w:hAnsi="Calibri"/>
          <w:color w:val="000000"/>
          <w:sz w:val="20"/>
        </w:rPr>
        <w:t xml:space="preserve">Pipeline stage: Feature analysis</w:t>
      </w:r>
    </w:p>
    <w:p>
      <w:pPr>
        <w:spacing w:before="0" w:after="50" w:line="250" w:lineRule="auto"/>
      </w:pPr>
      <w:r>
        <w:rPr>
          <w:rFonts w:ascii="Calibri" w:hAnsi="Calibri"/>
          <w:color w:val="000000"/>
          <w:sz w:val="20"/>
        </w:rPr>
        <w:t xml:space="preserve">Development evidence: Detection and segmentation performance in the intended domain.</w:t>
      </w:r>
    </w:p>
    <w:p>
      <w:pPr>
        <w:spacing w:before="0" w:after="50" w:line="250" w:lineRule="auto"/>
      </w:pPr>
      <w:r>
        <w:rPr>
          <w:rFonts w:ascii="Calibri" w:hAnsi="Calibri"/>
          <w:color w:val="000000"/>
          <w:sz w:val="20"/>
        </w:rPr>
        <w:t xml:space="preserve">Pipeline stage: Measurement</w:t>
      </w:r>
    </w:p>
    <w:p>
      <w:pPr>
        <w:spacing w:before="0" w:after="50" w:line="250" w:lineRule="auto"/>
      </w:pPr>
      <w:r>
        <w:rPr>
          <w:rFonts w:ascii="Calibri" w:hAnsi="Calibri"/>
          <w:color w:val="000000"/>
          <w:sz w:val="20"/>
        </w:rPr>
        <w:t xml:space="preserve">Development evidence: Correct units, geometry and reporting conventions.</w:t>
      </w:r>
    </w:p>
    <w:p>
      <w:pPr>
        <w:spacing w:before="0" w:after="50" w:line="250" w:lineRule="auto"/>
      </w:pPr>
      <w:r>
        <w:rPr>
          <w:rFonts w:ascii="Calibri" w:hAnsi="Calibri"/>
          <w:color w:val="000000"/>
          <w:sz w:val="20"/>
        </w:rPr>
        <w:t xml:space="preserve">Pipeline stage: Review overlay</w:t>
      </w:r>
    </w:p>
    <w:p>
      <w:pPr>
        <w:spacing w:before="0" w:after="50" w:line="250" w:lineRule="auto"/>
      </w:pPr>
      <w:r>
        <w:rPr>
          <w:rFonts w:ascii="Calibri" w:hAnsi="Calibri"/>
          <w:color w:val="000000"/>
          <w:sz w:val="20"/>
        </w:rPr>
        <w:t xml:space="preserve">Development evidence: Faithful display of the measured feature on the original image.</w:t>
      </w:r>
    </w:p>
    <w:p>
      <w:pPr>
        <w:pStyle w:val="Heading3"/>
        <w:keepNext/>
        <w:keepLines/>
        <w:spacing w:before="240" w:after="120" w:line="269" w:lineRule="auto"/>
      </w:pPr>
      <w:r>
        <w:rPr>
          <w:color w:val="000000"/>
        </w:rPr>
        <w:t>Compare custom models with conventional methods</w:t>
      </w:r>
    </w:p>
    <w:p>
      <w:pPr>
        <w:pStyle w:val="Normal"/>
        <w:spacing w:before="0" w:after="50" w:line="250" w:lineRule="auto"/>
        <w:rPr/>
      </w:pPr>
      <w:r>
        <w:rPr>
          <w:rFonts w:ascii="Calibri" w:hAnsi="Calibri"/>
          <w:color w:val="000000"/>
          <w:sz w:val="20"/>
        </w:rPr>
        <w:t>Custom models should be selected because they improve the defined task, not because a particular architecture is fashionable. A simpler algorithm may offer adequate performance, easier verification or lower compute demand. The comparison should include error, coverage, uncertainty and operational cost.</w:t>
      </w:r>
    </w:p>
    <w:p>
      <w:pPr>
        <w:pStyle w:val="Normal"/>
        <w:spacing w:before="0" w:after="50" w:line="250" w:lineRule="auto"/>
        <w:rPr/>
      </w:pPr>
      <w:r>
        <w:rPr>
          <w:rFonts w:ascii="Calibri" w:hAnsi="Calibri"/>
          <w:color w:val="000000"/>
          <w:sz w:val="20"/>
        </w:rPr>
        <w:t>The pipeline should return explicit unavailable states when required evidence is missing. It should not manufacture a diameter from a low-confidence boundary or treat a failed calculation as zero. Later AI improvements can be introduced through controlled releases while historical records retain the exact measurement pipeline that produced them.</w:t>
      </w:r>
    </w:p>
    <w:p>
      <w:pPr>
        <w:pStyle w:val="Heading3"/>
        <w:keepNext/>
        <w:keepLines/>
        <w:spacing w:before="240" w:after="120" w:line="269" w:lineRule="auto"/>
      </w:pPr>
      <w:r>
        <w:rPr>
          <w:color w:val="000000"/>
        </w:rPr>
        <w:t>PIMS and interface development</w:t>
      </w:r>
    </w:p>
    <w:p>
      <w:pPr>
        <w:pStyle w:val="Normal"/>
        <w:keepNext/>
        <w:spacing w:before="0" w:after="50" w:line="250" w:lineRule="auto"/>
        <w:rPr/>
      </w:pPr>
      <w:r>
        <w:rPr>
          <w:rFonts w:ascii="Calibri" w:hAnsi="Calibri"/>
          <w:b/>
          <w:color w:val="000000"/>
          <w:sz w:val="20"/>
        </w:rPr>
        <w:t>PIMS development should begin with identity and record integrity</w:t>
      </w:r>
    </w:p>
    <w:p>
      <w:pPr>
        <w:pStyle w:val="Normal"/>
        <w:spacing w:before="0" w:after="50" w:line="250" w:lineRule="auto"/>
        <w:rPr/>
      </w:pPr>
      <w:r>
        <w:rPr>
          <w:rFonts w:ascii="Calibri" w:hAnsi="Calibri"/>
          <w:color w:val="000000"/>
          <w:sz w:val="20"/>
        </w:rPr>
        <w:t>PIMS is the proposed Plate Information Management System linking physical objects, observations, analyses and reviewer decisions. Its initial implementation should make those relationships reliable before adding advanced analytics or conversational features. A complete record path supports both product use and later research.</w:t>
      </w:r>
    </w:p>
    <w:p>
      <w:pPr>
        <w:pStyle w:val="Heading3"/>
        <w:keepNext/>
        <w:keepLines/>
        <w:spacing w:before="240" w:after="120" w:line="269" w:lineRule="auto"/>
      </w:pPr>
      <w:r>
        <w:rPr>
          <w:color w:val="000000"/>
        </w:rPr>
        <w:t>Proposed implementation sequence</w:t>
      </w:r>
    </w:p>
    <w:p>
      <w:pPr>
        <w:pStyle w:val="Normal"/>
        <w:spacing w:before="0" w:after="50" w:line="250" w:lineRule="auto"/>
        <w:rPr/>
      </w:pPr>
      <w:r>
        <w:rPr>
          <w:rFonts w:ascii="Calibri" w:hAnsi="Calibri"/>
          <w:color w:val="000000"/>
          <w:sz w:val="20"/>
        </w:rPr>
        <w:t>Define stable identifiers and the core event schema. Implement capture ingestion, calibration references and measurement records. Add review, correction and export with explicit version relationships. Then test recovery, retention and access behavior across the complete workflow.</w:t>
      </w:r>
    </w:p>
    <w:p>
      <w:pPr>
        <w:spacing w:before="0" w:after="50" w:line="250" w:lineRule="auto"/>
      </w:pPr>
      <w:r>
        <w:rPr>
          <w:rFonts w:ascii="Calibri" w:hAnsi="Calibri"/>
          <w:color w:val="000000"/>
          <w:sz w:val="20"/>
        </w:rPr>
        <w:t xml:space="preserve">PIMS increment: Identity model</w:t>
      </w:r>
    </w:p>
    <w:p>
      <w:pPr>
        <w:spacing w:before="0" w:after="50" w:line="250" w:lineRule="auto"/>
      </w:pPr>
      <w:r>
        <w:rPr>
          <w:rFonts w:ascii="Calibri" w:hAnsi="Calibri"/>
          <w:color w:val="000000"/>
          <w:sz w:val="20"/>
        </w:rPr>
        <w:t xml:space="preserve">Acceptance evidence: Correct case, plate and observation relationships.</w:t>
      </w:r>
    </w:p>
    <w:p>
      <w:pPr>
        <w:spacing w:before="0" w:after="50" w:line="250" w:lineRule="auto"/>
      </w:pPr>
      <w:r>
        <w:rPr>
          <w:rFonts w:ascii="Calibri" w:hAnsi="Calibri"/>
          <w:color w:val="000000"/>
          <w:sz w:val="20"/>
        </w:rPr>
        <w:t xml:space="preserve">PIMS increment: Ingestion</w:t>
      </w:r>
    </w:p>
    <w:p>
      <w:pPr>
        <w:spacing w:before="0" w:after="50" w:line="250" w:lineRule="auto"/>
      </w:pPr>
      <w:r>
        <w:rPr>
          <w:rFonts w:ascii="Calibri" w:hAnsi="Calibri"/>
          <w:color w:val="000000"/>
          <w:sz w:val="20"/>
        </w:rPr>
        <w:t xml:space="preserve">Acceptance evidence: Complete, idempotent records with integrity checks.</w:t>
      </w:r>
    </w:p>
    <w:p>
      <w:pPr>
        <w:spacing w:before="0" w:after="50" w:line="250" w:lineRule="auto"/>
      </w:pPr>
      <w:r>
        <w:rPr>
          <w:rFonts w:ascii="Calibri" w:hAnsi="Calibri"/>
          <w:color w:val="000000"/>
          <w:sz w:val="20"/>
        </w:rPr>
        <w:t xml:space="preserve">PIMS increment: Analysis linkage</w:t>
      </w:r>
    </w:p>
    <w:p>
      <w:pPr>
        <w:spacing w:before="0" w:after="50" w:line="250" w:lineRule="auto"/>
      </w:pPr>
      <w:r>
        <w:rPr>
          <w:rFonts w:ascii="Calibri" w:hAnsi="Calibri"/>
          <w:color w:val="000000"/>
          <w:sz w:val="20"/>
        </w:rPr>
        <w:t xml:space="preserve">Acceptance evidence: Exact input, calibration and software versions retained.</w:t>
      </w:r>
    </w:p>
    <w:p>
      <w:pPr>
        <w:spacing w:before="0" w:after="50" w:line="250" w:lineRule="auto"/>
      </w:pPr>
      <w:r>
        <w:rPr>
          <w:rFonts w:ascii="Calibri" w:hAnsi="Calibri"/>
          <w:color w:val="000000"/>
          <w:sz w:val="20"/>
        </w:rPr>
        <w:t xml:space="preserve">PIMS increment: Review</w:t>
      </w:r>
    </w:p>
    <w:p>
      <w:pPr>
        <w:spacing w:before="0" w:after="50" w:line="250" w:lineRule="auto"/>
      </w:pPr>
      <w:r>
        <w:rPr>
          <w:rFonts w:ascii="Calibri" w:hAnsi="Calibri"/>
          <w:color w:val="000000"/>
          <w:sz w:val="20"/>
        </w:rPr>
        <w:t xml:space="preserve">Acceptance evidence: Authorized decisions and correction-driven re-review.</w:t>
      </w:r>
    </w:p>
    <w:p>
      <w:pPr>
        <w:spacing w:before="0" w:after="50" w:line="250" w:lineRule="auto"/>
      </w:pPr>
      <w:r>
        <w:rPr>
          <w:rFonts w:ascii="Calibri" w:hAnsi="Calibri"/>
          <w:color w:val="000000"/>
          <w:sz w:val="20"/>
        </w:rPr>
        <w:t xml:space="preserve">PIMS increment: Export</w:t>
      </w:r>
    </w:p>
    <w:p>
      <w:pPr>
        <w:spacing w:before="0" w:after="50" w:line="250" w:lineRule="auto"/>
      </w:pPr>
      <w:r>
        <w:rPr>
          <w:rFonts w:ascii="Calibri" w:hAnsi="Calibri"/>
          <w:color w:val="000000"/>
          <w:sz w:val="20"/>
        </w:rPr>
        <w:t xml:space="preserve">Acceptance evidence: Preserved meaning and receiving-system verification.</w:t>
      </w:r>
    </w:p>
    <w:p>
      <w:pPr>
        <w:spacing w:before="0" w:after="50" w:line="250" w:lineRule="auto"/>
      </w:pPr>
      <w:r>
        <w:rPr>
          <w:rFonts w:ascii="Calibri" w:hAnsi="Calibri"/>
          <w:color w:val="000000"/>
          <w:sz w:val="20"/>
        </w:rPr>
        <w:t xml:space="preserve">PIMS increment: Governance</w:t>
      </w:r>
    </w:p>
    <w:p>
      <w:pPr>
        <w:spacing w:before="0" w:after="50" w:line="250" w:lineRule="auto"/>
      </w:pPr>
      <w:r>
        <w:rPr>
          <w:rFonts w:ascii="Calibri" w:hAnsi="Calibri"/>
          <w:color w:val="000000"/>
          <w:sz w:val="20"/>
        </w:rPr>
        <w:t xml:space="preserve">Acceptance evidence: Enforced permissions, retention and audit behavior.</w:t>
      </w:r>
    </w:p>
    <w:p>
      <w:pPr>
        <w:pStyle w:val="Heading3"/>
        <w:keepNext/>
        <w:keepLines/>
        <w:spacing w:before="240" w:after="120" w:line="269" w:lineRule="auto"/>
      </w:pPr>
      <w:r>
        <w:rPr>
          <w:color w:val="000000"/>
        </w:rPr>
        <w:t>Interfaces should remain explicit</w:t>
      </w:r>
    </w:p>
    <w:p>
      <w:pPr>
        <w:pStyle w:val="Normal"/>
        <w:spacing w:before="0" w:after="50" w:line="250" w:lineRule="auto"/>
        <w:rPr/>
      </w:pPr>
      <w:r>
        <w:rPr>
          <w:rFonts w:ascii="Calibri" w:hAnsi="Calibri"/>
          <w:color w:val="000000"/>
          <w:sz w:val="20"/>
        </w:rPr>
        <w:t>The field dictionaries in the product data contracts chapter are proposed contracts. They identify the information that must survive between components, not a claim that every interface has been implemented. Implementation should validate required fields, units and allowed value states at the boundary.</w:t>
      </w:r>
    </w:p>
    <w:p>
      <w:pPr>
        <w:pStyle w:val="Normal"/>
        <w:spacing w:before="0" w:after="50" w:line="250" w:lineRule="auto"/>
        <w:rPr/>
      </w:pPr>
      <w:r>
        <w:rPr>
          <w:rFonts w:ascii="Calibri" w:hAnsi="Calibri"/>
          <w:color w:val="000000"/>
          <w:sz w:val="20"/>
        </w:rPr>
        <w:t>Data migrations need their own verification. A new schema should preserve historical meaning and identify transformations rather than silently replacing old records. PIMS should make it possible to retrieve an original observation and reproduce or explain its result even after models, rules and interfaces have changed. That capability is central to the platform's long-term scientific and service value.</w:t>
      </w:r>
    </w:p>
    <w:p>
      <w:pPr>
        <w:pStyle w:val="Heading3"/>
        <w:keepNext/>
        <w:keepLines/>
        <w:spacing w:before="240" w:after="120" w:line="269" w:lineRule="auto"/>
      </w:pPr>
      <w:r>
        <w:rPr>
          <w:color w:val="000000"/>
        </w:rPr>
        <w:t>Dataset operations and model development</w:t>
      </w:r>
    </w:p>
    <w:p>
      <w:pPr>
        <w:pStyle w:val="Normal"/>
        <w:keepNext/>
        <w:spacing w:before="0" w:after="50" w:line="250" w:lineRule="auto"/>
        <w:rPr/>
      </w:pPr>
      <w:r>
        <w:rPr>
          <w:rFonts w:ascii="Calibri" w:hAnsi="Calibri"/>
          <w:b/>
          <w:color w:val="000000"/>
          <w:sz w:val="20"/>
        </w:rPr>
        <w:t>Dataset operations are an ongoing product capability</w:t>
      </w:r>
    </w:p>
    <w:p>
      <w:pPr>
        <w:pStyle w:val="Normal"/>
        <w:spacing w:before="0" w:after="50" w:line="250" w:lineRule="auto"/>
        <w:rPr/>
      </w:pPr>
      <w:r>
        <w:rPr>
          <w:rFonts w:ascii="Calibri" w:hAnsi="Calibri"/>
          <w:color w:val="000000"/>
          <w:sz w:val="20"/>
        </w:rPr>
        <w:t>Useful model development depends on consistent collection, annotation, quality assessment and release of authorized data. These activities should be treated as a managed operation rather than an occasional export from routine records. The process must preserve biological identity and the distinction between observation, reviewer judgment and confirmed reference evidence.</w:t>
      </w:r>
    </w:p>
    <w:p>
      <w:pPr>
        <w:pStyle w:val="Heading3"/>
        <w:keepNext/>
        <w:keepLines/>
        <w:spacing w:before="240" w:after="120" w:line="269" w:lineRule="auto"/>
      </w:pPr>
      <w:r>
        <w:rPr>
          <w:color w:val="000000"/>
        </w:rPr>
        <w:t>Proposed dataset workflow</w:t>
      </w:r>
    </w:p>
    <w:p>
      <w:pPr>
        <w:pStyle w:val="Normal"/>
        <w:spacing w:before="0" w:after="50" w:line="250" w:lineRule="auto"/>
        <w:rPr/>
      </w:pPr>
      <w:r>
        <w:rPr>
          <w:rFonts w:ascii="Calibri" w:hAnsi="Calibri"/>
          <w:color w:val="000000"/>
          <w:sz w:val="20"/>
        </w:rPr>
        <w:t>Collection plans should identify the evidence gaps they address. Incoming data are checked for completeness, permission, duplication and technical quality. Annotation uses defined instructions and expert review appropriate to the task. A release records its composition, lineage, known limitations and permitted use.</w:t>
      </w:r>
    </w:p>
    <w:p>
      <w:pPr>
        <w:spacing w:before="0" w:after="50" w:line="250" w:lineRule="auto"/>
      </w:pPr>
      <w:r>
        <w:rPr>
          <w:rFonts w:ascii="Calibri" w:hAnsi="Calibri"/>
          <w:color w:val="000000"/>
          <w:sz w:val="20"/>
        </w:rPr>
        <w:t xml:space="preserve">Operational stage: Collection planning</w:t>
      </w:r>
    </w:p>
    <w:p>
      <w:pPr>
        <w:spacing w:before="0" w:after="50" w:line="250" w:lineRule="auto"/>
      </w:pPr>
      <w:r>
        <w:rPr>
          <w:rFonts w:ascii="Calibri" w:hAnsi="Calibri"/>
          <w:color w:val="000000"/>
          <w:sz w:val="20"/>
        </w:rPr>
        <w:t xml:space="preserve">Controlled output: Target domain, permissions and gap coverage.</w:t>
      </w:r>
    </w:p>
    <w:p>
      <w:pPr>
        <w:spacing w:before="0" w:after="50" w:line="250" w:lineRule="auto"/>
      </w:pPr>
      <w:r>
        <w:rPr>
          <w:rFonts w:ascii="Calibri" w:hAnsi="Calibri"/>
          <w:color w:val="000000"/>
          <w:sz w:val="20"/>
        </w:rPr>
        <w:t xml:space="preserve">Operational stage: Ingestion review</w:t>
      </w:r>
    </w:p>
    <w:p>
      <w:pPr>
        <w:spacing w:before="0" w:after="50" w:line="250" w:lineRule="auto"/>
      </w:pPr>
      <w:r>
        <w:rPr>
          <w:rFonts w:ascii="Calibri" w:hAnsi="Calibri"/>
          <w:color w:val="000000"/>
          <w:sz w:val="20"/>
        </w:rPr>
        <w:t xml:space="preserve">Controlled output: Identity, completeness and quality disposition.</w:t>
      </w:r>
    </w:p>
    <w:p>
      <w:pPr>
        <w:spacing w:before="0" w:after="50" w:line="250" w:lineRule="auto"/>
      </w:pPr>
      <w:r>
        <w:rPr>
          <w:rFonts w:ascii="Calibri" w:hAnsi="Calibri"/>
          <w:color w:val="000000"/>
          <w:sz w:val="20"/>
        </w:rPr>
        <w:t xml:space="preserve">Operational stage: Annotation</w:t>
      </w:r>
    </w:p>
    <w:p>
      <w:pPr>
        <w:spacing w:before="0" w:after="50" w:line="250" w:lineRule="auto"/>
      </w:pPr>
      <w:r>
        <w:rPr>
          <w:rFonts w:ascii="Calibri" w:hAnsi="Calibri"/>
          <w:color w:val="000000"/>
          <w:sz w:val="20"/>
        </w:rPr>
        <w:t xml:space="preserve">Controlled output: Versioned labels, assessor context and disagreement.</w:t>
      </w:r>
    </w:p>
    <w:p>
      <w:pPr>
        <w:spacing w:before="0" w:after="50" w:line="250" w:lineRule="auto"/>
      </w:pPr>
      <w:r>
        <w:rPr>
          <w:rFonts w:ascii="Calibri" w:hAnsi="Calibri"/>
          <w:color w:val="000000"/>
          <w:sz w:val="20"/>
        </w:rPr>
        <w:t xml:space="preserve">Operational stage: Release</w:t>
      </w:r>
    </w:p>
    <w:p>
      <w:pPr>
        <w:spacing w:before="0" w:after="50" w:line="250" w:lineRule="auto"/>
      </w:pPr>
      <w:r>
        <w:rPr>
          <w:rFonts w:ascii="Calibri" w:hAnsi="Calibri"/>
          <w:color w:val="000000"/>
          <w:sz w:val="20"/>
        </w:rPr>
        <w:t xml:space="preserve">Controlled output: Dataset manifest, partitions and use restrictions.</w:t>
      </w:r>
    </w:p>
    <w:p>
      <w:pPr>
        <w:spacing w:before="0" w:after="50" w:line="250" w:lineRule="auto"/>
      </w:pPr>
      <w:r>
        <w:rPr>
          <w:rFonts w:ascii="Calibri" w:hAnsi="Calibri"/>
          <w:color w:val="000000"/>
          <w:sz w:val="20"/>
        </w:rPr>
        <w:t xml:space="preserve">Operational stage: Model development</w:t>
      </w:r>
    </w:p>
    <w:p>
      <w:pPr>
        <w:spacing w:before="0" w:after="50" w:line="250" w:lineRule="auto"/>
      </w:pPr>
      <w:r>
        <w:rPr>
          <w:rFonts w:ascii="Calibri" w:hAnsi="Calibri"/>
          <w:color w:val="000000"/>
          <w:sz w:val="20"/>
        </w:rPr>
        <w:t xml:space="preserve">Controlled output: Reproducible training and baseline comparison.</w:t>
      </w:r>
    </w:p>
    <w:p>
      <w:pPr>
        <w:spacing w:before="0" w:after="50" w:line="250" w:lineRule="auto"/>
      </w:pPr>
      <w:r>
        <w:rPr>
          <w:rFonts w:ascii="Calibri" w:hAnsi="Calibri"/>
          <w:color w:val="000000"/>
          <w:sz w:val="20"/>
        </w:rPr>
        <w:t xml:space="preserve">Operational stage: Evaluation</w:t>
      </w:r>
    </w:p>
    <w:p>
      <w:pPr>
        <w:spacing w:before="0" w:after="50" w:line="250" w:lineRule="auto"/>
      </w:pPr>
      <w:r>
        <w:rPr>
          <w:rFonts w:ascii="Calibri" w:hAnsi="Calibri"/>
          <w:color w:val="000000"/>
          <w:sz w:val="20"/>
        </w:rPr>
        <w:t xml:space="preserve">Controlled output: Frozen configuration and independent results.</w:t>
      </w:r>
    </w:p>
    <w:p>
      <w:pPr>
        <w:pStyle w:val="Heading3"/>
        <w:keepNext/>
        <w:keepLines/>
        <w:spacing w:before="240" w:after="120" w:line="269" w:lineRule="auto"/>
      </w:pPr>
      <w:r>
        <w:rPr>
          <w:color w:val="000000"/>
        </w:rPr>
        <w:t>Prioritize information, not volume alone</w:t>
      </w:r>
    </w:p>
    <w:p>
      <w:pPr>
        <w:pStyle w:val="Normal"/>
        <w:spacing w:before="0" w:after="50" w:line="250" w:lineRule="auto"/>
        <w:rPr/>
      </w:pPr>
      <w:r>
        <w:rPr>
          <w:rFonts w:ascii="Calibri" w:hAnsi="Calibri"/>
          <w:color w:val="000000"/>
          <w:sz w:val="20"/>
        </w:rPr>
        <w:t>Active data selection may help identify uncertain or underrepresented cases for expert review. It should not distort the final evaluation population or turn model confidence into a biological reference. Collection priorities should consider rare failure modes and the practical cost of confirmation.</w:t>
      </w:r>
    </w:p>
    <w:p>
      <w:pPr>
        <w:pStyle w:val="Normal"/>
        <w:spacing w:before="0" w:after="50" w:line="250" w:lineRule="auto"/>
        <w:rPr/>
      </w:pPr>
      <w:r>
        <w:rPr>
          <w:rFonts w:ascii="Calibri" w:hAnsi="Calibri"/>
          <w:color w:val="000000"/>
          <w:sz w:val="20"/>
        </w:rPr>
        <w:t>The proposed operation should support corrections to labels and permissions with clear downstream impact tracking. A revised annotation may affect a training release, while a withdrawn authorization may affect future use. Model development should remain connected to those governance events. This makes the data service useful for sustained research without assuming that every stored observation is automatically available for every future AI purpose.</w:t>
      </w:r>
    </w:p>
    <w:p>
      <w:pPr>
        <w:pStyle w:val="Heading3"/>
        <w:keepNext/>
        <w:keepLines/>
        <w:spacing w:before="240" w:after="120" w:line="269" w:lineRule="auto"/>
      </w:pPr>
      <w:r>
        <w:rPr>
          <w:color w:val="000000"/>
        </w:rPr>
        <w:t>Design reviews and configuration control</w:t>
      </w:r>
    </w:p>
    <w:p>
      <w:pPr>
        <w:pStyle w:val="Normal"/>
        <w:keepNext/>
        <w:spacing w:before="0" w:after="50" w:line="250" w:lineRule="auto"/>
        <w:rPr/>
      </w:pPr>
      <w:r>
        <w:rPr>
          <w:rFonts w:ascii="Calibri" w:hAnsi="Calibri"/>
          <w:b/>
          <w:color w:val="000000"/>
          <w:sz w:val="20"/>
        </w:rPr>
        <w:t>Design reviews should resolve specific technical decisions</w:t>
      </w:r>
    </w:p>
    <w:p>
      <w:pPr>
        <w:pStyle w:val="Normal"/>
        <w:spacing w:before="0" w:after="50" w:line="250" w:lineRule="auto"/>
        <w:rPr/>
      </w:pPr>
      <w:r>
        <w:rPr>
          <w:rFonts w:ascii="Calibri" w:hAnsi="Calibri"/>
          <w:color w:val="000000"/>
          <w:sz w:val="20"/>
        </w:rPr>
        <w:t>A design review should assess whether evidence supports the next development step. It should bring together the people responsible for measurement, software, biological interpretation, safety, manufacturing and service as appropriate. Its value lies in resolving assumptions and interfaces before they become expensive or difficult to change.</w:t>
      </w:r>
    </w:p>
    <w:p>
      <w:pPr>
        <w:pStyle w:val="Heading3"/>
        <w:keepNext/>
        <w:keepLines/>
        <w:spacing w:before="240" w:after="120" w:line="269" w:lineRule="auto"/>
      </w:pPr>
      <w:r>
        <w:rPr>
          <w:color w:val="000000"/>
        </w:rPr>
        <w:t>Proposed review inputs</w:t>
      </w:r>
    </w:p>
    <w:p>
      <w:pPr>
        <w:pStyle w:val="Normal"/>
        <w:spacing w:before="0" w:after="50" w:line="250" w:lineRule="auto"/>
        <w:rPr/>
      </w:pPr>
      <w:r>
        <w:rPr>
          <w:rFonts w:ascii="Calibri" w:hAnsi="Calibri"/>
          <w:color w:val="000000"/>
          <w:sz w:val="20"/>
        </w:rPr>
        <w:t>The review should include requirements, alternative designs, test results, unresolved issues and the configuration being assessed. A rendered concept or demonstration can communicate an idea, but it should not be mistaken for verified engineering evidence.</w:t>
      </w:r>
    </w:p>
    <w:p>
      <w:pPr>
        <w:spacing w:before="0" w:after="50" w:line="250" w:lineRule="auto"/>
      </w:pPr>
      <w:r>
        <w:rPr>
          <w:rFonts w:ascii="Calibri" w:hAnsi="Calibri"/>
          <w:color w:val="000000"/>
          <w:sz w:val="20"/>
        </w:rPr>
        <w:t xml:space="preserve">Review decision: Select an approach</w:t>
      </w:r>
    </w:p>
    <w:p>
      <w:pPr>
        <w:spacing w:before="0" w:after="50" w:line="250" w:lineRule="auto"/>
      </w:pPr>
      <w:r>
        <w:rPr>
          <w:rFonts w:ascii="Calibri" w:hAnsi="Calibri"/>
          <w:color w:val="000000"/>
          <w:sz w:val="20"/>
        </w:rPr>
        <w:t xml:space="preserve">Required rationale: Measured or justified advantage for the intended requirement.</w:t>
      </w:r>
    </w:p>
    <w:p>
      <w:pPr>
        <w:spacing w:before="0" w:after="50" w:line="250" w:lineRule="auto"/>
      </w:pPr>
      <w:r>
        <w:rPr>
          <w:rFonts w:ascii="Calibri" w:hAnsi="Calibri"/>
          <w:color w:val="000000"/>
          <w:sz w:val="20"/>
        </w:rPr>
        <w:t xml:space="preserve">Review decision: Accept a limitation</w:t>
      </w:r>
    </w:p>
    <w:p>
      <w:pPr>
        <w:spacing w:before="0" w:after="50" w:line="250" w:lineRule="auto"/>
      </w:pPr>
      <w:r>
        <w:rPr>
          <w:rFonts w:ascii="Calibri" w:hAnsi="Calibri"/>
          <w:color w:val="000000"/>
          <w:sz w:val="20"/>
        </w:rPr>
        <w:t xml:space="preserve">Required rationale: Defined affected domain and consequence for use.</w:t>
      </w:r>
    </w:p>
    <w:p>
      <w:pPr>
        <w:spacing w:before="0" w:after="50" w:line="250" w:lineRule="auto"/>
      </w:pPr>
      <w:r>
        <w:rPr>
          <w:rFonts w:ascii="Calibri" w:hAnsi="Calibri"/>
          <w:color w:val="000000"/>
          <w:sz w:val="20"/>
        </w:rPr>
        <w:t xml:space="preserve">Review decision: Request more evidence</w:t>
      </w:r>
    </w:p>
    <w:p>
      <w:pPr>
        <w:spacing w:before="0" w:after="50" w:line="250" w:lineRule="auto"/>
      </w:pPr>
      <w:r>
        <w:rPr>
          <w:rFonts w:ascii="Calibri" w:hAnsi="Calibri"/>
          <w:color w:val="000000"/>
          <w:sz w:val="20"/>
        </w:rPr>
        <w:t xml:space="preserve">Required rationale: Specific uncertainty and the test that could resolve it.</w:t>
      </w:r>
    </w:p>
    <w:p>
      <w:pPr>
        <w:spacing w:before="0" w:after="50" w:line="250" w:lineRule="auto"/>
      </w:pPr>
      <w:r>
        <w:rPr>
          <w:rFonts w:ascii="Calibri" w:hAnsi="Calibri"/>
          <w:color w:val="000000"/>
          <w:sz w:val="20"/>
        </w:rPr>
        <w:t xml:space="preserve">Review decision: Change a requirement</w:t>
      </w:r>
    </w:p>
    <w:p>
      <w:pPr>
        <w:spacing w:before="0" w:after="50" w:line="250" w:lineRule="auto"/>
      </w:pPr>
      <w:r>
        <w:rPr>
          <w:rFonts w:ascii="Calibri" w:hAnsi="Calibri"/>
          <w:color w:val="000000"/>
          <w:sz w:val="20"/>
        </w:rPr>
        <w:t xml:space="preserve">Required rationale: Reason, affected interfaces and evidence impact.</w:t>
      </w:r>
    </w:p>
    <w:p>
      <w:pPr>
        <w:spacing w:before="0" w:after="50" w:line="250" w:lineRule="auto"/>
      </w:pPr>
      <w:r>
        <w:rPr>
          <w:rFonts w:ascii="Calibri" w:hAnsi="Calibri"/>
          <w:color w:val="000000"/>
          <w:sz w:val="20"/>
        </w:rPr>
        <w:t xml:space="preserve">Review decision: Stop a track</w:t>
      </w:r>
    </w:p>
    <w:p>
      <w:pPr>
        <w:spacing w:before="0" w:after="50" w:line="250" w:lineRule="auto"/>
      </w:pPr>
      <w:r>
        <w:rPr>
          <w:rFonts w:ascii="Calibri" w:hAnsi="Calibri"/>
          <w:color w:val="000000"/>
          <w:sz w:val="20"/>
        </w:rPr>
        <w:t xml:space="preserve">Required rationale: Clear failure boundary or insufficient value for further work.</w:t>
      </w:r>
    </w:p>
    <w:p>
      <w:pPr>
        <w:pStyle w:val="Heading3"/>
        <w:keepNext/>
        <w:keepLines/>
        <w:spacing w:before="240" w:after="120" w:line="269" w:lineRule="auto"/>
      </w:pPr>
      <w:r>
        <w:rPr>
          <w:color w:val="000000"/>
        </w:rPr>
        <w:t>Configuration control preserves comparability</w:t>
      </w:r>
    </w:p>
    <w:p>
      <w:pPr>
        <w:pStyle w:val="Normal"/>
        <w:spacing w:before="0" w:after="50" w:line="250" w:lineRule="auto"/>
        <w:rPr/>
      </w:pPr>
      <w:r>
        <w:rPr>
          <w:rFonts w:ascii="Calibri" w:hAnsi="Calibri"/>
          <w:color w:val="000000"/>
          <w:sz w:val="20"/>
        </w:rPr>
        <w:t>Each prototype and test should identify the hardware, software, calibration and method context. A result from one configuration should not automatically support another. Changes to optics, mounting or preprocessing may alter measurement behavior even when the product name remains the same.</w:t>
      </w:r>
    </w:p>
    <w:p>
      <w:pPr>
        <w:pStyle w:val="Normal"/>
        <w:spacing w:before="0" w:after="50" w:line="250" w:lineRule="auto"/>
        <w:rPr/>
      </w:pPr>
      <w:r>
        <w:rPr>
          <w:rFonts w:ascii="Calibri" w:hAnsi="Calibri"/>
          <w:color w:val="000000"/>
          <w:sz w:val="20"/>
        </w:rPr>
        <w:t>The proposed process should retain the decision and its evidence, with follow-up actions tied to a clear owner. This is product development discipline, not a requirement to freeze the platform's form prematurely. Flexible exploration remains possible when the conditions and consequences of each alternative are recorded well enough to compare them fairly.</w:t>
      </w:r>
    </w:p>
    <w:p>
      <w:pPr>
        <w:pStyle w:val="Heading3"/>
        <w:keepNext/>
        <w:keepLines/>
        <w:spacing w:before="240" w:after="120" w:line="269" w:lineRule="auto"/>
      </w:pPr>
      <w:r>
        <w:rPr>
          <w:color w:val="000000"/>
        </w:rPr>
        <w:t>Supplier qualification and substitution</w:t>
      </w:r>
    </w:p>
    <w:p>
      <w:pPr>
        <w:pStyle w:val="Normal"/>
        <w:keepNext/>
        <w:spacing w:before="0" w:after="50" w:line="250" w:lineRule="auto"/>
        <w:rPr/>
      </w:pPr>
      <w:r>
        <w:rPr>
          <w:rFonts w:ascii="Calibri" w:hAnsi="Calibri"/>
          <w:b/>
          <w:color w:val="000000"/>
          <w:sz w:val="20"/>
        </w:rPr>
        <w:t>Supplier qualification should address quality and continuity</w:t>
      </w:r>
    </w:p>
    <w:p>
      <w:pPr>
        <w:pStyle w:val="Normal"/>
        <w:spacing w:before="0" w:after="50" w:line="250" w:lineRule="auto"/>
        <w:rPr/>
      </w:pPr>
      <w:r>
        <w:rPr>
          <w:rFonts w:ascii="Calibri" w:hAnsi="Calibri"/>
          <w:color w:val="000000"/>
          <w:sz w:val="20"/>
        </w:rPr>
        <w:t>Component selection should consider specification, authenticity, availability, support and the consequences of substitution. A low public price is useful procurement information, but it does not establish domestic stock, delivery to the intended location or suitability for a measurement product. The dated BOM therefore separates observed listings from quotations and unresolved procurement checks.</w:t>
      </w:r>
    </w:p>
    <w:p>
      <w:pPr>
        <w:pStyle w:val="Heading3"/>
        <w:keepNext/>
        <w:keepLines/>
        <w:spacing w:before="240" w:after="120" w:line="269" w:lineRule="auto"/>
      </w:pPr>
      <w:r>
        <w:rPr>
          <w:color w:val="000000"/>
        </w:rPr>
        <w:t>Proposed supplier assessment</w:t>
      </w:r>
    </w:p>
    <w:p>
      <w:pPr>
        <w:pStyle w:val="Normal"/>
        <w:spacing w:before="0" w:after="50" w:line="250" w:lineRule="auto"/>
        <w:rPr/>
      </w:pPr>
      <w:r>
        <w:rPr>
          <w:rFonts w:ascii="Calibri" w:hAnsi="Calibri"/>
          <w:color w:val="000000"/>
          <w:sz w:val="20"/>
        </w:rPr>
        <w:t>For critical components, the programme should identify authorized supply routes, revision control, documentation and incoming acceptance criteria. Supplier changes should trigger an assessment of whether the component's relevant behavior remains equivalent.</w:t>
      </w:r>
    </w:p>
    <w:p>
      <w:pPr>
        <w:spacing w:before="0" w:after="50" w:line="250" w:lineRule="auto"/>
      </w:pPr>
      <w:r>
        <w:rPr>
          <w:rFonts w:ascii="Calibri" w:hAnsi="Calibri"/>
          <w:color w:val="000000"/>
          <w:sz w:val="20"/>
        </w:rPr>
        <w:t xml:space="preserve">Supplier question: Is the exact part identified?</w:t>
      </w:r>
    </w:p>
    <w:p>
      <w:pPr>
        <w:spacing w:before="0" w:after="50" w:line="250" w:lineRule="auto"/>
      </w:pPr>
      <w:r>
        <w:rPr>
          <w:rFonts w:ascii="Calibri" w:hAnsi="Calibri"/>
          <w:color w:val="000000"/>
          <w:sz w:val="20"/>
        </w:rPr>
        <w:t xml:space="preserve">Proposed evidence: Manufacturer, part number, variant and revision where relevant.</w:t>
      </w:r>
    </w:p>
    <w:p>
      <w:pPr>
        <w:spacing w:before="0" w:after="50" w:line="250" w:lineRule="auto"/>
      </w:pPr>
      <w:r>
        <w:rPr>
          <w:rFonts w:ascii="Calibri" w:hAnsi="Calibri"/>
          <w:color w:val="000000"/>
          <w:sz w:val="20"/>
        </w:rPr>
        <w:t xml:space="preserve">Supplier question: Is the source reliable?</w:t>
      </w:r>
    </w:p>
    <w:p>
      <w:pPr>
        <w:spacing w:before="0" w:after="50" w:line="250" w:lineRule="auto"/>
      </w:pPr>
      <w:r>
        <w:rPr>
          <w:rFonts w:ascii="Calibri" w:hAnsi="Calibri"/>
          <w:color w:val="000000"/>
          <w:sz w:val="20"/>
        </w:rPr>
        <w:t xml:space="preserve">Proposed evidence: Traceable supply route and authenticity checks.</w:t>
      </w:r>
    </w:p>
    <w:p>
      <w:pPr>
        <w:spacing w:before="0" w:after="50" w:line="250" w:lineRule="auto"/>
      </w:pPr>
      <w:r>
        <w:rPr>
          <w:rFonts w:ascii="Calibri" w:hAnsi="Calibri"/>
          <w:color w:val="000000"/>
          <w:sz w:val="20"/>
        </w:rPr>
        <w:t xml:space="preserve">Supplier question: Is availability confirmed?</w:t>
      </w:r>
    </w:p>
    <w:p>
      <w:pPr>
        <w:spacing w:before="0" w:after="50" w:line="250" w:lineRule="auto"/>
      </w:pPr>
      <w:r>
        <w:rPr>
          <w:rFonts w:ascii="Calibri" w:hAnsi="Calibri"/>
          <w:color w:val="000000"/>
          <w:sz w:val="20"/>
        </w:rPr>
        <w:t xml:space="preserve">Proposed evidence: Current stock, dispatch location and destination-specific quotation.</w:t>
      </w:r>
    </w:p>
    <w:p>
      <w:pPr>
        <w:spacing w:before="0" w:after="50" w:line="250" w:lineRule="auto"/>
      </w:pPr>
      <w:r>
        <w:rPr>
          <w:rFonts w:ascii="Calibri" w:hAnsi="Calibri"/>
          <w:color w:val="000000"/>
          <w:sz w:val="20"/>
        </w:rPr>
        <w:t xml:space="preserve">Supplier question: Can changes be detected?</w:t>
      </w:r>
    </w:p>
    <w:p>
      <w:pPr>
        <w:spacing w:before="0" w:after="50" w:line="250" w:lineRule="auto"/>
      </w:pPr>
      <w:r>
        <w:rPr>
          <w:rFonts w:ascii="Calibri" w:hAnsi="Calibri"/>
          <w:color w:val="000000"/>
          <w:sz w:val="20"/>
        </w:rPr>
        <w:t xml:space="preserve">Proposed evidence: Revision and discontinuation information.</w:t>
      </w:r>
    </w:p>
    <w:p>
      <w:pPr>
        <w:spacing w:before="0" w:after="50" w:line="250" w:lineRule="auto"/>
      </w:pPr>
      <w:r>
        <w:rPr>
          <w:rFonts w:ascii="Calibri" w:hAnsi="Calibri"/>
          <w:color w:val="000000"/>
          <w:sz w:val="20"/>
        </w:rPr>
        <w:t xml:space="preserve">Supplier question: Is substitution acceptable?</w:t>
      </w:r>
    </w:p>
    <w:p>
      <w:pPr>
        <w:spacing w:before="0" w:after="50" w:line="250" w:lineRule="auto"/>
      </w:pPr>
      <w:r>
        <w:rPr>
          <w:rFonts w:ascii="Calibri" w:hAnsi="Calibri"/>
          <w:color w:val="000000"/>
          <w:sz w:val="20"/>
        </w:rPr>
        <w:t xml:space="preserve">Proposed evidence: Compatibility and performance verification for affected functions.</w:t>
      </w:r>
    </w:p>
    <w:p>
      <w:pPr>
        <w:pStyle w:val="Heading3"/>
        <w:keepNext/>
        <w:keepLines/>
        <w:spacing w:before="240" w:after="120" w:line="269" w:lineRule="auto"/>
      </w:pPr>
      <w:r>
        <w:rPr>
          <w:color w:val="000000"/>
        </w:rPr>
        <w:t>Define critical characteristics</w:t>
      </w:r>
    </w:p>
    <w:p>
      <w:pPr>
        <w:pStyle w:val="Normal"/>
        <w:spacing w:before="0" w:after="50" w:line="250" w:lineRule="auto"/>
        <w:rPr/>
      </w:pPr>
      <w:r>
        <w:rPr>
          <w:rFonts w:ascii="Calibri" w:hAnsi="Calibri"/>
          <w:color w:val="000000"/>
          <w:sz w:val="20"/>
        </w:rPr>
        <w:t>For a lens, focal length alone may be insufficient; mount, image circle, focus range and distortion can matter. For a power supply, connector fit does not establish electrical compatibility. Incoming checks should target the properties that affect the system rather than merely confirming that the item powers on.</w:t>
      </w:r>
    </w:p>
    <w:p>
      <w:pPr>
        <w:pStyle w:val="Normal"/>
        <w:spacing w:before="0" w:after="50" w:line="250" w:lineRule="auto"/>
        <w:rPr/>
      </w:pPr>
      <w:r>
        <w:rPr>
          <w:rFonts w:ascii="Calibri" w:hAnsi="Calibri"/>
          <w:color w:val="000000"/>
          <w:sz w:val="20"/>
        </w:rPr>
        <w:t>The proposed programme should maintain alternatives where practical, but avoid claiming interchangeability before assessment. A substitution may require recalibration, software changes or additional validation. Procurement resilience comes from understanding these dependencies and planning qualification, not from listing many nominally similar products in a catalogue.</w:t>
      </w:r>
    </w:p>
    <w:p>
      <w:pPr>
        <w:pStyle w:val="Heading3"/>
        <w:keepNext/>
        <w:keepLines/>
        <w:spacing w:before="240" w:after="120" w:line="269" w:lineRule="auto"/>
      </w:pPr>
      <w:r>
        <w:rPr>
          <w:color w:val="000000"/>
        </w:rPr>
        <w:t>Prototyping and design for manufacture</w:t>
      </w:r>
    </w:p>
    <w:p>
      <w:pPr>
        <w:pStyle w:val="Normal"/>
        <w:keepNext/>
        <w:spacing w:before="0" w:after="50" w:line="250" w:lineRule="auto"/>
        <w:rPr/>
      </w:pPr>
      <w:r>
        <w:rPr>
          <w:rFonts w:ascii="Calibri" w:hAnsi="Calibri"/>
          <w:b/>
          <w:color w:val="000000"/>
          <w:sz w:val="20"/>
        </w:rPr>
        <w:t>Prototyping should answer questions about production as well as function</w:t>
      </w:r>
    </w:p>
    <w:p>
      <w:pPr>
        <w:pStyle w:val="Normal"/>
        <w:spacing w:before="0" w:after="50" w:line="250" w:lineRule="auto"/>
        <w:rPr/>
      </w:pPr>
      <w:r>
        <w:rPr>
          <w:rFonts w:ascii="Calibri" w:hAnsi="Calibri"/>
          <w:color w:val="000000"/>
          <w:sz w:val="20"/>
        </w:rPr>
        <w:t>An adjustable laboratory prototype can establish a measurement principle. A manufacturable design must also tolerate component variation, repeatable assembly, inspection, cleaning and service. The transition should preserve the function demonstrated on the bench while reducing dependence on individual craftsmanship or undocumented adjustment.</w:t>
      </w:r>
    </w:p>
    <w:p>
      <w:pPr>
        <w:pStyle w:val="Heading3"/>
        <w:keepNext/>
        <w:keepLines/>
        <w:spacing w:before="240" w:after="120" w:line="269" w:lineRule="auto"/>
      </w:pPr>
      <w:r>
        <w:rPr>
          <w:color w:val="000000"/>
        </w:rPr>
        <w:t>Proposed design-for-manufacture review</w:t>
      </w:r>
    </w:p>
    <w:p>
      <w:pPr>
        <w:pStyle w:val="Normal"/>
        <w:spacing w:before="0" w:after="50" w:line="250" w:lineRule="auto"/>
        <w:rPr/>
      </w:pPr>
      <w:r>
        <w:rPr>
          <w:rFonts w:ascii="Calibri" w:hAnsi="Calibri"/>
          <w:color w:val="000000"/>
          <w:sz w:val="20"/>
        </w:rPr>
        <w:t>The team should examine part count, tolerances, assembly sequence, fasteners, cable routing and access for inspection. Critical optical relationships should have a defined assembly and verification method. A design that requires repeated subjective alignment may be difficult to reproduce consistently.</w:t>
      </w:r>
    </w:p>
    <w:p>
      <w:pPr>
        <w:spacing w:before="0" w:after="50" w:line="250" w:lineRule="auto"/>
      </w:pPr>
      <w:r>
        <w:rPr>
          <w:rFonts w:ascii="Calibri" w:hAnsi="Calibri"/>
          <w:color w:val="000000"/>
          <w:sz w:val="20"/>
        </w:rPr>
        <w:t xml:space="preserve">Production concern: Tolerance accumulation</w:t>
      </w:r>
    </w:p>
    <w:p>
      <w:pPr>
        <w:spacing w:before="0" w:after="50" w:line="250" w:lineRule="auto"/>
      </w:pPr>
      <w:r>
        <w:rPr>
          <w:rFonts w:ascii="Calibri" w:hAnsi="Calibri"/>
          <w:color w:val="000000"/>
          <w:sz w:val="20"/>
        </w:rPr>
        <w:t xml:space="preserve">Development response: Analyze and measure its effect on calibration and field coverage.</w:t>
      </w:r>
    </w:p>
    <w:p>
      <w:pPr>
        <w:spacing w:before="0" w:after="50" w:line="250" w:lineRule="auto"/>
      </w:pPr>
      <w:r>
        <w:rPr>
          <w:rFonts w:ascii="Calibri" w:hAnsi="Calibri"/>
          <w:color w:val="000000"/>
          <w:sz w:val="20"/>
        </w:rPr>
        <w:t xml:space="preserve">Production concern: Assembly variation</w:t>
      </w:r>
    </w:p>
    <w:p>
      <w:pPr>
        <w:spacing w:before="0" w:after="50" w:line="250" w:lineRule="auto"/>
      </w:pPr>
      <w:r>
        <w:rPr>
          <w:rFonts w:ascii="Calibri" w:hAnsi="Calibri"/>
          <w:color w:val="000000"/>
          <w:sz w:val="20"/>
        </w:rPr>
        <w:t xml:space="preserve">Development response: Use fixtures or references for critical relationships.</w:t>
      </w:r>
    </w:p>
    <w:p>
      <w:pPr>
        <w:spacing w:before="0" w:after="50" w:line="250" w:lineRule="auto"/>
      </w:pPr>
      <w:r>
        <w:rPr>
          <w:rFonts w:ascii="Calibri" w:hAnsi="Calibri"/>
          <w:color w:val="000000"/>
          <w:sz w:val="20"/>
        </w:rPr>
        <w:t xml:space="preserve">Production concern: Part identification</w:t>
      </w:r>
    </w:p>
    <w:p>
      <w:pPr>
        <w:spacing w:before="0" w:after="50" w:line="250" w:lineRule="auto"/>
      </w:pPr>
      <w:r>
        <w:rPr>
          <w:rFonts w:ascii="Calibri" w:hAnsi="Calibri"/>
          <w:color w:val="000000"/>
          <w:sz w:val="20"/>
        </w:rPr>
        <w:t xml:space="preserve">Development response: Prevent visually similar but incompatible components being confused.</w:t>
      </w:r>
    </w:p>
    <w:p>
      <w:pPr>
        <w:spacing w:before="0" w:after="50" w:line="250" w:lineRule="auto"/>
      </w:pPr>
      <w:r>
        <w:rPr>
          <w:rFonts w:ascii="Calibri" w:hAnsi="Calibri"/>
          <w:color w:val="000000"/>
          <w:sz w:val="20"/>
        </w:rPr>
        <w:t xml:space="preserve">Production concern: Inspection access</w:t>
      </w:r>
    </w:p>
    <w:p>
      <w:pPr>
        <w:spacing w:before="0" w:after="50" w:line="250" w:lineRule="auto"/>
      </w:pPr>
      <w:r>
        <w:rPr>
          <w:rFonts w:ascii="Calibri" w:hAnsi="Calibri"/>
          <w:color w:val="000000"/>
          <w:sz w:val="20"/>
        </w:rPr>
        <w:t xml:space="preserve">Development response: Make important joints, settings and serial identities observable.</w:t>
      </w:r>
    </w:p>
    <w:p>
      <w:pPr>
        <w:spacing w:before="0" w:after="50" w:line="250" w:lineRule="auto"/>
      </w:pPr>
      <w:r>
        <w:rPr>
          <w:rFonts w:ascii="Calibri" w:hAnsi="Calibri"/>
          <w:color w:val="000000"/>
          <w:sz w:val="20"/>
        </w:rPr>
        <w:t xml:space="preserve">Production concern: Repair</w:t>
      </w:r>
    </w:p>
    <w:p>
      <w:pPr>
        <w:spacing w:before="0" w:after="50" w:line="250" w:lineRule="auto"/>
      </w:pPr>
      <w:r>
        <w:rPr>
          <w:rFonts w:ascii="Calibri" w:hAnsi="Calibri"/>
          <w:color w:val="000000"/>
          <w:sz w:val="20"/>
        </w:rPr>
        <w:t xml:space="preserve">Development response: Support replacement without unnecessary damage or recalibration burden.</w:t>
      </w:r>
    </w:p>
    <w:p>
      <w:pPr>
        <w:pStyle w:val="Heading3"/>
        <w:keepNext/>
        <w:keepLines/>
        <w:spacing w:before="240" w:after="120" w:line="269" w:lineRule="auto"/>
      </w:pPr>
      <w:r>
        <w:rPr>
          <w:color w:val="000000"/>
        </w:rPr>
        <w:t>Pilot builds reveal different problems</w:t>
      </w:r>
    </w:p>
    <w:p>
      <w:pPr>
        <w:pStyle w:val="Normal"/>
        <w:spacing w:before="0" w:after="50" w:line="250" w:lineRule="auto"/>
        <w:rPr/>
      </w:pPr>
      <w:r>
        <w:rPr>
          <w:rFonts w:ascii="Calibri" w:hAnsi="Calibri"/>
          <w:color w:val="000000"/>
          <w:sz w:val="20"/>
        </w:rPr>
        <w:t>A small series of controlled builds can expose variation that one prototype does not show. Record assembly time, rework, failed checks and measurement performance across units. These findings should inform design changes before claims about scalable manufacture are made.</w:t>
      </w:r>
    </w:p>
    <w:p>
      <w:pPr>
        <w:pStyle w:val="Normal"/>
        <w:spacing w:before="0" w:after="50" w:line="250" w:lineRule="auto"/>
        <w:rPr/>
      </w:pPr>
      <w:r>
        <w:rPr>
          <w:rFonts w:ascii="Calibri" w:hAnsi="Calibri"/>
          <w:color w:val="000000"/>
          <w:sz w:val="20"/>
        </w:rPr>
        <w:t>The proposed vertical-integration strategy should retain this evidence-led approach. Custom parts can improve consistency when requirements are stable, while premature tooling can lock in unresolved assumptions. Manufacturing readiness should be demonstrated through repeatable builds and acceptance evidence, not inferred from a detailed rendering or a completed bill of materials.</w:t>
      </w:r>
    </w:p>
    <w:p>
      <w:pPr>
        <w:pStyle w:val="Heading3"/>
        <w:keepNext/>
        <w:keepLines/>
        <w:spacing w:before="240" w:after="120" w:line="269" w:lineRule="auto"/>
      </w:pPr>
      <w:r>
        <w:rPr>
          <w:color w:val="000000"/>
        </w:rPr>
        <w:t>Assembly and production verification</w:t>
      </w:r>
    </w:p>
    <w:p>
      <w:pPr>
        <w:pStyle w:val="Normal"/>
        <w:keepNext/>
        <w:spacing w:before="0" w:after="50" w:line="250" w:lineRule="auto"/>
        <w:rPr/>
      </w:pPr>
      <w:r>
        <w:rPr>
          <w:rFonts w:ascii="Calibri" w:hAnsi="Calibri"/>
          <w:b/>
          <w:color w:val="000000"/>
          <w:sz w:val="20"/>
        </w:rPr>
        <w:t>Production verification should establish the identity and readiness of each unit</w:t>
      </w:r>
    </w:p>
    <w:p>
      <w:pPr>
        <w:pStyle w:val="Normal"/>
        <w:spacing w:before="0" w:after="50" w:line="250" w:lineRule="auto"/>
        <w:rPr/>
      </w:pPr>
      <w:r>
        <w:rPr>
          <w:rFonts w:ascii="Calibri" w:hAnsi="Calibri"/>
          <w:color w:val="000000"/>
          <w:sz w:val="20"/>
        </w:rPr>
        <w:t>Each delivered instrument should have a traceable configuration and evidence that it meets the applicable production acceptance requirements. Assembly completion is not equivalent to measurement readiness. The acceptance process should verify the functions and critical characteristics that can vary between units.</w:t>
      </w:r>
    </w:p>
    <w:p>
      <w:pPr>
        <w:pStyle w:val="Heading3"/>
        <w:keepNext/>
        <w:keepLines/>
        <w:spacing w:before="240" w:after="120" w:line="269" w:lineRule="auto"/>
      </w:pPr>
      <w:r>
        <w:rPr>
          <w:color w:val="000000"/>
        </w:rPr>
        <w:t>Proposed unit record</w:t>
      </w:r>
    </w:p>
    <w:p>
      <w:pPr>
        <w:pStyle w:val="Normal"/>
        <w:spacing w:before="0" w:after="50" w:line="250" w:lineRule="auto"/>
        <w:rPr/>
      </w:pPr>
      <w:r>
        <w:rPr>
          <w:rFonts w:ascii="Calibri" w:hAnsi="Calibri"/>
          <w:color w:val="000000"/>
          <w:sz w:val="20"/>
        </w:rPr>
        <w:t>The record should identify the instrument, critical components, software and model versions, calibration, inspection results and disposition. Rework should remain visible, with the affected checks repeated as appropriate. A failed unit should not disappear from production quality statistics after repair.</w:t>
      </w:r>
    </w:p>
    <w:p>
      <w:pPr>
        <w:spacing w:before="0" w:after="50" w:line="250" w:lineRule="auto"/>
      </w:pPr>
      <w:r>
        <w:rPr>
          <w:rFonts w:ascii="Calibri" w:hAnsi="Calibri"/>
          <w:color w:val="000000"/>
          <w:sz w:val="20"/>
        </w:rPr>
        <w:t xml:space="preserve">Acceptance area: Identity and configuration</w:t>
      </w:r>
    </w:p>
    <w:p>
      <w:pPr>
        <w:spacing w:before="0" w:after="50" w:line="250" w:lineRule="auto"/>
      </w:pPr>
      <w:r>
        <w:rPr>
          <w:rFonts w:ascii="Calibri" w:hAnsi="Calibri"/>
          <w:color w:val="000000"/>
          <w:sz w:val="20"/>
        </w:rPr>
        <w:t xml:space="preserve">Proposed check: Correct components, revisions and software package.</w:t>
      </w:r>
    </w:p>
    <w:p>
      <w:pPr>
        <w:spacing w:before="0" w:after="50" w:line="250" w:lineRule="auto"/>
      </w:pPr>
      <w:r>
        <w:rPr>
          <w:rFonts w:ascii="Calibri" w:hAnsi="Calibri"/>
          <w:color w:val="000000"/>
          <w:sz w:val="20"/>
        </w:rPr>
        <w:t xml:space="preserve">Acceptance area: Electrical readiness</w:t>
      </w:r>
    </w:p>
    <w:p>
      <w:pPr>
        <w:spacing w:before="0" w:after="50" w:line="250" w:lineRule="auto"/>
      </w:pPr>
      <w:r>
        <w:rPr>
          <w:rFonts w:ascii="Calibri" w:hAnsi="Calibri"/>
          <w:color w:val="000000"/>
          <w:sz w:val="20"/>
        </w:rPr>
        <w:t xml:space="preserve">Proposed check: Relevant power, protection and thermal behavior.</w:t>
      </w:r>
    </w:p>
    <w:p>
      <w:pPr>
        <w:spacing w:before="0" w:after="50" w:line="250" w:lineRule="auto"/>
      </w:pPr>
      <w:r>
        <w:rPr>
          <w:rFonts w:ascii="Calibri" w:hAnsi="Calibri"/>
          <w:color w:val="000000"/>
          <w:sz w:val="20"/>
        </w:rPr>
        <w:t xml:space="preserve">Acceptance area: Optical performance</w:t>
      </w:r>
    </w:p>
    <w:p>
      <w:pPr>
        <w:spacing w:before="0" w:after="50" w:line="250" w:lineRule="auto"/>
      </w:pPr>
      <w:r>
        <w:rPr>
          <w:rFonts w:ascii="Calibri" w:hAnsi="Calibri"/>
          <w:color w:val="000000"/>
          <w:sz w:val="20"/>
        </w:rPr>
        <w:t xml:space="preserve">Proposed check: Field, focus, illumination and calibration suitability.</w:t>
      </w:r>
    </w:p>
    <w:p>
      <w:pPr>
        <w:spacing w:before="0" w:after="50" w:line="250" w:lineRule="auto"/>
      </w:pPr>
      <w:r>
        <w:rPr>
          <w:rFonts w:ascii="Calibri" w:hAnsi="Calibri"/>
          <w:color w:val="000000"/>
          <w:sz w:val="20"/>
        </w:rPr>
        <w:t xml:space="preserve">Acceptance area: Functional workflow</w:t>
      </w:r>
    </w:p>
    <w:p>
      <w:pPr>
        <w:spacing w:before="0" w:after="50" w:line="250" w:lineRule="auto"/>
      </w:pPr>
      <w:r>
        <w:rPr>
          <w:rFonts w:ascii="Calibri" w:hAnsi="Calibri"/>
          <w:color w:val="000000"/>
          <w:sz w:val="20"/>
        </w:rPr>
        <w:t xml:space="preserve">Proposed check: Capture, storage, review and export behavior.</w:t>
      </w:r>
    </w:p>
    <w:p>
      <w:pPr>
        <w:spacing w:before="0" w:after="50" w:line="250" w:lineRule="auto"/>
      </w:pPr>
      <w:r>
        <w:rPr>
          <w:rFonts w:ascii="Calibri" w:hAnsi="Calibri"/>
          <w:color w:val="000000"/>
          <w:sz w:val="20"/>
        </w:rPr>
        <w:t xml:space="preserve">Acceptance area: Safety and security</w:t>
      </w:r>
    </w:p>
    <w:p>
      <w:pPr>
        <w:spacing w:before="0" w:after="50" w:line="250" w:lineRule="auto"/>
      </w:pPr>
      <w:r>
        <w:rPr>
          <w:rFonts w:ascii="Calibri" w:hAnsi="Calibri"/>
          <w:color w:val="000000"/>
          <w:sz w:val="20"/>
        </w:rPr>
        <w:t xml:space="preserve">Proposed check: Applicable safeguards and deployment configuration.</w:t>
      </w:r>
    </w:p>
    <w:p>
      <w:pPr>
        <w:spacing w:before="0" w:after="50" w:line="250" w:lineRule="auto"/>
      </w:pPr>
      <w:r>
        <w:rPr>
          <w:rFonts w:ascii="Calibri" w:hAnsi="Calibri"/>
          <w:color w:val="000000"/>
          <w:sz w:val="20"/>
        </w:rPr>
        <w:t xml:space="preserve">Acceptance area: Documentation</w:t>
      </w:r>
    </w:p>
    <w:p>
      <w:pPr>
        <w:spacing w:before="0" w:after="50" w:line="250" w:lineRule="auto"/>
      </w:pPr>
      <w:r>
        <w:rPr>
          <w:rFonts w:ascii="Calibri" w:hAnsi="Calibri"/>
          <w:color w:val="000000"/>
          <w:sz w:val="20"/>
        </w:rPr>
        <w:t xml:space="preserve">Proposed check: Instructions, service information and unit-specific records.</w:t>
      </w:r>
    </w:p>
    <w:p>
      <w:pPr>
        <w:pStyle w:val="Heading3"/>
        <w:keepNext/>
        <w:keepLines/>
        <w:spacing w:before="240" w:after="120" w:line="269" w:lineRule="auto"/>
      </w:pPr>
      <w:r>
        <w:rPr>
          <w:color w:val="000000"/>
        </w:rPr>
        <w:t>Acceptance criteria need a validated basis</w:t>
      </w:r>
    </w:p>
    <w:p>
      <w:pPr>
        <w:pStyle w:val="Normal"/>
        <w:spacing w:before="0" w:after="50" w:line="250" w:lineRule="auto"/>
        <w:rPr/>
      </w:pPr>
      <w:r>
        <w:rPr>
          <w:rFonts w:ascii="Calibri" w:hAnsi="Calibri"/>
          <w:color w:val="000000"/>
          <w:sz w:val="20"/>
        </w:rPr>
        <w:t>Production checks should relate to design verification and validation. A convenient test is insufficient if it does not detect variation that can affect the result. The programme should establish whether a reference-artifact check predicts the relevant instrument behavior and what additional checks remain necessary.</w:t>
      </w:r>
    </w:p>
    <w:p>
      <w:pPr>
        <w:pStyle w:val="Normal"/>
        <w:spacing w:before="0" w:after="50" w:line="250" w:lineRule="auto"/>
        <w:rPr/>
      </w:pPr>
      <w:r>
        <w:rPr>
          <w:rFonts w:ascii="Calibri" w:hAnsi="Calibri"/>
          <w:color w:val="000000"/>
          <w:sz w:val="20"/>
        </w:rPr>
        <w:t>Trend analysis across production can identify drift, supplier variation or an assembly problem. Such findings should enter corrective action and configuration review. The proposed process supports consistent delivery while preserving the distinction between unit acceptance and the broader clinical or analytical evidence supporting the product's intended use.</w:t>
      </w:r>
    </w:p>
    <w:p>
      <w:pPr>
        <w:pStyle w:val="Heading3"/>
        <w:keepNext/>
        <w:keepLines/>
        <w:spacing w:before="240" w:after="120" w:line="269" w:lineRule="auto"/>
      </w:pPr>
      <w:r>
        <w:rPr>
          <w:color w:val="000000"/>
        </w:rPr>
        <w:t>Calibration transfer to production</w:t>
      </w:r>
    </w:p>
    <w:p>
      <w:pPr>
        <w:pStyle w:val="Normal"/>
        <w:keepNext/>
        <w:spacing w:before="0" w:after="50" w:line="250" w:lineRule="auto"/>
        <w:rPr/>
      </w:pPr>
      <w:r>
        <w:rPr>
          <w:rFonts w:ascii="Calibri" w:hAnsi="Calibri"/>
          <w:b/>
          <w:color w:val="000000"/>
          <w:sz w:val="20"/>
        </w:rPr>
        <w:t>Calibration must transfer from development to routine production</w:t>
      </w:r>
    </w:p>
    <w:p>
      <w:pPr>
        <w:pStyle w:val="Normal"/>
        <w:spacing w:before="0" w:after="50" w:line="250" w:lineRule="auto"/>
        <w:rPr/>
      </w:pPr>
      <w:r>
        <w:rPr>
          <w:rFonts w:ascii="Calibri" w:hAnsi="Calibri"/>
          <w:color w:val="000000"/>
          <w:sz w:val="20"/>
        </w:rPr>
        <w:t>The calibration method should be reproducible across instruments and service locations. It needs appropriate reference artifacts, environmental conditions, calculation methods and acceptance criteria. A calibration performed successfully by the development team does not establish that the same result can be obtained reliably during production or field service.</w:t>
      </w:r>
    </w:p>
    <w:p>
      <w:pPr>
        <w:pStyle w:val="Heading3"/>
        <w:keepNext/>
        <w:keepLines/>
        <w:spacing w:before="240" w:after="120" w:line="269" w:lineRule="auto"/>
      </w:pPr>
      <w:r>
        <w:rPr>
          <w:color w:val="000000"/>
        </w:rPr>
        <w:t>Proposed transfer package</w:t>
      </w:r>
    </w:p>
    <w:p>
      <w:pPr>
        <w:pStyle w:val="Normal"/>
        <w:spacing w:before="0" w:after="50" w:line="250" w:lineRule="auto"/>
        <w:rPr/>
      </w:pPr>
      <w:r>
        <w:rPr>
          <w:rFonts w:ascii="Calibri" w:hAnsi="Calibri"/>
          <w:color w:val="000000"/>
          <w:sz w:val="20"/>
        </w:rPr>
        <w:t xml:space="preserve">The package should define the reference target, placement, acquisition settings, computation and independent verification. It should specify what invalidates calibration and how out-of-tolerance findings affect prior measurements. Traceability should be appropriate to the measurand and intended uncertainty. </w:t>
      </w:r>
    </w:p>
    <w:p>
      <w:pPr>
        <w:spacing w:before="0" w:after="50" w:line="250" w:lineRule="auto"/>
      </w:pPr>
      <w:r>
        <w:rPr>
          <w:rFonts w:ascii="Calibri" w:hAnsi="Calibri"/>
          <w:color w:val="000000"/>
          <w:sz w:val="20"/>
        </w:rPr>
        <w:t xml:space="preserve">Transfer element: Reference artifact</w:t>
      </w:r>
    </w:p>
    <w:p>
      <w:pPr>
        <w:spacing w:before="0" w:after="50" w:line="250" w:lineRule="auto"/>
      </w:pPr>
      <w:r>
        <w:rPr>
          <w:rFonts w:ascii="Calibri" w:hAnsi="Calibri"/>
          <w:color w:val="000000"/>
          <w:sz w:val="20"/>
        </w:rPr>
        <w:t xml:space="preserve">Required evidence: Identity, uncertainty or verification basis and condition.</w:t>
      </w:r>
    </w:p>
    <w:p>
      <w:pPr>
        <w:spacing w:before="0" w:after="50" w:line="250" w:lineRule="auto"/>
      </w:pPr>
      <w:r>
        <w:rPr>
          <w:rFonts w:ascii="Calibri" w:hAnsi="Calibri"/>
          <w:color w:val="000000"/>
          <w:sz w:val="20"/>
        </w:rPr>
        <w:t xml:space="preserve">Transfer element: Procedure</w:t>
      </w:r>
    </w:p>
    <w:p>
      <w:pPr>
        <w:spacing w:before="0" w:after="50" w:line="250" w:lineRule="auto"/>
      </w:pPr>
      <w:r>
        <w:rPr>
          <w:rFonts w:ascii="Calibri" w:hAnsi="Calibri"/>
          <w:color w:val="000000"/>
          <w:sz w:val="20"/>
        </w:rPr>
        <w:t xml:space="preserve">Required evidence: Reproducible setup and controlled acquisition.</w:t>
      </w:r>
    </w:p>
    <w:p>
      <w:pPr>
        <w:spacing w:before="0" w:after="50" w:line="250" w:lineRule="auto"/>
      </w:pPr>
      <w:r>
        <w:rPr>
          <w:rFonts w:ascii="Calibri" w:hAnsi="Calibri"/>
          <w:color w:val="000000"/>
          <w:sz w:val="20"/>
        </w:rPr>
        <w:t xml:space="preserve">Transfer element: Computation</w:t>
      </w:r>
    </w:p>
    <w:p>
      <w:pPr>
        <w:spacing w:before="0" w:after="50" w:line="250" w:lineRule="auto"/>
      </w:pPr>
      <w:r>
        <w:rPr>
          <w:rFonts w:ascii="Calibri" w:hAnsi="Calibri"/>
          <w:color w:val="000000"/>
          <w:sz w:val="20"/>
        </w:rPr>
        <w:t xml:space="preserve">Required evidence: Versioned method and correct units.</w:t>
      </w:r>
    </w:p>
    <w:p>
      <w:pPr>
        <w:spacing w:before="0" w:after="50" w:line="250" w:lineRule="auto"/>
      </w:pPr>
      <w:r>
        <w:rPr>
          <w:rFonts w:ascii="Calibri" w:hAnsi="Calibri"/>
          <w:color w:val="000000"/>
          <w:sz w:val="20"/>
        </w:rPr>
        <w:t xml:space="preserve">Transfer element: Verification</w:t>
      </w:r>
    </w:p>
    <w:p>
      <w:pPr>
        <w:spacing w:before="0" w:after="50" w:line="250" w:lineRule="auto"/>
      </w:pPr>
      <w:r>
        <w:rPr>
          <w:rFonts w:ascii="Calibri" w:hAnsi="Calibri"/>
          <w:color w:val="000000"/>
          <w:sz w:val="20"/>
        </w:rPr>
        <w:t xml:space="preserve">Required evidence: Independent check not simply reusing the fitted target points.</w:t>
      </w:r>
    </w:p>
    <w:p>
      <w:pPr>
        <w:spacing w:before="0" w:after="50" w:line="250" w:lineRule="auto"/>
      </w:pPr>
      <w:r>
        <w:rPr>
          <w:rFonts w:ascii="Calibri" w:hAnsi="Calibri"/>
          <w:color w:val="000000"/>
          <w:sz w:val="20"/>
        </w:rPr>
        <w:t xml:space="preserve">Transfer element: Recalibration trigger</w:t>
      </w:r>
    </w:p>
    <w:p>
      <w:pPr>
        <w:spacing w:before="0" w:after="50" w:line="250" w:lineRule="auto"/>
      </w:pPr>
      <w:r>
        <w:rPr>
          <w:rFonts w:ascii="Calibri" w:hAnsi="Calibri"/>
          <w:color w:val="000000"/>
          <w:sz w:val="20"/>
        </w:rPr>
        <w:t xml:space="preserve">Required evidence: Defined changes, damage or drift conditions.</w:t>
      </w:r>
    </w:p>
    <w:p>
      <w:pPr>
        <w:pStyle w:val="Heading3"/>
        <w:keepNext/>
        <w:keepLines/>
        <w:spacing w:before="240" w:after="120" w:line="269" w:lineRule="auto"/>
      </w:pPr>
      <w:r>
        <w:rPr>
          <w:color w:val="000000"/>
        </w:rPr>
        <w:t>Assess the calibration operator and fixture</w:t>
      </w:r>
    </w:p>
    <w:p>
      <w:pPr>
        <w:pStyle w:val="Normal"/>
        <w:spacing w:before="0" w:after="50" w:line="250" w:lineRule="auto"/>
        <w:rPr/>
      </w:pPr>
      <w:r>
        <w:rPr>
          <w:rFonts w:ascii="Calibri" w:hAnsi="Calibri"/>
          <w:color w:val="000000"/>
          <w:sz w:val="20"/>
        </w:rPr>
        <w:t>Placement variation, target wear and interpretation of instructions can affect results. A transfer study should include the people and equipment expected to perform calibration. It should measure repeatability and identify where fixtures or clearer instructions reduce variability.</w:t>
      </w:r>
    </w:p>
    <w:p>
      <w:pPr>
        <w:pStyle w:val="Normal"/>
        <w:spacing w:before="0" w:after="50" w:line="250" w:lineRule="auto"/>
        <w:rPr/>
      </w:pPr>
      <w:r>
        <w:rPr>
          <w:rFonts w:ascii="Calibri" w:hAnsi="Calibri"/>
          <w:color w:val="000000"/>
          <w:sz w:val="20"/>
        </w:rPr>
        <w:t>The instrument should store calibration identity and validity with each measurement. Replacing a lens, altering focus or changing a relevant image pipeline can require requalification. Service should therefore include both the physical replacement and the evidence needed to restore measurement readiness. Calibration is a continuing product responsibility rather than a one-time factory certificate detached from subsequent changes.</w:t>
      </w:r>
    </w:p>
    <w:p>
      <w:pPr>
        <w:pStyle w:val="Heading3"/>
        <w:keepNext/>
        <w:keepLines/>
        <w:spacing w:before="240" w:after="120" w:line="269" w:lineRule="auto"/>
      </w:pPr>
      <w:r>
        <w:rPr>
          <w:color w:val="000000"/>
        </w:rPr>
        <w:t>Installation and site acceptance</w:t>
      </w:r>
    </w:p>
    <w:p>
      <w:pPr>
        <w:pStyle w:val="Normal"/>
        <w:keepNext/>
        <w:spacing w:before="0" w:after="50" w:line="250" w:lineRule="auto"/>
        <w:rPr/>
      </w:pPr>
      <w:r>
        <w:rPr>
          <w:rFonts w:ascii="Calibri" w:hAnsi="Calibri"/>
          <w:b/>
          <w:color w:val="000000"/>
          <w:sz w:val="20"/>
        </w:rPr>
        <w:t>Installation should verify the actual operating environment</w:t>
      </w:r>
    </w:p>
    <w:p>
      <w:pPr>
        <w:pStyle w:val="Normal"/>
        <w:spacing w:before="0" w:after="50" w:line="250" w:lineRule="auto"/>
        <w:rPr/>
      </w:pPr>
      <w:r>
        <w:rPr>
          <w:rFonts w:ascii="Calibri" w:hAnsi="Calibri"/>
          <w:color w:val="000000"/>
          <w:sz w:val="20"/>
        </w:rPr>
        <w:t>Site acceptance establishes that the delivered instrument and workflow are ready for the intended local use. It should assess the environment, configuration, interfaces and trained users. A successful factory test does not establish that power, networking, space and laboratory procedures at the destination are suitable.</w:t>
      </w:r>
    </w:p>
    <w:p>
      <w:pPr>
        <w:pStyle w:val="Heading3"/>
        <w:keepNext/>
        <w:keepLines/>
        <w:spacing w:before="240" w:after="120" w:line="269" w:lineRule="auto"/>
      </w:pPr>
      <w:r>
        <w:rPr>
          <w:color w:val="000000"/>
        </w:rPr>
        <w:t>Proposed installation assessment</w:t>
      </w:r>
    </w:p>
    <w:p>
      <w:pPr>
        <w:pStyle w:val="Normal"/>
        <w:spacing w:before="0" w:after="50" w:line="250" w:lineRule="auto"/>
        <w:rPr/>
      </w:pPr>
      <w:r>
        <w:rPr>
          <w:rFonts w:ascii="Calibri" w:hAnsi="Calibri"/>
          <w:color w:val="000000"/>
          <w:sz w:val="20"/>
        </w:rPr>
        <w:t>The site should confirm placement, relevant environmental limits, electrical arrangements and authorized network access. The instrument configuration and calibration should be checked after transport. Interfaces should be verified with the receiving laboratory system using appropriate test records.</w:t>
      </w:r>
    </w:p>
    <w:p>
      <w:pPr>
        <w:spacing w:before="0" w:after="50" w:line="250" w:lineRule="auto"/>
      </w:pPr>
      <w:r>
        <w:rPr>
          <w:rFonts w:ascii="Calibri" w:hAnsi="Calibri"/>
          <w:color w:val="000000"/>
          <w:sz w:val="20"/>
        </w:rPr>
        <w:t xml:space="preserve">Site acceptance area: Environment</w:t>
      </w:r>
    </w:p>
    <w:p>
      <w:pPr>
        <w:spacing w:before="0" w:after="50" w:line="250" w:lineRule="auto"/>
      </w:pPr>
      <w:r>
        <w:rPr>
          <w:rFonts w:ascii="Calibri" w:hAnsi="Calibri"/>
          <w:color w:val="000000"/>
          <w:sz w:val="20"/>
        </w:rPr>
        <w:t xml:space="preserve">Proposed evidence: Conditions within the qualified operating range.</w:t>
      </w:r>
    </w:p>
    <w:p>
      <w:pPr>
        <w:spacing w:before="0" w:after="50" w:line="250" w:lineRule="auto"/>
      </w:pPr>
      <w:r>
        <w:rPr>
          <w:rFonts w:ascii="Calibri" w:hAnsi="Calibri"/>
          <w:color w:val="000000"/>
          <w:sz w:val="20"/>
        </w:rPr>
        <w:t xml:space="preserve">Site acceptance area: Instrument</w:t>
      </w:r>
    </w:p>
    <w:p>
      <w:pPr>
        <w:spacing w:before="0" w:after="50" w:line="250" w:lineRule="auto"/>
      </w:pPr>
      <w:r>
        <w:rPr>
          <w:rFonts w:ascii="Calibri" w:hAnsi="Calibri"/>
          <w:color w:val="000000"/>
          <w:sz w:val="20"/>
        </w:rPr>
        <w:t xml:space="preserve">Proposed evidence: Correct identity, configuration and post-transport readiness.</w:t>
      </w:r>
    </w:p>
    <w:p>
      <w:pPr>
        <w:spacing w:before="0" w:after="50" w:line="250" w:lineRule="auto"/>
      </w:pPr>
      <w:r>
        <w:rPr>
          <w:rFonts w:ascii="Calibri" w:hAnsi="Calibri"/>
          <w:color w:val="000000"/>
          <w:sz w:val="20"/>
        </w:rPr>
        <w:t xml:space="preserve">Site acceptance area: Data flow</w:t>
      </w:r>
    </w:p>
    <w:p>
      <w:pPr>
        <w:spacing w:before="0" w:after="50" w:line="250" w:lineRule="auto"/>
      </w:pPr>
      <w:r>
        <w:rPr>
          <w:rFonts w:ascii="Calibri" w:hAnsi="Calibri"/>
          <w:color w:val="000000"/>
          <w:sz w:val="20"/>
        </w:rPr>
        <w:t xml:space="preserve">Proposed evidence: Authorized access, export mapping and receiving-system readback.</w:t>
      </w:r>
    </w:p>
    <w:p>
      <w:pPr>
        <w:spacing w:before="0" w:after="50" w:line="250" w:lineRule="auto"/>
      </w:pPr>
      <w:r>
        <w:rPr>
          <w:rFonts w:ascii="Calibri" w:hAnsi="Calibri"/>
          <w:color w:val="000000"/>
          <w:sz w:val="20"/>
        </w:rPr>
        <w:t xml:space="preserve">Site acceptance area: Users</w:t>
      </w:r>
    </w:p>
    <w:p>
      <w:pPr>
        <w:spacing w:before="0" w:after="50" w:line="250" w:lineRule="auto"/>
      </w:pPr>
      <w:r>
        <w:rPr>
          <w:rFonts w:ascii="Calibri" w:hAnsi="Calibri"/>
          <w:color w:val="000000"/>
          <w:sz w:val="20"/>
        </w:rPr>
        <w:t xml:space="preserve">Proposed evidence: Completion of relevant training and critical-task assessment.</w:t>
      </w:r>
    </w:p>
    <w:p>
      <w:pPr>
        <w:spacing w:before="0" w:after="50" w:line="250" w:lineRule="auto"/>
      </w:pPr>
      <w:r>
        <w:rPr>
          <w:rFonts w:ascii="Calibri" w:hAnsi="Calibri"/>
          <w:color w:val="000000"/>
          <w:sz w:val="20"/>
        </w:rPr>
        <w:t xml:space="preserve">Site acceptance area: Continuity</w:t>
      </w:r>
    </w:p>
    <w:p>
      <w:pPr>
        <w:spacing w:before="0" w:after="50" w:line="250" w:lineRule="auto"/>
      </w:pPr>
      <w:r>
        <w:rPr>
          <w:rFonts w:ascii="Calibri" w:hAnsi="Calibri"/>
          <w:color w:val="000000"/>
          <w:sz w:val="20"/>
        </w:rPr>
        <w:t xml:space="preserve">Proposed evidence: Defined response to outages, faults and support needs.</w:t>
      </w:r>
    </w:p>
    <w:p>
      <w:pPr>
        <w:pStyle w:val="Heading3"/>
        <w:keepNext/>
        <w:keepLines/>
        <w:spacing w:before="240" w:after="120" w:line="269" w:lineRule="auto"/>
      </w:pPr>
      <w:r>
        <w:rPr>
          <w:color w:val="000000"/>
        </w:rPr>
        <w:t>Agree on responsibility before routine use</w:t>
      </w:r>
    </w:p>
    <w:p>
      <w:pPr>
        <w:pStyle w:val="Normal"/>
        <w:spacing w:before="0" w:after="50" w:line="250" w:lineRule="auto"/>
        <w:rPr/>
      </w:pPr>
      <w:r>
        <w:rPr>
          <w:rFonts w:ascii="Calibri" w:hAnsi="Calibri"/>
          <w:color w:val="000000"/>
          <w:sz w:val="20"/>
        </w:rPr>
        <w:t>The laboratory and service team should understand who performs readiness checks, calibration review, software updates and incident escalation. The installation record should identify limitations or local restrictions. Unresolved issues should lead to a defined disposition rather than an assumption that ordinary use will reveal whether they matter.</w:t>
      </w:r>
    </w:p>
    <w:p>
      <w:pPr>
        <w:pStyle w:val="Normal"/>
        <w:spacing w:before="0" w:after="50" w:line="250" w:lineRule="auto"/>
        <w:rPr/>
      </w:pPr>
      <w:r>
        <w:rPr>
          <w:rFonts w:ascii="Calibri" w:hAnsi="Calibri"/>
          <w:color w:val="000000"/>
          <w:sz w:val="20"/>
        </w:rPr>
        <w:t>The proposed acceptance process should preserve evidence of unsuccessful checks and their resolution. Where the product remains investigational, site activities must follow the authorized study and regulatory conditions. Installation of a prototype does not itself establish clinical approval or qualification for routine diagnostic reporting.</w:t>
      </w:r>
    </w:p>
    <w:p>
      <w:pPr>
        <w:pStyle w:val="Heading3"/>
        <w:keepNext/>
        <w:keepLines/>
        <w:spacing w:before="240" w:after="120" w:line="269" w:lineRule="auto"/>
      </w:pPr>
      <w:r>
        <w:rPr>
          <w:color w:val="000000"/>
        </w:rPr>
        <w:t>Training and operational handover</w:t>
      </w:r>
    </w:p>
    <w:p>
      <w:pPr>
        <w:pStyle w:val="Normal"/>
        <w:keepNext/>
        <w:spacing w:before="0" w:after="50" w:line="250" w:lineRule="auto"/>
        <w:rPr/>
      </w:pPr>
      <w:r>
        <w:rPr>
          <w:rFonts w:ascii="Calibri" w:hAnsi="Calibri"/>
          <w:b/>
          <w:color w:val="000000"/>
          <w:sz w:val="20"/>
        </w:rPr>
        <w:t>Training should prepare users for normal work and exceptions</w:t>
      </w:r>
    </w:p>
    <w:p>
      <w:pPr>
        <w:pStyle w:val="Normal"/>
        <w:spacing w:before="0" w:after="50" w:line="250" w:lineRule="auto"/>
        <w:rPr/>
      </w:pPr>
      <w:r>
        <w:rPr>
          <w:rFonts w:ascii="Calibri" w:hAnsi="Calibri"/>
          <w:color w:val="000000"/>
          <w:sz w:val="20"/>
        </w:rPr>
        <w:t>Operational handover should ensure that intended users understand the product's scope, critical tasks and limits. Training should cover ordinary capture and review as well as identity conflicts, unreadable images, corrections and recovery. Users should know when to stop and seek support rather than improvise around a failed control.</w:t>
      </w:r>
    </w:p>
    <w:p>
      <w:pPr>
        <w:pStyle w:val="Heading3"/>
        <w:keepNext/>
        <w:keepLines/>
        <w:spacing w:before="240" w:after="120" w:line="269" w:lineRule="auto"/>
      </w:pPr>
      <w:r>
        <w:rPr>
          <w:color w:val="000000"/>
        </w:rPr>
        <w:t>Proposed training structure</w:t>
      </w:r>
    </w:p>
    <w:p>
      <w:pPr>
        <w:pStyle w:val="Normal"/>
        <w:spacing w:before="0" w:after="50" w:line="250" w:lineRule="auto"/>
        <w:rPr/>
      </w:pPr>
      <w:r>
        <w:rPr>
          <w:rFonts w:ascii="Calibri" w:hAnsi="Calibri"/>
          <w:color w:val="000000"/>
          <w:sz w:val="20"/>
        </w:rPr>
        <w:t>Role-specific instruction can separate operator, reviewer, administrator and service responsibilities. Practical exercises should use appropriate examples with known teaching objectives. Synthetic examples are useful for rare software states, while real authorized images are needed for relevant visual interpretation skills.</w:t>
      </w:r>
    </w:p>
    <w:p>
      <w:pPr>
        <w:spacing w:before="0" w:after="50" w:line="250" w:lineRule="auto"/>
      </w:pPr>
      <w:r>
        <w:rPr>
          <w:rFonts w:ascii="Calibri" w:hAnsi="Calibri"/>
          <w:color w:val="000000"/>
          <w:sz w:val="20"/>
        </w:rPr>
        <w:t xml:space="preserve">Training area: Identity and capture</w:t>
      </w:r>
    </w:p>
    <w:p>
      <w:pPr>
        <w:spacing w:before="0" w:after="50" w:line="250" w:lineRule="auto"/>
      </w:pPr>
      <w:r>
        <w:rPr>
          <w:rFonts w:ascii="Calibri" w:hAnsi="Calibri"/>
          <w:color w:val="000000"/>
          <w:sz w:val="20"/>
        </w:rPr>
        <w:t xml:space="preserve">Demonstrated competency: Correct association and recognition of incomplete acquisition.</w:t>
      </w:r>
    </w:p>
    <w:p>
      <w:pPr>
        <w:spacing w:before="0" w:after="50" w:line="250" w:lineRule="auto"/>
      </w:pPr>
      <w:r>
        <w:rPr>
          <w:rFonts w:ascii="Calibri" w:hAnsi="Calibri"/>
          <w:color w:val="000000"/>
          <w:sz w:val="20"/>
        </w:rPr>
        <w:t xml:space="preserve">Training area: Measurement review</w:t>
      </w:r>
    </w:p>
    <w:p>
      <w:pPr>
        <w:spacing w:before="0" w:after="50" w:line="250" w:lineRule="auto"/>
      </w:pPr>
      <w:r>
        <w:rPr>
          <w:rFonts w:ascii="Calibri" w:hAnsi="Calibri"/>
          <w:color w:val="000000"/>
          <w:sz w:val="20"/>
        </w:rPr>
        <w:t xml:space="preserve">Demonstrated competency: Understanding calibration, boundaries and uncertainty.</w:t>
      </w:r>
    </w:p>
    <w:p>
      <w:pPr>
        <w:spacing w:before="0" w:after="50" w:line="250" w:lineRule="auto"/>
      </w:pPr>
      <w:r>
        <w:rPr>
          <w:rFonts w:ascii="Calibri" w:hAnsi="Calibri"/>
          <w:color w:val="000000"/>
          <w:sz w:val="20"/>
        </w:rPr>
        <w:t xml:space="preserve">Training area: Interpretation</w:t>
      </w:r>
    </w:p>
    <w:p>
      <w:pPr>
        <w:spacing w:before="0" w:after="50" w:line="250" w:lineRule="auto"/>
      </w:pPr>
      <w:r>
        <w:rPr>
          <w:rFonts w:ascii="Calibri" w:hAnsi="Calibri"/>
          <w:color w:val="000000"/>
          <w:sz w:val="20"/>
        </w:rPr>
        <w:t xml:space="preserve">Demonstrated competency: Use of the applicable method and versioned rules.</w:t>
      </w:r>
    </w:p>
    <w:p>
      <w:pPr>
        <w:spacing w:before="0" w:after="50" w:line="250" w:lineRule="auto"/>
      </w:pPr>
      <w:r>
        <w:rPr>
          <w:rFonts w:ascii="Calibri" w:hAnsi="Calibri"/>
          <w:color w:val="000000"/>
          <w:sz w:val="20"/>
        </w:rPr>
        <w:t xml:space="preserve">Training area: Correction</w:t>
      </w:r>
    </w:p>
    <w:p>
      <w:pPr>
        <w:spacing w:before="0" w:after="50" w:line="250" w:lineRule="auto"/>
      </w:pPr>
      <w:r>
        <w:rPr>
          <w:rFonts w:ascii="Calibri" w:hAnsi="Calibri"/>
          <w:color w:val="000000"/>
          <w:sz w:val="20"/>
        </w:rPr>
        <w:t xml:space="preserve">Demonstrated competency: Preserving history and renewing affected approval.</w:t>
      </w:r>
    </w:p>
    <w:p>
      <w:pPr>
        <w:spacing w:before="0" w:after="50" w:line="250" w:lineRule="auto"/>
      </w:pPr>
      <w:r>
        <w:rPr>
          <w:rFonts w:ascii="Calibri" w:hAnsi="Calibri"/>
          <w:color w:val="000000"/>
          <w:sz w:val="20"/>
        </w:rPr>
        <w:t xml:space="preserve">Training area: Failure handling</w:t>
      </w:r>
    </w:p>
    <w:p>
      <w:pPr>
        <w:spacing w:before="0" w:after="50" w:line="250" w:lineRule="auto"/>
      </w:pPr>
      <w:r>
        <w:rPr>
          <w:rFonts w:ascii="Calibri" w:hAnsi="Calibri"/>
          <w:color w:val="000000"/>
          <w:sz w:val="20"/>
        </w:rPr>
        <w:t xml:space="preserve">Demonstrated competency: Appropriate abstention, repeat or escalation.</w:t>
      </w:r>
    </w:p>
    <w:p>
      <w:pPr>
        <w:spacing w:before="0" w:after="50" w:line="250" w:lineRule="auto"/>
      </w:pPr>
      <w:r>
        <w:rPr>
          <w:rFonts w:ascii="Calibri" w:hAnsi="Calibri"/>
          <w:color w:val="000000"/>
          <w:sz w:val="20"/>
        </w:rPr>
        <w:t xml:space="preserve">Training area: Data protection</w:t>
      </w:r>
    </w:p>
    <w:p>
      <w:pPr>
        <w:spacing w:before="0" w:after="50" w:line="250" w:lineRule="auto"/>
      </w:pPr>
      <w:r>
        <w:rPr>
          <w:rFonts w:ascii="Calibri" w:hAnsi="Calibri"/>
          <w:color w:val="000000"/>
          <w:sz w:val="20"/>
        </w:rPr>
        <w:t xml:space="preserve">Demonstrated competency: Authorized access, export and incident reporting.</w:t>
      </w:r>
    </w:p>
    <w:p>
      <w:pPr>
        <w:pStyle w:val="Heading3"/>
        <w:keepNext/>
        <w:keepLines/>
        <w:spacing w:before="240" w:after="120" w:line="269" w:lineRule="auto"/>
      </w:pPr>
      <w:r>
        <w:rPr>
          <w:color w:val="000000"/>
        </w:rPr>
        <w:t>Evaluate understanding after instruction</w:t>
      </w:r>
    </w:p>
    <w:p>
      <w:pPr>
        <w:pStyle w:val="Normal"/>
        <w:spacing w:before="0" w:after="50" w:line="250" w:lineRule="auto"/>
        <w:rPr/>
      </w:pPr>
      <w:r>
        <w:rPr>
          <w:rFonts w:ascii="Calibri" w:hAnsi="Calibri"/>
          <w:color w:val="000000"/>
          <w:sz w:val="20"/>
        </w:rPr>
        <w:t>Attendance does not establish competency. Assessment should use independent examples and critical scenarios appropriate to the role. Refresher training may be needed after significant interface or workflow changes. Records should identify what was assessed and any limitations in authorization.</w:t>
      </w:r>
    </w:p>
    <w:p>
      <w:pPr>
        <w:pStyle w:val="Normal"/>
        <w:spacing w:before="0" w:after="50" w:line="250" w:lineRule="auto"/>
        <w:rPr/>
      </w:pPr>
      <w:r>
        <w:rPr>
          <w:rFonts w:ascii="Calibri" w:hAnsi="Calibri"/>
          <w:color w:val="000000"/>
          <w:sz w:val="20"/>
        </w:rPr>
        <w:t>The proposed handover should include usable instructions, service contacts and a clear support process. Language and accessibility should be evaluated with intended users. The objective is dependable operation within a qualified scope, not reliance on the development team's continued presence to explain ambiguous behavior or resolve every routine exception.</w:t>
      </w:r>
    </w:p>
    <w:p>
      <w:pPr>
        <w:pStyle w:val="Heading3"/>
        <w:keepNext/>
        <w:keepLines/>
        <w:spacing w:before="240" w:after="120" w:line="269" w:lineRule="auto"/>
      </w:pPr>
      <w:r>
        <w:rPr>
          <w:color w:val="000000"/>
        </w:rPr>
        <w:t>Maintenance and support delivery</w:t>
      </w:r>
    </w:p>
    <w:p>
      <w:pPr>
        <w:pStyle w:val="Normal"/>
        <w:keepNext/>
        <w:spacing w:before="0" w:after="50" w:line="250" w:lineRule="auto"/>
        <w:rPr/>
      </w:pPr>
      <w:r>
        <w:rPr>
          <w:rFonts w:ascii="Calibri" w:hAnsi="Calibri"/>
          <w:b/>
          <w:color w:val="000000"/>
          <w:sz w:val="20"/>
        </w:rPr>
        <w:t>Service delivery should restore a qualified function</w:t>
      </w:r>
    </w:p>
    <w:p>
      <w:pPr>
        <w:pStyle w:val="Normal"/>
        <w:spacing w:before="0" w:after="50" w:line="250" w:lineRule="auto"/>
        <w:rPr/>
      </w:pPr>
      <w:r>
        <w:rPr>
          <w:rFonts w:ascii="Calibri" w:hAnsi="Calibri"/>
          <w:color w:val="000000"/>
          <w:sz w:val="20"/>
        </w:rPr>
        <w:t>Maintenance and support are part of the proposed product portfolio. Their purpose is to keep instruments and records dependable over the service life. A repair is complete when the affected function has been verified, not merely when a replacement part has been installed or an error message has disappeared.</w:t>
      </w:r>
    </w:p>
    <w:p>
      <w:pPr>
        <w:pStyle w:val="Heading3"/>
        <w:keepNext/>
        <w:keepLines/>
        <w:spacing w:before="240" w:after="120" w:line="269" w:lineRule="auto"/>
      </w:pPr>
      <w:r>
        <w:rPr>
          <w:color w:val="000000"/>
        </w:rPr>
        <w:t>Proposed service workflow</w:t>
      </w:r>
    </w:p>
    <w:p>
      <w:pPr>
        <w:pStyle w:val="Normal"/>
        <w:spacing w:before="0" w:after="50" w:line="250" w:lineRule="auto"/>
        <w:rPr/>
      </w:pPr>
      <w:r>
        <w:rPr>
          <w:rFonts w:ascii="Calibri" w:hAnsi="Calibri"/>
          <w:color w:val="000000"/>
          <w:sz w:val="20"/>
        </w:rPr>
        <w:t>Support begins with a clear description of the fault, instrument identity and affected workflow. Remote diagnostics should use only authorized data. On-site or depot work should preserve configuration, record replaced components and identify any need for recalibration or software requalification.</w:t>
      </w:r>
    </w:p>
    <w:p>
      <w:pPr>
        <w:spacing w:before="0" w:after="50" w:line="250" w:lineRule="auto"/>
      </w:pPr>
      <w:r>
        <w:rPr>
          <w:rFonts w:ascii="Calibri" w:hAnsi="Calibri"/>
          <w:color w:val="000000"/>
          <w:sz w:val="20"/>
        </w:rPr>
        <w:t xml:space="preserve">Service activity: Triage</w:t>
      </w:r>
    </w:p>
    <w:p>
      <w:pPr>
        <w:spacing w:before="0" w:after="50" w:line="250" w:lineRule="auto"/>
      </w:pPr>
      <w:r>
        <w:rPr>
          <w:rFonts w:ascii="Calibri" w:hAnsi="Calibri"/>
          <w:color w:val="000000"/>
          <w:sz w:val="20"/>
        </w:rPr>
        <w:t xml:space="preserve">Required output: Affected function, urgency and safe operating disposition.</w:t>
      </w:r>
    </w:p>
    <w:p>
      <w:pPr>
        <w:spacing w:before="0" w:after="50" w:line="250" w:lineRule="auto"/>
      </w:pPr>
      <w:r>
        <w:rPr>
          <w:rFonts w:ascii="Calibri" w:hAnsi="Calibri"/>
          <w:color w:val="000000"/>
          <w:sz w:val="20"/>
        </w:rPr>
        <w:t xml:space="preserve">Service activity: Diagnosis</w:t>
      </w:r>
    </w:p>
    <w:p>
      <w:pPr>
        <w:spacing w:before="0" w:after="50" w:line="250" w:lineRule="auto"/>
      </w:pPr>
      <w:r>
        <w:rPr>
          <w:rFonts w:ascii="Calibri" w:hAnsi="Calibri"/>
          <w:color w:val="000000"/>
          <w:sz w:val="20"/>
        </w:rPr>
        <w:t xml:space="preserve">Required output: Evidence supporting the suspected cause.</w:t>
      </w:r>
    </w:p>
    <w:p>
      <w:pPr>
        <w:spacing w:before="0" w:after="50" w:line="250" w:lineRule="auto"/>
      </w:pPr>
      <w:r>
        <w:rPr>
          <w:rFonts w:ascii="Calibri" w:hAnsi="Calibri"/>
          <w:color w:val="000000"/>
          <w:sz w:val="20"/>
        </w:rPr>
        <w:t xml:space="preserve">Service activity: Repair</w:t>
      </w:r>
    </w:p>
    <w:p>
      <w:pPr>
        <w:spacing w:before="0" w:after="50" w:line="250" w:lineRule="auto"/>
      </w:pPr>
      <w:r>
        <w:rPr>
          <w:rFonts w:ascii="Calibri" w:hAnsi="Calibri"/>
          <w:color w:val="000000"/>
          <w:sz w:val="20"/>
        </w:rPr>
        <w:t xml:space="preserve">Required output: Controlled action and component or configuration changes.</w:t>
      </w:r>
    </w:p>
    <w:p>
      <w:pPr>
        <w:spacing w:before="0" w:after="50" w:line="250" w:lineRule="auto"/>
      </w:pPr>
      <w:r>
        <w:rPr>
          <w:rFonts w:ascii="Calibri" w:hAnsi="Calibri"/>
          <w:color w:val="000000"/>
          <w:sz w:val="20"/>
        </w:rPr>
        <w:t xml:space="preserve">Service activity: Verification</w:t>
      </w:r>
    </w:p>
    <w:p>
      <w:pPr>
        <w:spacing w:before="0" w:after="50" w:line="250" w:lineRule="auto"/>
      </w:pPr>
      <w:r>
        <w:rPr>
          <w:rFonts w:ascii="Calibri" w:hAnsi="Calibri"/>
          <w:color w:val="000000"/>
          <w:sz w:val="20"/>
        </w:rPr>
        <w:t xml:space="preserve">Required output: Relevant readiness, calibration and functional checks.</w:t>
      </w:r>
    </w:p>
    <w:p>
      <w:pPr>
        <w:spacing w:before="0" w:after="50" w:line="250" w:lineRule="auto"/>
      </w:pPr>
      <w:r>
        <w:rPr>
          <w:rFonts w:ascii="Calibri" w:hAnsi="Calibri"/>
          <w:color w:val="000000"/>
          <w:sz w:val="20"/>
        </w:rPr>
        <w:t xml:space="preserve">Service activity: Return to use</w:t>
      </w:r>
    </w:p>
    <w:p>
      <w:pPr>
        <w:spacing w:before="0" w:after="50" w:line="250" w:lineRule="auto"/>
      </w:pPr>
      <w:r>
        <w:rPr>
          <w:rFonts w:ascii="Calibri" w:hAnsi="Calibri"/>
          <w:color w:val="000000"/>
          <w:sz w:val="20"/>
        </w:rPr>
        <w:t xml:space="preserve">Required output: Authorized disposition and remaining limitations.</w:t>
      </w:r>
    </w:p>
    <w:p>
      <w:pPr>
        <w:spacing w:before="0" w:after="50" w:line="250" w:lineRule="auto"/>
      </w:pPr>
      <w:r>
        <w:rPr>
          <w:rFonts w:ascii="Calibri" w:hAnsi="Calibri"/>
          <w:color w:val="000000"/>
          <w:sz w:val="20"/>
        </w:rPr>
        <w:t xml:space="preserve">Service activity: Feedback</w:t>
      </w:r>
    </w:p>
    <w:p>
      <w:pPr>
        <w:spacing w:before="0" w:after="50" w:line="250" w:lineRule="auto"/>
      </w:pPr>
      <w:r>
        <w:rPr>
          <w:rFonts w:ascii="Calibri" w:hAnsi="Calibri"/>
          <w:color w:val="000000"/>
          <w:sz w:val="20"/>
        </w:rPr>
        <w:t xml:space="preserve">Required output: Quality trend and corrective-action input.</w:t>
      </w:r>
    </w:p>
    <w:p>
      <w:pPr>
        <w:pStyle w:val="Heading3"/>
        <w:keepNext/>
        <w:keepLines/>
        <w:spacing w:before="240" w:after="120" w:line="269" w:lineRule="auto"/>
      </w:pPr>
      <w:r>
        <w:rPr>
          <w:color w:val="000000"/>
        </w:rPr>
        <w:t>Service terms should match evidence and capacity</w:t>
      </w:r>
    </w:p>
    <w:p>
      <w:pPr>
        <w:pStyle w:val="Normal"/>
        <w:spacing w:before="0" w:after="50" w:line="250" w:lineRule="auto"/>
        <w:rPr/>
      </w:pPr>
      <w:r>
        <w:rPr>
          <w:rFonts w:ascii="Calibri" w:hAnsi="Calibri"/>
          <w:color w:val="000000"/>
          <w:sz w:val="20"/>
        </w:rPr>
        <w:t>Response times, availability commitments and maintenance intervals should be established from the actual delivery model and field evidence. They are not fixed promises in this compendium. The programme should measure time to diagnosis, restoration and recurrence alongside user burden.</w:t>
      </w:r>
    </w:p>
    <w:p>
      <w:pPr>
        <w:pStyle w:val="Normal"/>
        <w:spacing w:before="0" w:after="50" w:line="250" w:lineRule="auto"/>
        <w:rPr/>
      </w:pPr>
      <w:r>
        <w:rPr>
          <w:rFonts w:ascii="Calibri" w:hAnsi="Calibri"/>
          <w:color w:val="000000"/>
          <w:sz w:val="20"/>
        </w:rPr>
        <w:t>The service portfolio can include calibration, preventive maintenance, training, interface support and research assistance. Each requires a defined scope and qualified personnel. Predictive maintenance may later improve planning, but it should complement mandatory checks and confirmed service findings. A model's low failure-risk estimate cannot override evidence that an instrument is outside its qualified operating condition.</w:t>
      </w:r>
    </w:p>
    <w:p>
      <w:pPr>
        <w:pStyle w:val="Heading3"/>
        <w:keepNext/>
        <w:keepLines/>
        <w:spacing w:before="240" w:after="120" w:line="269" w:lineRule="auto"/>
      </w:pPr>
      <w:r>
        <w:rPr>
          <w:color w:val="000000"/>
        </w:rPr>
        <w:t>Fleet updates and rollback</w:t>
      </w:r>
    </w:p>
    <w:p>
      <w:pPr>
        <w:pStyle w:val="Normal"/>
        <w:keepNext/>
        <w:spacing w:before="0" w:after="50" w:line="250" w:lineRule="auto"/>
        <w:rPr/>
      </w:pPr>
      <w:r>
        <w:rPr>
          <w:rFonts w:ascii="Calibri" w:hAnsi="Calibri"/>
          <w:b/>
          <w:color w:val="000000"/>
          <w:sz w:val="20"/>
        </w:rPr>
        <w:t>Fleet updates should be reversible and traceable</w:t>
      </w:r>
    </w:p>
    <w:p>
      <w:pPr>
        <w:pStyle w:val="Normal"/>
        <w:spacing w:before="0" w:after="50" w:line="250" w:lineRule="auto"/>
        <w:rPr/>
      </w:pPr>
      <w:r>
        <w:rPr>
          <w:rFonts w:ascii="Calibri" w:hAnsi="Calibri"/>
          <w:color w:val="000000"/>
          <w:sz w:val="20"/>
        </w:rPr>
        <w:t>Software, models and standards content may change during the product's life. The proposed update process should establish what is changing, which units are eligible and what evidence supports deployment. Historical records must retain the versions that produced their results, even after the instrument is updated.</w:t>
      </w:r>
    </w:p>
    <w:p>
      <w:pPr>
        <w:pStyle w:val="Heading3"/>
        <w:keepNext/>
        <w:keepLines/>
        <w:spacing w:before="240" w:after="120" w:line="269" w:lineRule="auto"/>
      </w:pPr>
      <w:r>
        <w:rPr>
          <w:color w:val="000000"/>
        </w:rPr>
        <w:t>Proposed staged deployment</w:t>
      </w:r>
    </w:p>
    <w:p>
      <w:pPr>
        <w:pStyle w:val="Normal"/>
        <w:spacing w:before="0" w:after="50" w:line="250" w:lineRule="auto"/>
        <w:rPr/>
      </w:pPr>
      <w:r>
        <w:rPr>
          <w:rFonts w:ascii="Calibri" w:hAnsi="Calibri"/>
          <w:color w:val="000000"/>
          <w:sz w:val="20"/>
        </w:rPr>
        <w:t>An update should be verified in a controlled environment, then introduced through a defined deployment sequence with monitoring and rollback criteria. Compatibility checks should include hardware, calibration, data schema and interfaces. The update should not interrupt a critical operation without a qualified transition plan.</w:t>
      </w:r>
    </w:p>
    <w:p>
      <w:pPr>
        <w:spacing w:before="0" w:after="50" w:line="250" w:lineRule="auto"/>
      </w:pPr>
      <w:r>
        <w:rPr>
          <w:rFonts w:ascii="Calibri" w:hAnsi="Calibri"/>
          <w:color w:val="000000"/>
          <w:sz w:val="20"/>
        </w:rPr>
        <w:t xml:space="preserve">Update concern: Package integrity</w:t>
      </w:r>
    </w:p>
    <w:p>
      <w:pPr>
        <w:spacing w:before="0" w:after="50" w:line="250" w:lineRule="auto"/>
      </w:pPr>
      <w:r>
        <w:rPr>
          <w:rFonts w:ascii="Calibri" w:hAnsi="Calibri"/>
          <w:color w:val="000000"/>
          <w:sz w:val="20"/>
        </w:rPr>
        <w:t xml:space="preserve">Proposed control: Verify the authorized release and reject altered content.</w:t>
      </w:r>
    </w:p>
    <w:p>
      <w:pPr>
        <w:spacing w:before="0" w:after="50" w:line="250" w:lineRule="auto"/>
      </w:pPr>
      <w:r>
        <w:rPr>
          <w:rFonts w:ascii="Calibri" w:hAnsi="Calibri"/>
          <w:color w:val="000000"/>
          <w:sz w:val="20"/>
        </w:rPr>
        <w:t xml:space="preserve">Update concern: Compatibility</w:t>
      </w:r>
    </w:p>
    <w:p>
      <w:pPr>
        <w:spacing w:before="0" w:after="50" w:line="250" w:lineRule="auto"/>
      </w:pPr>
      <w:r>
        <w:rPr>
          <w:rFonts w:ascii="Calibri" w:hAnsi="Calibri"/>
          <w:color w:val="000000"/>
          <w:sz w:val="20"/>
        </w:rPr>
        <w:t xml:space="preserve">Proposed control: Check required versions and configuration before installation.</w:t>
      </w:r>
    </w:p>
    <w:p>
      <w:pPr>
        <w:spacing w:before="0" w:after="50" w:line="250" w:lineRule="auto"/>
      </w:pPr>
      <w:r>
        <w:rPr>
          <w:rFonts w:ascii="Calibri" w:hAnsi="Calibri"/>
          <w:color w:val="000000"/>
          <w:sz w:val="20"/>
        </w:rPr>
        <w:t xml:space="preserve">Update concern: Incomplete installation</w:t>
      </w:r>
    </w:p>
    <w:p>
      <w:pPr>
        <w:spacing w:before="0" w:after="50" w:line="250" w:lineRule="auto"/>
      </w:pPr>
      <w:r>
        <w:rPr>
          <w:rFonts w:ascii="Calibri" w:hAnsi="Calibri"/>
          <w:color w:val="000000"/>
          <w:sz w:val="20"/>
        </w:rPr>
        <w:t xml:space="preserve">Proposed control: Restore a defined state without corrupting records.</w:t>
      </w:r>
    </w:p>
    <w:p>
      <w:pPr>
        <w:spacing w:before="0" w:after="50" w:line="250" w:lineRule="auto"/>
      </w:pPr>
      <w:r>
        <w:rPr>
          <w:rFonts w:ascii="Calibri" w:hAnsi="Calibri"/>
          <w:color w:val="000000"/>
          <w:sz w:val="20"/>
        </w:rPr>
        <w:t xml:space="preserve">Update concern: Performance regression</w:t>
      </w:r>
    </w:p>
    <w:p>
      <w:pPr>
        <w:spacing w:before="0" w:after="50" w:line="250" w:lineRule="auto"/>
      </w:pPr>
      <w:r>
        <w:rPr>
          <w:rFonts w:ascii="Calibri" w:hAnsi="Calibri"/>
          <w:color w:val="000000"/>
          <w:sz w:val="20"/>
        </w:rPr>
        <w:t xml:space="preserve">Proposed control: Monitor prespecified quality and workflow indicators.</w:t>
      </w:r>
    </w:p>
    <w:p>
      <w:pPr>
        <w:spacing w:before="0" w:after="50" w:line="250" w:lineRule="auto"/>
      </w:pPr>
      <w:r>
        <w:rPr>
          <w:rFonts w:ascii="Calibri" w:hAnsi="Calibri"/>
          <w:color w:val="000000"/>
          <w:sz w:val="20"/>
        </w:rPr>
        <w:t xml:space="preserve">Update concern: Rollback</w:t>
      </w:r>
    </w:p>
    <w:p>
      <w:pPr>
        <w:spacing w:before="0" w:after="50" w:line="250" w:lineRule="auto"/>
      </w:pPr>
      <w:r>
        <w:rPr>
          <w:rFonts w:ascii="Calibri" w:hAnsi="Calibri"/>
          <w:color w:val="000000"/>
          <w:sz w:val="20"/>
        </w:rPr>
        <w:t xml:space="preserve">Proposed control: Preserve data meaning and return to an eligible configuration.</w:t>
      </w:r>
    </w:p>
    <w:p>
      <w:pPr>
        <w:pStyle w:val="Heading3"/>
        <w:keepNext/>
        <w:keepLines/>
        <w:spacing w:before="240" w:after="120" w:line="269" w:lineRule="auto"/>
      </w:pPr>
      <w:r>
        <w:rPr>
          <w:color w:val="000000"/>
        </w:rPr>
        <w:t>A rollback is more than replacing an executable</w:t>
      </w:r>
    </w:p>
    <w:p>
      <w:pPr>
        <w:pStyle w:val="Normal"/>
        <w:spacing w:before="0" w:after="50" w:line="250" w:lineRule="auto"/>
        <w:rPr/>
      </w:pPr>
      <w:r>
        <w:rPr>
          <w:rFonts w:ascii="Calibri" w:hAnsi="Calibri"/>
          <w:color w:val="000000"/>
          <w:sz w:val="20"/>
        </w:rPr>
        <w:t>Database migrations, changed calibration and new result semantics can make reversal difficult. The design should specify which changes are reversible and how records created under a newer version remain interpretable. A rollback must not erase the audit trail of the attempted update.</w:t>
      </w:r>
    </w:p>
    <w:p>
      <w:pPr>
        <w:pStyle w:val="Normal"/>
        <w:spacing w:before="0" w:after="50" w:line="250" w:lineRule="auto"/>
        <w:rPr/>
      </w:pPr>
      <w:r>
        <w:rPr>
          <w:rFonts w:ascii="Calibri" w:hAnsi="Calibri"/>
          <w:color w:val="000000"/>
          <w:sz w:val="20"/>
        </w:rPr>
        <w:t>Fleet monitoring should identify affected configurations and sites without collecting unnecessary patient information. If a defect can affect prior results, the quality process should assess the scope and appropriate communication. The proposed system should support that investigation through version lineage, rather than relying on users to remember when their instrument changed.</w:t>
      </w:r>
    </w:p>
    <w:p>
      <w:pPr>
        <w:pStyle w:val="Heading3"/>
        <w:keepNext/>
        <w:keepLines/>
        <w:spacing w:before="240" w:after="120" w:line="269" w:lineRule="auto"/>
      </w:pPr>
      <w:r>
        <w:rPr>
          <w:color w:val="000000"/>
        </w:rPr>
        <w:t>Custom electronics strategy</w:t>
      </w:r>
    </w:p>
    <w:p>
      <w:pPr>
        <w:pStyle w:val="Normal"/>
        <w:keepNext/>
        <w:spacing w:before="0" w:after="50" w:line="250" w:lineRule="auto"/>
        <w:rPr/>
      </w:pPr>
      <w:r>
        <w:rPr>
          <w:rFonts w:ascii="Calibri" w:hAnsi="Calibri"/>
          <w:b/>
          <w:color w:val="000000"/>
          <w:sz w:val="20"/>
        </w:rPr>
        <w:t>Custom electronics should follow stable measurement requirements</w:t>
      </w:r>
    </w:p>
    <w:p>
      <w:pPr>
        <w:pStyle w:val="Normal"/>
        <w:spacing w:before="0" w:after="50" w:line="250" w:lineRule="auto"/>
        <w:rPr/>
      </w:pPr>
      <w:r>
        <w:rPr>
          <w:rFonts w:ascii="Calibri" w:hAnsi="Calibri"/>
          <w:color w:val="000000"/>
          <w:sz w:val="20"/>
        </w:rPr>
        <w:t>Vertical integration can improve power efficiency, signal quality, assembly consistency or serviceability when the product's requirements are sufficiently understood. The proposed strategy begins with modular, available components for learning and moves toward custom boards where measured benefits justify the engineering and qualification burden.</w:t>
      </w:r>
    </w:p>
    <w:p>
      <w:pPr>
        <w:pStyle w:val="Heading3"/>
        <w:keepNext/>
        <w:keepLines/>
        <w:spacing w:before="240" w:after="120" w:line="269" w:lineRule="auto"/>
      </w:pPr>
      <w:r>
        <w:rPr>
          <w:color w:val="000000"/>
        </w:rPr>
        <w:t>Candidate integration stages</w:t>
      </w:r>
    </w:p>
    <w:p>
      <w:pPr>
        <w:pStyle w:val="Normal"/>
        <w:spacing w:before="0" w:after="50" w:line="250" w:lineRule="auto"/>
        <w:rPr/>
      </w:pPr>
      <w:r>
        <w:rPr>
          <w:rFonts w:ascii="Calibri" w:hAnsi="Calibri"/>
          <w:color w:val="000000"/>
          <w:sz w:val="20"/>
        </w:rPr>
        <w:t>An early custom board might organize power, illumination control and sensor interfaces while retaining a replaceable compute module. Later revisions could integrate acquisition or specialized processing. The sequence should follow bottlenecks demonstrated in the actual workload.</w:t>
      </w:r>
    </w:p>
    <w:p>
      <w:pPr>
        <w:spacing w:before="0" w:after="50" w:line="250" w:lineRule="auto"/>
      </w:pPr>
      <w:r>
        <w:rPr>
          <w:rFonts w:ascii="Calibri" w:hAnsi="Calibri"/>
          <w:color w:val="000000"/>
          <w:sz w:val="20"/>
        </w:rPr>
        <w:t xml:space="preserve">Integration decision: Combine interfaces</w:t>
      </w:r>
    </w:p>
    <w:p>
      <w:pPr>
        <w:spacing w:before="0" w:after="50" w:line="250" w:lineRule="auto"/>
      </w:pPr>
      <w:r>
        <w:rPr>
          <w:rFonts w:ascii="Calibri" w:hAnsi="Calibri"/>
          <w:color w:val="000000"/>
          <w:sz w:val="20"/>
        </w:rPr>
        <w:t xml:space="preserve">Evidence needed: Reduced wiring or improved reliability without unacceptable coupling.</w:t>
      </w:r>
    </w:p>
    <w:p>
      <w:pPr>
        <w:spacing w:before="0" w:after="50" w:line="250" w:lineRule="auto"/>
      </w:pPr>
      <w:r>
        <w:rPr>
          <w:rFonts w:ascii="Calibri" w:hAnsi="Calibri"/>
          <w:color w:val="000000"/>
          <w:sz w:val="20"/>
        </w:rPr>
        <w:t xml:space="preserve">Integration decision: Customize power</w:t>
      </w:r>
    </w:p>
    <w:p>
      <w:pPr>
        <w:spacing w:before="0" w:after="50" w:line="250" w:lineRule="auto"/>
      </w:pPr>
      <w:r>
        <w:rPr>
          <w:rFonts w:ascii="Calibri" w:hAnsi="Calibri"/>
          <w:color w:val="000000"/>
          <w:sz w:val="20"/>
        </w:rPr>
        <w:t xml:space="preserve">Evidence needed: Measured efficiency, stability and protection benefits.</w:t>
      </w:r>
    </w:p>
    <w:p>
      <w:pPr>
        <w:spacing w:before="0" w:after="50" w:line="250" w:lineRule="auto"/>
      </w:pPr>
      <w:r>
        <w:rPr>
          <w:rFonts w:ascii="Calibri" w:hAnsi="Calibri"/>
          <w:color w:val="000000"/>
          <w:sz w:val="20"/>
        </w:rPr>
        <w:t xml:space="preserve">Integration decision: Integrate acquisition</w:t>
      </w:r>
    </w:p>
    <w:p>
      <w:pPr>
        <w:spacing w:before="0" w:after="50" w:line="250" w:lineRule="auto"/>
      </w:pPr>
      <w:r>
        <w:rPr>
          <w:rFonts w:ascii="Calibri" w:hAnsi="Calibri"/>
          <w:color w:val="000000"/>
          <w:sz w:val="20"/>
        </w:rPr>
        <w:t xml:space="preserve">Evidence needed: Timing or signal-quality improvement for the defined measurement.</w:t>
      </w:r>
    </w:p>
    <w:p>
      <w:pPr>
        <w:spacing w:before="0" w:after="50" w:line="250" w:lineRule="auto"/>
      </w:pPr>
      <w:r>
        <w:rPr>
          <w:rFonts w:ascii="Calibri" w:hAnsi="Calibri"/>
          <w:color w:val="000000"/>
          <w:sz w:val="20"/>
        </w:rPr>
        <w:t xml:space="preserve">Integration decision: Reduce component count</w:t>
      </w:r>
    </w:p>
    <w:p>
      <w:pPr>
        <w:spacing w:before="0" w:after="50" w:line="250" w:lineRule="auto"/>
      </w:pPr>
      <w:r>
        <w:rPr>
          <w:rFonts w:ascii="Calibri" w:hAnsi="Calibri"/>
          <w:color w:val="000000"/>
          <w:sz w:val="20"/>
        </w:rPr>
        <w:t xml:space="preserve">Evidence needed: Reproducible assembly and maintainable service path.</w:t>
      </w:r>
    </w:p>
    <w:p>
      <w:pPr>
        <w:spacing w:before="0" w:after="50" w:line="250" w:lineRule="auto"/>
      </w:pPr>
      <w:r>
        <w:rPr>
          <w:rFonts w:ascii="Calibri" w:hAnsi="Calibri"/>
          <w:color w:val="000000"/>
          <w:sz w:val="20"/>
        </w:rPr>
        <w:t xml:space="preserve">Integration decision: Change compute</w:t>
      </w:r>
    </w:p>
    <w:p>
      <w:pPr>
        <w:spacing w:before="0" w:after="50" w:line="250" w:lineRule="auto"/>
      </w:pPr>
      <w:r>
        <w:rPr>
          <w:rFonts w:ascii="Calibri" w:hAnsi="Calibri"/>
          <w:color w:val="000000"/>
          <w:sz w:val="20"/>
        </w:rPr>
        <w:t xml:space="preserve">Evidence needed: Performance per watt, support and validation advantage.</w:t>
      </w:r>
    </w:p>
    <w:p>
      <w:pPr>
        <w:pStyle w:val="Heading3"/>
        <w:keepNext/>
        <w:keepLines/>
        <w:spacing w:before="240" w:after="120" w:line="269" w:lineRule="auto"/>
      </w:pPr>
      <w:r>
        <w:rPr>
          <w:color w:val="000000"/>
        </w:rPr>
        <w:t>Custom does not automatically mean better</w:t>
      </w:r>
    </w:p>
    <w:p>
      <w:pPr>
        <w:pStyle w:val="Normal"/>
        <w:spacing w:before="0" w:after="50" w:line="250" w:lineRule="auto"/>
        <w:rPr/>
      </w:pPr>
      <w:r>
        <w:rPr>
          <w:rFonts w:ascii="Calibri" w:hAnsi="Calibri"/>
          <w:color w:val="000000"/>
          <w:sz w:val="20"/>
        </w:rPr>
        <w:t>Integration can create shared failure modes and make replacement more difficult. It can also increase dependence on a specific supplier or fabrication process. The comparison should include lifecycle support, test access and recovery from component obsolescence.</w:t>
      </w:r>
    </w:p>
    <w:p>
      <w:pPr>
        <w:pStyle w:val="Normal"/>
        <w:spacing w:before="0" w:after="50" w:line="250" w:lineRule="auto"/>
        <w:rPr/>
      </w:pPr>
      <w:r>
        <w:rPr>
          <w:rFonts w:ascii="Calibri" w:hAnsi="Calibri"/>
          <w:color w:val="000000"/>
          <w:sz w:val="20"/>
        </w:rPr>
        <w:t>Each custom revision should retain verification points for critical signals and power domains. Production testing and calibration must be planned alongside circuit design. The long-term objective is an efficient and dependable platform whose custom elements serve demonstrated needs. No custom electronic assembly or manufacturing readiness is claimed as completed merely because this strategy is described.</w:t>
      </w:r>
    </w:p>
    <w:p>
      <w:pPr>
        <w:pStyle w:val="Heading3"/>
        <w:keepNext/>
        <w:keepLines/>
        <w:spacing w:before="240" w:after="120" w:line="269" w:lineRule="auto"/>
      </w:pPr>
      <w:r>
        <w:rPr>
          <w:color w:val="000000"/>
        </w:rPr>
        <w:t>Custom model and silicon strategy</w:t>
      </w:r>
    </w:p>
    <w:p>
      <w:pPr>
        <w:pStyle w:val="Normal"/>
        <w:keepNext/>
        <w:spacing w:before="0" w:after="50" w:line="250" w:lineRule="auto"/>
        <w:rPr/>
      </w:pPr>
      <w:r>
        <w:rPr>
          <w:rFonts w:ascii="Calibri" w:hAnsi="Calibri"/>
          <w:b/>
          <w:color w:val="000000"/>
          <w:sz w:val="20"/>
        </w:rPr>
        <w:t>Custom models and eventual silicon require different maturity gates</w:t>
      </w:r>
    </w:p>
    <w:p>
      <w:pPr>
        <w:pStyle w:val="Normal"/>
        <w:spacing w:before="0" w:after="50" w:line="250" w:lineRule="auto"/>
        <w:rPr/>
      </w:pPr>
      <w:r>
        <w:rPr>
          <w:rFonts w:ascii="Calibri" w:hAnsi="Calibri"/>
          <w:color w:val="000000"/>
          <w:sz w:val="20"/>
        </w:rPr>
        <w:t>AMReye.AI intends to develop task-specific models and may eventually investigate specialized silicon for efficient inference or acquisition. Custom model development can begin while hardware remains modular. Custom silicon requires a much more stable workload, interface and support strategy because its physical implementation is harder to revise.</w:t>
      </w:r>
    </w:p>
    <w:p>
      <w:pPr>
        <w:pStyle w:val="Heading3"/>
        <w:keepNext/>
        <w:keepLines/>
        <w:spacing w:before="240" w:after="120" w:line="269" w:lineRule="auto"/>
      </w:pPr>
      <w:r>
        <w:rPr>
          <w:color w:val="000000"/>
        </w:rPr>
        <w:t>Establish the workload before specializing it</w:t>
      </w:r>
    </w:p>
    <w:p>
      <w:pPr>
        <w:pStyle w:val="Normal"/>
        <w:spacing w:before="0" w:after="50" w:line="250" w:lineRule="auto"/>
        <w:rPr/>
      </w:pPr>
      <w:r>
        <w:rPr>
          <w:rFonts w:ascii="Calibri" w:hAnsi="Calibri"/>
          <w:color w:val="000000"/>
          <w:sz w:val="20"/>
        </w:rPr>
        <w:t>The programme should measure inference latency, memory use, energy, accuracy and uncertainty on representative tasks. Model compression or acceleration must preserve the behavior required by the validated workflow. A smaller model that changes abstention or rare-error behavior needs appropriate reassessment.</w:t>
      </w:r>
    </w:p>
    <w:p>
      <w:pPr>
        <w:spacing w:before="0" w:after="50" w:line="250" w:lineRule="auto"/>
      </w:pPr>
      <w:r>
        <w:rPr>
          <w:rFonts w:ascii="Calibri" w:hAnsi="Calibri"/>
          <w:color w:val="000000"/>
          <w:sz w:val="20"/>
        </w:rPr>
        <w:t xml:space="preserve">Stage: Custom software models</w:t>
      </w:r>
    </w:p>
    <w:p>
      <w:pPr>
        <w:spacing w:before="0" w:after="50" w:line="250" w:lineRule="auto"/>
      </w:pPr>
      <w:r>
        <w:rPr>
          <w:rFonts w:ascii="Calibri" w:hAnsi="Calibri"/>
          <w:color w:val="000000"/>
          <w:sz w:val="20"/>
        </w:rPr>
        <w:t xml:space="preserve">Proposed exit evidence: Independent task performance and reproducible training.</w:t>
      </w:r>
    </w:p>
    <w:p>
      <w:pPr>
        <w:spacing w:before="0" w:after="50" w:line="250" w:lineRule="auto"/>
      </w:pPr>
      <w:r>
        <w:rPr>
          <w:rFonts w:ascii="Calibri" w:hAnsi="Calibri"/>
          <w:color w:val="000000"/>
          <w:sz w:val="20"/>
        </w:rPr>
        <w:t xml:space="preserve">Stage: Software optimization</w:t>
      </w:r>
    </w:p>
    <w:p>
      <w:pPr>
        <w:spacing w:before="0" w:after="50" w:line="250" w:lineRule="auto"/>
      </w:pPr>
      <w:r>
        <w:rPr>
          <w:rFonts w:ascii="Calibri" w:hAnsi="Calibri"/>
          <w:color w:val="000000"/>
          <w:sz w:val="20"/>
        </w:rPr>
        <w:t xml:space="preserve">Proposed exit evidence: Measured efficiency without unacceptable functional change.</w:t>
      </w:r>
    </w:p>
    <w:p>
      <w:pPr>
        <w:spacing w:before="0" w:after="50" w:line="250" w:lineRule="auto"/>
      </w:pPr>
      <w:r>
        <w:rPr>
          <w:rFonts w:ascii="Calibri" w:hAnsi="Calibri"/>
          <w:color w:val="000000"/>
          <w:sz w:val="20"/>
        </w:rPr>
        <w:t xml:space="preserve">Stage: Programmable acceleration</w:t>
      </w:r>
    </w:p>
    <w:p>
      <w:pPr>
        <w:spacing w:before="0" w:after="50" w:line="250" w:lineRule="auto"/>
      </w:pPr>
      <w:r>
        <w:rPr>
          <w:rFonts w:ascii="Calibri" w:hAnsi="Calibri"/>
          <w:color w:val="000000"/>
          <w:sz w:val="20"/>
        </w:rPr>
        <w:t xml:space="preserve">Proposed exit evidence: Stable workload and qualified numerical behavior.</w:t>
      </w:r>
    </w:p>
    <w:p>
      <w:pPr>
        <w:spacing w:before="0" w:after="50" w:line="250" w:lineRule="auto"/>
      </w:pPr>
      <w:r>
        <w:rPr>
          <w:rFonts w:ascii="Calibri" w:hAnsi="Calibri"/>
          <w:color w:val="000000"/>
          <w:sz w:val="20"/>
        </w:rPr>
        <w:t xml:space="preserve">Stage: Specialized electronics</w:t>
      </w:r>
    </w:p>
    <w:p>
      <w:pPr>
        <w:spacing w:before="0" w:after="50" w:line="250" w:lineRule="auto"/>
      </w:pPr>
      <w:r>
        <w:rPr>
          <w:rFonts w:ascii="Calibri" w:hAnsi="Calibri"/>
          <w:color w:val="000000"/>
          <w:sz w:val="20"/>
        </w:rPr>
        <w:t xml:space="preserve">Proposed exit evidence: System-level benefit and maintainable interfaces.</w:t>
      </w:r>
    </w:p>
    <w:p>
      <w:pPr>
        <w:spacing w:before="0" w:after="50" w:line="250" w:lineRule="auto"/>
      </w:pPr>
      <w:r>
        <w:rPr>
          <w:rFonts w:ascii="Calibri" w:hAnsi="Calibri"/>
          <w:color w:val="000000"/>
          <w:sz w:val="20"/>
        </w:rPr>
        <w:t xml:space="preserve">Stage: Custom silicon research</w:t>
      </w:r>
    </w:p>
    <w:p>
      <w:pPr>
        <w:spacing w:before="0" w:after="50" w:line="250" w:lineRule="auto"/>
      </w:pPr>
      <w:r>
        <w:rPr>
          <w:rFonts w:ascii="Calibri" w:hAnsi="Calibri"/>
          <w:color w:val="000000"/>
          <w:sz w:val="20"/>
        </w:rPr>
        <w:t xml:space="preserve">Proposed exit evidence: Justified scale, stable requirements and verification capability.</w:t>
      </w:r>
    </w:p>
    <w:p>
      <w:pPr>
        <w:pStyle w:val="Heading3"/>
        <w:keepNext/>
        <w:keepLines/>
        <w:spacing w:before="240" w:after="120" w:line="269" w:lineRule="auto"/>
      </w:pPr>
      <w:r>
        <w:rPr>
          <w:color w:val="000000"/>
        </w:rPr>
        <w:t>Preserve an update and service path</w:t>
      </w:r>
    </w:p>
    <w:p>
      <w:pPr>
        <w:pStyle w:val="Normal"/>
        <w:spacing w:before="0" w:after="50" w:line="250" w:lineRule="auto"/>
        <w:rPr/>
      </w:pPr>
      <w:r>
        <w:rPr>
          <w:rFonts w:ascii="Calibri" w:hAnsi="Calibri"/>
          <w:color w:val="000000"/>
          <w:sz w:val="20"/>
        </w:rPr>
        <w:t>Clinical knowledge, standards and model requirements evolve. A specialized design should keep appropriate functions updateable and avoid hard-coding assumptions that are likely to change. Standards interpretation, in particular, should remain independently versioned rather than embedded as an immutable hardware truth.</w:t>
      </w:r>
    </w:p>
    <w:p>
      <w:pPr>
        <w:pStyle w:val="Normal"/>
        <w:spacing w:before="0" w:after="50" w:line="250" w:lineRule="auto"/>
        <w:rPr/>
      </w:pPr>
      <w:r>
        <w:rPr>
          <w:rFonts w:ascii="Calibri" w:hAnsi="Calibri"/>
          <w:color w:val="000000"/>
          <w:sz w:val="20"/>
        </w:rPr>
        <w:t>The ambition for deep customization is a staged strategy, not a claim that every chip is currently designed in-house. Selection should follow measured performance, power, quality, availability and lifecycle needs. The newest commercial component is not automatically the best choice, and a custom component is not automatically the most efficient solution for a still-changing research workload.</w:t>
      </w:r>
    </w:p>
    <w:p>
      <w:pPr>
        <w:pStyle w:val="Heading3"/>
        <w:keepNext/>
        <w:keepLines/>
        <w:spacing w:before="240" w:after="120" w:line="269" w:lineRule="auto"/>
      </w:pPr>
      <w:r>
        <w:rPr>
          <w:color w:val="000000"/>
        </w:rPr>
        <w:t>Partnerships and technology transfer</w:t>
      </w:r>
    </w:p>
    <w:p>
      <w:pPr>
        <w:pStyle w:val="Normal"/>
        <w:keepNext/>
        <w:spacing w:before="0" w:after="50" w:line="250" w:lineRule="auto"/>
        <w:rPr/>
      </w:pPr>
      <w:r>
        <w:rPr>
          <w:rFonts w:ascii="Calibri" w:hAnsi="Calibri"/>
          <w:b/>
          <w:color w:val="000000"/>
          <w:sz w:val="20"/>
        </w:rPr>
        <w:t>Partnerships should define contributions and evidence ownership</w:t>
      </w:r>
    </w:p>
    <w:p>
      <w:pPr>
        <w:pStyle w:val="Normal"/>
        <w:spacing w:before="0" w:after="50" w:line="250" w:lineRule="auto"/>
        <w:rPr/>
      </w:pPr>
      <w:r>
        <w:rPr>
          <w:rFonts w:ascii="Calibri" w:hAnsi="Calibri"/>
          <w:color w:val="000000"/>
          <w:sz w:val="20"/>
        </w:rPr>
        <w:t>The proposed platform can benefit from laboratory, engineering, manufacturing and research partnerships. Each partnership should identify the problem being addressed, the work each party performs and the outputs each receives. A broad expression of interest should not be represented as a secured collaboration or completed validation.</w:t>
      </w:r>
    </w:p>
    <w:p>
      <w:pPr>
        <w:pStyle w:val="Heading3"/>
        <w:keepNext/>
        <w:keepLines/>
        <w:spacing w:before="240" w:after="120" w:line="269" w:lineRule="auto"/>
      </w:pPr>
      <w:r>
        <w:rPr>
          <w:color w:val="000000"/>
        </w:rPr>
        <w:t>Proposed collaboration structure</w:t>
      </w:r>
    </w:p>
    <w:p>
      <w:pPr>
        <w:pStyle w:val="Normal"/>
        <w:spacing w:before="0" w:after="50" w:line="250" w:lineRule="auto"/>
        <w:rPr/>
      </w:pPr>
      <w:r>
        <w:rPr>
          <w:rFonts w:ascii="Calibri" w:hAnsi="Calibri"/>
          <w:color w:val="000000"/>
          <w:sz w:val="20"/>
        </w:rPr>
        <w:t>A laboratory partner may contribute workflow expertise and authorized evaluation material. An engineering partner may support optics, electronics or manufacturing. A research partner may develop methods or independent analysis. These contributions need compatible quality, data and intellectual-property arrangements.</w:t>
      </w:r>
    </w:p>
    <w:p>
      <w:pPr>
        <w:spacing w:before="0" w:after="50" w:line="250" w:lineRule="auto"/>
      </w:pPr>
      <w:r>
        <w:rPr>
          <w:rFonts w:ascii="Calibri" w:hAnsi="Calibri"/>
          <w:color w:val="000000"/>
          <w:sz w:val="20"/>
        </w:rPr>
        <w:t xml:space="preserve">Partnership element: Scope</w:t>
      </w:r>
    </w:p>
    <w:p>
      <w:pPr>
        <w:spacing w:before="0" w:after="50" w:line="250" w:lineRule="auto"/>
      </w:pPr>
      <w:r>
        <w:rPr>
          <w:rFonts w:ascii="Calibri" w:hAnsi="Calibri"/>
          <w:color w:val="000000"/>
          <w:sz w:val="20"/>
        </w:rPr>
        <w:t xml:space="preserve">Required agreement: Specific function, study or service to be delivered.</w:t>
      </w:r>
    </w:p>
    <w:p>
      <w:pPr>
        <w:spacing w:before="0" w:after="50" w:line="250" w:lineRule="auto"/>
      </w:pPr>
      <w:r>
        <w:rPr>
          <w:rFonts w:ascii="Calibri" w:hAnsi="Calibri"/>
          <w:color w:val="000000"/>
          <w:sz w:val="20"/>
        </w:rPr>
        <w:t xml:space="preserve">Partnership element: Responsibilities</w:t>
      </w:r>
    </w:p>
    <w:p>
      <w:pPr>
        <w:spacing w:before="0" w:after="50" w:line="250" w:lineRule="auto"/>
      </w:pPr>
      <w:r>
        <w:rPr>
          <w:rFonts w:ascii="Calibri" w:hAnsi="Calibri"/>
          <w:color w:val="000000"/>
          <w:sz w:val="20"/>
        </w:rPr>
        <w:t xml:space="preserve">Required agreement: Technical, clinical, statistical and governance roles.</w:t>
      </w:r>
    </w:p>
    <w:p>
      <w:pPr>
        <w:spacing w:before="0" w:after="50" w:line="250" w:lineRule="auto"/>
      </w:pPr>
      <w:r>
        <w:rPr>
          <w:rFonts w:ascii="Calibri" w:hAnsi="Calibri"/>
          <w:color w:val="000000"/>
          <w:sz w:val="20"/>
        </w:rPr>
        <w:t xml:space="preserve">Partnership element: Data</w:t>
      </w:r>
    </w:p>
    <w:p>
      <w:pPr>
        <w:spacing w:before="0" w:after="50" w:line="250" w:lineRule="auto"/>
      </w:pPr>
      <w:r>
        <w:rPr>
          <w:rFonts w:ascii="Calibri" w:hAnsi="Calibri"/>
          <w:color w:val="000000"/>
          <w:sz w:val="20"/>
        </w:rPr>
        <w:t xml:space="preserve">Required agreement: Access, permitted use, retention and publication conditions.</w:t>
      </w:r>
    </w:p>
    <w:p>
      <w:pPr>
        <w:spacing w:before="0" w:after="50" w:line="250" w:lineRule="auto"/>
      </w:pPr>
      <w:r>
        <w:rPr>
          <w:rFonts w:ascii="Calibri" w:hAnsi="Calibri"/>
          <w:color w:val="000000"/>
          <w:sz w:val="20"/>
        </w:rPr>
        <w:t xml:space="preserve">Partnership element: Intellectual property</w:t>
      </w:r>
    </w:p>
    <w:p>
      <w:pPr>
        <w:spacing w:before="0" w:after="50" w:line="250" w:lineRule="auto"/>
      </w:pPr>
      <w:r>
        <w:rPr>
          <w:rFonts w:ascii="Calibri" w:hAnsi="Calibri"/>
          <w:color w:val="000000"/>
          <w:sz w:val="20"/>
        </w:rPr>
        <w:t xml:space="preserve">Required agreement: Background rights and treatment of new developments.</w:t>
      </w:r>
    </w:p>
    <w:p>
      <w:pPr>
        <w:spacing w:before="0" w:after="50" w:line="250" w:lineRule="auto"/>
      </w:pPr>
      <w:r>
        <w:rPr>
          <w:rFonts w:ascii="Calibri" w:hAnsi="Calibri"/>
          <w:color w:val="000000"/>
          <w:sz w:val="20"/>
        </w:rPr>
        <w:t xml:space="preserve">Partnership element: Evidence</w:t>
      </w:r>
    </w:p>
    <w:p>
      <w:pPr>
        <w:spacing w:before="0" w:after="50" w:line="250" w:lineRule="auto"/>
      </w:pPr>
      <w:r>
        <w:rPr>
          <w:rFonts w:ascii="Calibri" w:hAnsi="Calibri"/>
          <w:color w:val="000000"/>
          <w:sz w:val="20"/>
        </w:rPr>
        <w:t xml:space="preserve">Required agreement: Reference methods, review and reporting of unsuccessful findings.</w:t>
      </w:r>
    </w:p>
    <w:p>
      <w:pPr>
        <w:spacing w:before="0" w:after="50" w:line="250" w:lineRule="auto"/>
      </w:pPr>
      <w:r>
        <w:rPr>
          <w:rFonts w:ascii="Calibri" w:hAnsi="Calibri"/>
          <w:color w:val="000000"/>
          <w:sz w:val="20"/>
        </w:rPr>
        <w:t xml:space="preserve">Partnership element: Continuity</w:t>
      </w:r>
    </w:p>
    <w:p>
      <w:pPr>
        <w:spacing w:before="0" w:after="50" w:line="250" w:lineRule="auto"/>
      </w:pPr>
      <w:r>
        <w:rPr>
          <w:rFonts w:ascii="Calibri" w:hAnsi="Calibri"/>
          <w:color w:val="000000"/>
          <w:sz w:val="20"/>
        </w:rPr>
        <w:t xml:space="preserve">Required agreement: Support, termination and access to required records.</w:t>
      </w:r>
    </w:p>
    <w:p>
      <w:pPr>
        <w:pStyle w:val="Heading3"/>
        <w:keepNext/>
        <w:keepLines/>
        <w:spacing w:before="240" w:after="120" w:line="269" w:lineRule="auto"/>
      </w:pPr>
      <w:r>
        <w:rPr>
          <w:color w:val="000000"/>
        </w:rPr>
        <w:t>Technology transfer needs reproducibility</w:t>
      </w:r>
    </w:p>
    <w:p>
      <w:pPr>
        <w:pStyle w:val="Normal"/>
        <w:spacing w:before="0" w:after="50" w:line="250" w:lineRule="auto"/>
        <w:rPr/>
      </w:pPr>
      <w:r>
        <w:rPr>
          <w:rFonts w:ascii="Calibri" w:hAnsi="Calibri"/>
          <w:color w:val="000000"/>
          <w:sz w:val="20"/>
        </w:rPr>
        <w:t>A design or model is transferable when another qualified team can reproduce the relevant function using the supplied specifications, procedures and evidence. Source code or a drawing alone may be insufficient. Calibration, test fixtures, training and quality controls can be equally important.</w:t>
      </w:r>
    </w:p>
    <w:p>
      <w:pPr>
        <w:pStyle w:val="Normal"/>
        <w:spacing w:before="0" w:after="50" w:line="250" w:lineRule="auto"/>
        <w:rPr/>
      </w:pPr>
      <w:r>
        <w:rPr>
          <w:rFonts w:ascii="Calibri" w:hAnsi="Calibri"/>
          <w:color w:val="000000"/>
          <w:sz w:val="20"/>
        </w:rPr>
        <w:t>The programme should assess whether a partner can maintain the intended quality and service responsibilities. Transfer should preserve configuration and evidence lineage so that local changes do not inherit unsupported claims. The product compendium describes the proposed collaboration model; it does not announce any institution, supplier or regulator as an appointed or committed partner.</w:t>
      </w:r>
    </w:p>
    <w:p>
      <w:pPr>
        <w:pStyle w:val="Heading3"/>
        <w:keepNext/>
        <w:keepLines/>
        <w:spacing w:before="240" w:after="120" w:line="269" w:lineRule="auto"/>
      </w:pPr>
      <w:r>
        <w:rPr>
          <w:color w:val="000000"/>
        </w:rPr>
        <w:t>Development decisions and exit criteria</w:t>
      </w:r>
    </w:p>
    <w:p>
      <w:pPr>
        <w:pStyle w:val="Normal"/>
        <w:keepNext/>
        <w:spacing w:before="0" w:after="50" w:line="250" w:lineRule="auto"/>
        <w:rPr/>
      </w:pPr>
      <w:r>
        <w:rPr>
          <w:rFonts w:ascii="Calibri" w:hAnsi="Calibri"/>
          <w:b/>
          <w:color w:val="000000"/>
          <w:sz w:val="20"/>
        </w:rPr>
        <w:t>Exit criteria should decide what the evidence permits next</w:t>
      </w:r>
    </w:p>
    <w:p>
      <w:pPr>
        <w:pStyle w:val="Normal"/>
        <w:spacing w:before="0" w:after="50" w:line="250" w:lineRule="auto"/>
        <w:rPr/>
      </w:pPr>
      <w:r>
        <w:rPr>
          <w:rFonts w:ascii="Calibri" w:hAnsi="Calibri"/>
          <w:color w:val="000000"/>
          <w:sz w:val="20"/>
        </w:rPr>
        <w:t>Development decisions should connect the current evidence to a bounded next step. A successful prototype may justify a more representative evaluation, while a failed assumption may justify redesign or restriction. The decision should state what has been demonstrated and which uncertainties remain material.</w:t>
      </w:r>
    </w:p>
    <w:p>
      <w:pPr>
        <w:spacing w:before="0" w:after="50" w:line="250" w:lineRule="auto"/>
      </w:pPr>
      <w:r>
        <w:rPr>
          <w:rFonts w:ascii="Calibri" w:hAnsi="Calibri"/>
          <w:color w:val="000000"/>
          <w:sz w:val="20"/>
        </w:rPr>
        <w:t xml:space="preserve">Development track: Reader V1</w:t>
      </w:r>
    </w:p>
    <w:p>
      <w:pPr>
        <w:spacing w:before="0" w:after="50" w:line="250" w:lineRule="auto"/>
      </w:pPr>
      <w:r>
        <w:rPr>
          <w:rFonts w:ascii="Calibri" w:hAnsi="Calibri"/>
          <w:color w:val="000000"/>
          <w:sz w:val="20"/>
        </w:rPr>
        <w:t xml:space="preserve">Proposed exit criterion: Complete qualified capture-to-review chain in the defined endpoint domain.</w:t>
      </w:r>
    </w:p>
    <w:p>
      <w:pPr>
        <w:spacing w:before="0" w:after="50" w:line="250" w:lineRule="auto"/>
      </w:pPr>
      <w:r>
        <w:rPr>
          <w:rFonts w:ascii="Calibri" w:hAnsi="Calibri"/>
          <w:color w:val="000000"/>
          <w:sz w:val="20"/>
        </w:rPr>
        <w:t xml:space="preserve">Development track: Advanced sensing</w:t>
      </w:r>
    </w:p>
    <w:p>
      <w:pPr>
        <w:spacing w:before="0" w:after="50" w:line="250" w:lineRule="auto"/>
      </w:pPr>
      <w:r>
        <w:rPr>
          <w:rFonts w:ascii="Calibri" w:hAnsi="Calibri"/>
          <w:color w:val="000000"/>
          <w:sz w:val="20"/>
        </w:rPr>
        <w:t xml:space="preserve">Proposed exit criterion: Added information demonstrated against a strong baseline.</w:t>
      </w:r>
    </w:p>
    <w:p>
      <w:pPr>
        <w:spacing w:before="0" w:after="50" w:line="250" w:lineRule="auto"/>
      </w:pPr>
      <w:r>
        <w:rPr>
          <w:rFonts w:ascii="Calibri" w:hAnsi="Calibri"/>
          <w:color w:val="000000"/>
          <w:sz w:val="20"/>
        </w:rPr>
        <w:t xml:space="preserve">Development track: Automation</w:t>
      </w:r>
    </w:p>
    <w:p>
      <w:pPr>
        <w:spacing w:before="0" w:after="50" w:line="250" w:lineRule="auto"/>
      </w:pPr>
      <w:r>
        <w:rPr>
          <w:rFonts w:ascii="Calibri" w:hAnsi="Calibri"/>
          <w:color w:val="000000"/>
          <w:sz w:val="20"/>
        </w:rPr>
        <w:t xml:space="preserve">Proposed exit criterion: Reliable handling, identity and recovery within a specified workflow.</w:t>
      </w:r>
    </w:p>
    <w:p>
      <w:pPr>
        <w:spacing w:before="0" w:after="50" w:line="250" w:lineRule="auto"/>
      </w:pPr>
      <w:r>
        <w:rPr>
          <w:rFonts w:ascii="Calibri" w:hAnsi="Calibri"/>
          <w:color w:val="000000"/>
          <w:sz w:val="20"/>
        </w:rPr>
        <w:t xml:space="preserve">Development track: Predictive twin</w:t>
      </w:r>
    </w:p>
    <w:p>
      <w:pPr>
        <w:spacing w:before="0" w:after="50" w:line="250" w:lineRule="auto"/>
      </w:pPr>
      <w:r>
        <w:rPr>
          <w:rFonts w:ascii="Calibri" w:hAnsi="Calibri"/>
          <w:color w:val="000000"/>
          <w:sz w:val="20"/>
        </w:rPr>
        <w:t xml:space="preserve">Proposed exit criterion: Independent forecasting evidence with calibrated uncertainty and bounded horizon.</w:t>
      </w:r>
    </w:p>
    <w:p>
      <w:pPr>
        <w:spacing w:before="0" w:after="50" w:line="250" w:lineRule="auto"/>
      </w:pPr>
      <w:r>
        <w:rPr>
          <w:rFonts w:ascii="Calibri" w:hAnsi="Calibri"/>
          <w:color w:val="000000"/>
          <w:sz w:val="20"/>
        </w:rPr>
        <w:t xml:space="preserve">Development track: Data services</w:t>
      </w:r>
    </w:p>
    <w:p>
      <w:pPr>
        <w:spacing w:before="0" w:after="50" w:line="250" w:lineRule="auto"/>
      </w:pPr>
      <w:r>
        <w:rPr>
          <w:rFonts w:ascii="Calibri" w:hAnsi="Calibri"/>
          <w:color w:val="000000"/>
          <w:sz w:val="20"/>
        </w:rPr>
        <w:t xml:space="preserve">Proposed exit criterion: Authorized, reproducible and useful information delivery.</w:t>
      </w:r>
    </w:p>
    <w:p>
      <w:pPr>
        <w:spacing w:before="0" w:after="50" w:line="250" w:lineRule="auto"/>
      </w:pPr>
      <w:r>
        <w:rPr>
          <w:rFonts w:ascii="Calibri" w:hAnsi="Calibri"/>
          <w:color w:val="000000"/>
          <w:sz w:val="20"/>
        </w:rPr>
        <w:t xml:space="preserve">Development track: Vertical integration</w:t>
      </w:r>
    </w:p>
    <w:p>
      <w:pPr>
        <w:spacing w:before="0" w:after="50" w:line="250" w:lineRule="auto"/>
      </w:pPr>
      <w:r>
        <w:rPr>
          <w:rFonts w:ascii="Calibri" w:hAnsi="Calibri"/>
          <w:color w:val="000000"/>
          <w:sz w:val="20"/>
        </w:rPr>
        <w:t xml:space="preserve">Proposed exit criterion: Measured system benefit with production and service feasibility.</w:t>
      </w:r>
    </w:p>
    <w:p>
      <w:pPr>
        <w:pStyle w:val="Heading3"/>
        <w:keepNext/>
        <w:keepLines/>
        <w:spacing w:before="240" w:after="120" w:line="269" w:lineRule="auto"/>
      </w:pPr>
      <w:r>
        <w:rPr>
          <w:color w:val="000000"/>
        </w:rPr>
        <w:t>Decide on evidence rather than accumulated features</w:t>
      </w:r>
    </w:p>
    <w:p>
      <w:pPr>
        <w:pStyle w:val="Normal"/>
        <w:spacing w:before="0" w:after="50" w:line="250" w:lineRule="auto"/>
        <w:rPr/>
      </w:pPr>
      <w:r>
        <w:rPr>
          <w:rFonts w:ascii="Calibri" w:hAnsi="Calibri"/>
          <w:color w:val="000000"/>
          <w:sz w:val="20"/>
        </w:rPr>
        <w:t>A larger sensor catalogue, more AI functions or a more elaborate enclosure does not establish a better product. The relevant question is whether each addition improves the defined measurement, workflow or research capability enough to justify its complexity and risk.</w:t>
      </w:r>
    </w:p>
    <w:p>
      <w:pPr>
        <w:pStyle w:val="Normal"/>
        <w:spacing w:before="0" w:after="50" w:line="250" w:lineRule="auto"/>
        <w:rPr/>
      </w:pPr>
      <w:r>
        <w:rPr>
          <w:rFonts w:ascii="Calibri" w:hAnsi="Calibri"/>
          <w:color w:val="000000"/>
          <w:sz w:val="20"/>
        </w:rPr>
        <w:t>The programme should maintain alternative paths where major uncertainties remain. For example, an imaging-only reader can progress while a gas-sensing hypothesis is tested separately. Failure of an exploratory modality should not invalidate a qualified function that does not depend on it.</w:t>
      </w:r>
    </w:p>
    <w:p>
      <w:pPr>
        <w:pStyle w:val="Normal"/>
        <w:spacing w:before="0" w:after="50" w:line="250" w:lineRule="auto"/>
        <w:rPr/>
      </w:pPr>
      <w:r>
        <w:rPr>
          <w:rFonts w:ascii="Calibri" w:hAnsi="Calibri"/>
          <w:color w:val="000000"/>
          <w:sz w:val="20"/>
        </w:rPr>
        <w:t>The long-term AMReye.AI vision combines instruments, software, data and services around traceable observation. Its execution should produce evidence that partners can inspect and users can rely on. Each released capability should carry a clear scope, support model and maturity statement, while future research remains visible as an opportunity requiring its own proof.</w:t>
      </w:r>
    </w:p>
    <w:p>
      <w:pPr>
        <w:pStyle w:val="Heading2"/>
        <w:keepNext/>
        <w:keepLines/>
      </w:pPr>
      <w:r>
        <w:rPr>
          <w:color w:val="000000"/>
        </w:rPr>
        <w:t>Reader V1 development priorities</w:t>
      </w:r>
    </w:p>
    <w:p>
      <w:pPr>
        <w:pStyle w:val="Heading3"/>
        <w:keepNext/>
        <w:keepLines/>
        <w:spacing w:before="240" w:after="120" w:line="269" w:lineRule="auto"/>
      </w:pPr>
      <w:r>
        <w:rPr>
          <w:color w:val="000000"/>
        </w:rPr>
        <w:t>Product sequencing: endpoint Reader V1 before integrated/rapid claims</w:t>
      </w:r>
    </w:p>
    <w:p>
      <w:pPr>
        <w:pStyle w:val="Normal"/>
        <w:spacing w:before="0" w:after="50" w:line="250" w:lineRule="auto"/>
        <w:rPr/>
      </w:pPr>
      <w:r>
        <w:rPr>
          <w:rFonts w:ascii="Calibri" w:hAnsi="Calibri"/>
          <w:color w:val="000000"/>
          <w:sz w:val="20"/>
        </w:rPr>
        <w:t>Working development scope: digitize endpoint disk-diffusion measurement and its reviewable evidence chain. Keep routine endpoint reading, rapid AST and exploratory multi-sensor inference as separate development/validation tracks. Reader V1 can operate with an existing qualified laboratory incubator and controlled capture station. This reduces simultaneous engineering variables; it does not establish that the reader has already been built or validated. Integrated Bio-Vault incubation, plate handling and in-situ capture require their own qualification. VOC species inference, fine ToF colony topography, biomass inference, exact MIC prediction and pheno-to-geno remain research backlog, not Reader V1 dependencies.</w:t>
      </w:r>
    </w:p>
    <w:p>
      <w:pPr>
        <w:pStyle w:val="Normal"/>
        <w:spacing w:before="0" w:after="50" w:line="250" w:lineRule="auto"/>
        <w:rPr/>
      </w:pPr>
      <w:r>
        <w:rPr>
          <w:rFonts w:ascii="Calibri" w:hAnsi="Calibri"/>
          <w:color w:val="000000"/>
          <w:sz w:val="20"/>
        </w:rPr>
        <w:t>Acceptance boundary: a reproducible research workflow from original image to measured diameter, applicable standards record, QC state, reviewer action and export. Synthetic demonstrations must be labelled synthetic and must not be pooled with experimental validation data. The disclaimer remains “Research / Prototype Demonstration ;  Not for Clinical Use.”</w:t>
      </w:r>
    </w:p>
    <w:p>
      <w:pPr>
        <w:pStyle w:val="Heading3"/>
        <w:keepNext/>
        <w:keepLines/>
        <w:spacing w:before="240" w:after="120" w:line="269" w:lineRule="auto"/>
      </w:pPr>
      <w:r>
        <w:rPr>
          <w:color w:val="000000"/>
        </w:rPr>
        <w:t>Metrology and algorithm development</w:t>
      </w:r>
    </w:p>
    <w:p>
      <w:pPr>
        <w:pStyle w:val="Normal"/>
        <w:spacing w:before="0" w:after="50" w:line="250" w:lineRule="auto"/>
        <w:rPr/>
      </w:pPr>
      <w:r>
        <w:rPr>
          <w:rFonts w:ascii="Calibri" w:hAnsi="Calibri"/>
          <w:color w:val="000000"/>
          <w:sz w:val="20"/>
        </w:rPr>
        <w:t>Design the measurement budget before selecting premium optics or compute. Use a traceable dimensional calibration target/fiducial, characterize distortion across the field, working distance/height variation, lighting and camera settings, drift, repeatability and device/operator/day reproducibility. A nominal antibiotic-disk diameter is a secondary sanity check, not the sole traceable calibration standard. Quantify error in millimetres and show performance near interpretive boundaries; do not substitute sensor pixel count, model confidence or sub-micron marketing language for measured uncertainty.</w:t>
      </w:r>
    </w:p>
    <w:p>
      <w:pPr>
        <w:pStyle w:val="Normal"/>
        <w:spacing w:before="0" w:after="50" w:line="250" w:lineRule="auto"/>
        <w:rPr/>
      </w:pPr>
      <w:r>
        <w:rPr>
          <w:rFonts w:ascii="Calibri" w:hAnsi="Calibri"/>
          <w:color w:val="000000"/>
          <w:sz w:val="20"/>
        </w:rPr>
        <w:t>Implement and benchmark a transparent classical computer-vision baseline alongside any learned segmentation model. Learned detection/segmentation should be retained only where it adds measured value on pre-defined hard cases such as fuzzy or irregular boundaries, glare, overlap or unusual growth; model sophistication alone is not a design requirement. External feasibility evidence supports keeping the baseline computationally modest: Pascucci et al., Nature Communications 2021, DOI 10.1038/s41467-021-21187-3, demonstrated a fully offline smartphone disk-diffusion reader with automated image analysis and an embedded expert system, reporting 90% susceptibility-category agreement versus a hospital automatic system and 98% versus manual measurement under that study's conditions. Nguyen et al., Journal of Infection in Developing Countries 2025, DOI 10.3855/jidc.21108, evaluated a PWA using Faster R-CNN/MobileNet plus human-in-the-loop correction for disk-diffusion image analysis. A further 2026 routine-laboratory comparator, Orlandi Barth et al., PLOS ONE, DOI 10.1371/journal.pone.0347932 (PMID 42102111), evaluated the AntibiHórus automated disk-diffusion reader on 500 ASTs / 4,709 zone measurements across 22 antimicrobial disks and reported 96.86% categorical agreement, 2.08% VME, 0.30% ME and 0.76% minor error versus manual ruler reading. This strengthens the case for evaluating simpler, inspectable image-processing baselines alongside deep models. Treat these external studies as feasibility/architecture comparators only: their datasets, endpoints and workflows do not establish AMReye accuracy or justify a specific model family.  Record raw and corrected boundaries separately. Disagreement between methods or low image/readability quality should trigger review, recapture or no result. Profile latency, memory, thermal load and power on the actual candidate hardware before committing to Jetson-class compute or cloud dependence. Current low-cost edge candidates for benchmarking include Raspberry Pi 5 CPU-only and the official AI HAT+ family (Hailo-8L 13 TOPS or Hailo-8 26 TOPS), which support local hardware-accelerated vision inference in the Raspberry Pi camera/software stack. Add the 2026 Raspberry Pi AI HAT+ 2 (Hailo-10H with dedicated memory) to the benchmark register only where a justified local VLM/LLM or other GenAI workload exists: Raspberry Pi states that its conventional computer-vision performance is broadly comparable with the existing 26-TOPS AI HAT+, so the higher headline TOPS figure alone is not a reason to select it for endpoint Reader V1. Raspberry Pi lists AI HAT+ production through at least January 2030. Benchmark these against CPU-only Pi, a serviceable low-power x86 reference and Jetson Orin options using the actual AMReye models, image sizes, latency, RAM, thermals, power, boot/recovery, offline operation, deployment/toolchain burden, maintainability and lifecycle needs. NVIDIA’s published Jetson lifecycle currently lists Orin NX commercial modules through January 2032; treat that as one lifecycle input, not a hardware-selection decision. Official references: </w:t>
      </w:r>
      <w:hyperlink r:id="rId14">
        <w:r>
          <w:rPr>
            <w:rFonts w:ascii="Calibri" w:hAnsi="Calibri"/>
            <w:color w:val="000000"/>
            <w:sz w:val="22"/>
          </w:rPr>
          <w:t>https://www.raspberrypi.com/documentation/accessories/ai-hat-plus.html</w:t>
        </w:r>
      </w:hyperlink>
      <w:r>
        <w:rPr>
          <w:rFonts w:ascii="Calibri" w:hAnsi="Calibri"/>
          <w:color w:val="000000"/>
          <w:sz w:val="20"/>
        </w:rPr>
        <w:t> ; </w:t>
      </w:r>
      <w:hyperlink r:id="rId15">
        <w:r>
          <w:rPr>
            <w:rFonts w:ascii="Calibri" w:hAnsi="Calibri"/>
            <w:color w:val="000000"/>
            <w:sz w:val="22"/>
          </w:rPr>
          <w:t>https://www.raspberrypi.com/news/introducing-the-raspberry-pi-ai-hat-plus-2-generative-ai-on-raspberry-pi-5/</w:t>
        </w:r>
      </w:hyperlink>
      <w:r>
        <w:rPr>
          <w:rFonts w:ascii="Calibri" w:hAnsi="Calibri"/>
          <w:color w:val="000000"/>
          <w:sz w:val="20"/>
        </w:rPr>
        <w:t> ; </w:t>
      </w:r>
      <w:hyperlink r:id="rId16">
        <w:r>
          <w:rPr>
            <w:rFonts w:ascii="Calibri" w:hAnsi="Calibri"/>
            <w:color w:val="000000"/>
            <w:sz w:val="22"/>
          </w:rPr>
          <w:t>https://developer.nvidia.com/embedded/lifecycle</w:t>
        </w:r>
      </w:hyperlink>
      <w:r>
        <w:rPr>
          <w:rFonts w:ascii="Calibri" w:hAnsi="Calibri"/>
          <w:color w:val="000000"/>
          <w:sz w:val="20"/>
        </w:rPr>
        <w:t> Safety-critical firmware and interlocks must remain independent of AI, UI and network failure.</w:t>
      </w:r>
    </w:p>
    <w:p>
      <w:pPr>
        <w:pStyle w:val="Heading3"/>
        <w:keepNext/>
        <w:keepLines/>
        <w:spacing w:before="240" w:after="120" w:line="269" w:lineRule="auto"/>
      </w:pPr>
      <w:r>
        <w:rPr>
          <w:color w:val="000000"/>
        </w:rPr>
        <w:t>Dataset and evidence-record specification</w:t>
      </w:r>
    </w:p>
    <w:p>
      <w:pPr>
        <w:pStyle w:val="Normal"/>
        <w:spacing w:before="0" w:after="50" w:line="250" w:lineRule="auto"/>
        <w:rPr/>
      </w:pPr>
      <w:r>
        <w:rPr>
          <w:rFonts w:ascii="Calibri" w:hAnsi="Calibri"/>
          <w:color w:val="000000"/>
          <w:sz w:val="20"/>
        </w:rPr>
        <w:t>Each research record should retain: de-identified site/isolate/plate identifiers; original image and hash; capture time and settings; calibration identity/version; device/operator and relevant environmental conditions; method/read time; organism and antimicrobial/disk potency; medium identity/manufacturer and plate or preparation lot; antimicrobial-disk manufacturer, potency and lot; relevant storage/handling state; independent reference readings and adjudication; raw automated diameter/boundary; QC and failure reason; model/software/standards versions; suggested category; reviewer identity, correction, reason and timestamp; final research export identifier. During AMReye validation and method-comparison work, media and disk provenance should be treated as required metadata rather than optional “where available” fields whenever those data can be captured, because zone diameters depend on material quality as well as imaging/algorithm performance. EUCAST has documented material-to-material variation for Mueller-Hinton powders, pre-poured plates and antimicrobial disks and explicitly places responsibility for ongoing material quality on manufacturers and end users; its current QC tables and media-preparation guidance should therefore be part of the validation environment record. This allows a zone shift to be investigated as possible assay-material bias rather than automatically blamed on the camera/model. Official anchors: </w:t>
      </w:r>
      <w:hyperlink r:id="rId17">
        <w:r>
          <w:rPr>
            <w:rFonts w:ascii="Calibri" w:hAnsi="Calibri"/>
            <w:color w:val="000000"/>
            <w:sz w:val="22"/>
          </w:rPr>
          <w:t>https://www.eucast.org/news-detail/the-quality-of-material-for-eucast-disk-diffusion/</w:t>
        </w:r>
      </w:hyperlink>
      <w:r>
        <w:rPr>
          <w:rFonts w:ascii="Calibri" w:hAnsi="Calibri"/>
          <w:color w:val="000000"/>
          <w:sz w:val="20"/>
        </w:rPr>
        <w:t> ; </w:t>
      </w:r>
      <w:hyperlink r:id="rId18">
        <w:r>
          <w:rPr>
            <w:rFonts w:ascii="Calibri" w:hAnsi="Calibri"/>
            <w:color w:val="000000"/>
            <w:sz w:val="22"/>
          </w:rPr>
          <w:t>https://www.eucast.org/bacteria/methodology-and-instructions/disk-diffusion-and-quality-control/</w:t>
        </w:r>
      </w:hyperlink>
      <w:r>
        <w:rPr>
          <w:rFonts w:ascii="Calibri" w:hAnsi="Calibri"/>
          <w:color w:val="000000"/>
          <w:sz w:val="20"/>
        </w:rPr>
        <w:t> ; </w:t>
      </w:r>
      <w:hyperlink r:id="rId19">
        <w:r>
          <w:rPr>
            <w:rFonts w:ascii="Calibri" w:hAnsi="Calibri"/>
            <w:color w:val="000000"/>
            <w:sz w:val="22"/>
          </w:rPr>
          <w:t>https://www.eucast.org/bacteria/methodology-and-instructions/media-preparation/</w:t>
        </w:r>
      </w:hyperlink>
      <w:r>
        <w:rPr>
          <w:rFonts w:ascii="Calibri" w:hAnsi="Calibri"/>
          <w:color w:val="000000"/>
          <w:sz w:val="20"/>
        </w:rPr>
        <w:t> ; </w:t>
      </w:r>
      <w:hyperlink r:id="rId20">
        <w:r>
          <w:rPr>
            <w:rFonts w:ascii="Calibri" w:hAnsi="Calibri"/>
            <w:color w:val="000000"/>
            <w:sz w:val="22"/>
          </w:rPr>
          <w:t>https://clsi.org/shop/standards/m23s3/</w:t>
        </w:r>
      </w:hyperlink>
      <w:r>
        <w:rPr>
          <w:rFonts w:ascii="Calibri" w:hAnsi="Calibri"/>
          <w:color w:val="000000"/>
          <w:sz w:val="20"/>
        </w:rPr>
        <w:t> .</w:t>
      </w:r>
    </w:p>
    <w:p>
      <w:pPr>
        <w:pStyle w:val="Normal"/>
        <w:spacing w:before="0" w:after="50" w:line="250" w:lineRule="auto"/>
        <w:rPr/>
      </w:pPr>
      <w:r>
        <w:rPr>
          <w:rFonts w:ascii="Calibri" w:hAnsi="Calibri"/>
          <w:color w:val="000000"/>
          <w:sz w:val="20"/>
        </w:rPr>
        <w:t>Separate split units by isolate and plate, keeping related images, repeat captures and time-series frames together. Maintain a locked independent test set and external-site evaluation; do not leak near-duplicates or the same biological material across training and testing. Include deliberately challenging but representative images: glare, condensation, weak or mixed growth, irregular boundaries, swarming, overlapping zones and within-zone colonies. These are review/QC cases, not automatic resistance diagnoses. Rights to use images, reference results and standards content must be documented before reuse or distribution.</w:t>
      </w:r>
    </w:p>
    <w:p>
      <w:pPr>
        <w:pStyle w:val="Heading3"/>
        <w:keepNext/>
        <w:keepLines/>
        <w:spacing w:before="240" w:after="120" w:line="269" w:lineRule="auto"/>
      </w:pPr>
      <w:r>
        <w:rPr>
          <w:color w:val="000000"/>
        </w:rPr>
        <w:t>Validation ladder and reporting rules</w:t>
      </w:r>
    </w:p>
    <w:p>
      <w:pPr>
        <w:pStyle w:val="Normal"/>
        <w:spacing w:before="0" w:after="50" w:line="250" w:lineRule="auto"/>
        <w:rPr/>
      </w:pPr>
      <w:r>
        <w:rPr>
          <w:rFonts w:ascii="Calibri" w:hAnsi="Calibri"/>
          <w:color w:val="000000"/>
          <w:sz w:val="20"/>
        </w:rPr>
        <w:t>Gate A ;  dimensional calibration and repeatability on traceable targets. Gate B ;  reader agreement against qualified reference readers, with pre-specified adjudication. Gate C ;  organism/antimicrobial-stratified AST method comparison under the intended workflow. Gate D ;  external device/operator/site reproducibility and supervised pilot readiness. Gate E ;  separately validated rapid/time-series workflow. Gate F ;  additional automation or sensing only after its own evidence gate. Validation error-budget rule: explicitly decompose uncertainty from calibration artefact → optics/distortion → plate/device positioning and z-height → illumination/exposure → algorithmic edge location → qualified-reader/reference variability → categorical impact near breakpoints. Use that budget to choose hardware and acceptance tests rather than starting from a megapixel count or an externally published MAE target.</w:t>
      </w:r>
    </w:p>
    <w:p>
      <w:pPr>
        <w:pStyle w:val="Normal"/>
        <w:spacing w:before="0" w:after="50" w:line="250" w:lineRule="auto"/>
        <w:rPr/>
      </w:pPr>
      <w:r>
        <w:rPr>
          <w:rFonts w:ascii="Calibri" w:hAnsi="Calibri"/>
          <w:color w:val="000000"/>
          <w:sz w:val="20"/>
        </w:rPr>
        <w:t>Pre-specify endpoints, sample-size rationale, confidence intervals, inclusions/exclusions and acceptance criteria with the laboratory/statistical team before collecting the confirmatory dataset. Published external MAE, categorical-agreement and error-rate figures are contextual benchmarks only; final Reader V1 acceptance limits must be justified prospectively from intended use, applicable method/regulatory expectations, pilot variance and risk analysis rather than copied from another study or device. Report dimensional bias/error and repeatability, categorical agreement, relevant disagreement types, coverage, abstentions, recaptures and outright failures. Very major error is false susceptibility against the reference-resistant denominator; major error is false resistance against the reference-susceptible denominator under the applicable analysis definitions. Report those denominators and confidence intervals, not merely percentages. Detection mAP is an engineering metric, not clinical AST accuracy. External-paper results remain external benchmarks only. Repaired external-reader comparators include Ciftci et al., Frontiers in Microbiology 2026, DOI 10.3389/fmicb.2026.1810754, and Orlandi Barth et al., PLOS ONE 2026, DOI 10.1371/journal.pone.0347932 (AntibiHórus). Their reported MAE/categorical-agreement/error figures are study-specific comparators, not AMReye acceptance criteria. The older Miro-linked AntibiHórus DOI 10.1371/journal.pone.0303202 is mismatched and must not be reused. No single fixed isolate count or aggregate “AI accuracy” establishes AMR-Eye validation. Applicability note: ISO 20776-2:2021 should not be cited as automatically governing a disk-diffusion zone-reader validation. ISO’s current abstract scopes the 2021 edition to AST devices that determine MIC and performance against reference broth micro-dilution. Its relevance to AMReye Reader V1 must be determined during intended-use/regulatory review together with CDSCO/ICMR AST performance-evaluation guidance and any applicable international comparator guidance. India-specific planning reference: ICMR, Guidance Document: Validation of Rapid Diagnostics for Pathogen Identification and Antimicrobial Susceptibility Testing (AST), 2025, should be consulted for rapid-diagnostic validation design where applicable; its scope does not by itself make every endpoint Reader V1 study a rapid-diagnostic study. Official ICMR reference: </w:t>
      </w:r>
      <w:hyperlink r:id="rId21">
        <w:r>
          <w:rPr>
            <w:rFonts w:ascii="Calibri" w:hAnsi="Calibri"/>
            <w:color w:val="000000"/>
            <w:sz w:val="22"/>
          </w:rPr>
          <w:t>https://www.icmr.gov.in/icmrobject/uploads/Guidelines/1736941384_guidancedocument_amrdiagnostics_revised.pdf</w:t>
        </w:r>
      </w:hyperlink>
      <w:r>
        <w:rPr>
          <w:rFonts w:ascii="Calibri" w:hAnsi="Calibri"/>
          <w:color w:val="000000"/>
          <w:sz w:val="20"/>
        </w:rPr>
        <w:t> . For the separately gated rapid-AST/rapid-diagnostic track, ICMR Table 3 explicitly uses ≥90% categorical agreement, ≤10% minor error, &lt;3% major error and &lt;3% very major error as AST performance acceptance criteria, while noting the FDA &lt;1.5% VME threshold. These are rapid-diagnostic evaluation criteria from the ICMR/CDSCO framework and must not be copied automatically as endpoint Reader V1 acceptance limits; Reader V1 criteria still require intended-use-specific justification and reference-method planning. Relevant Indian external benchmark: Aravindh et al., Indian Journal of Medical Research 2026, DOI 10.25259/IJMR_214_2026, prospectively evaluated a semi-automated smartphone disk-diffusion app on 48 E. coli and 15 S. aureus isolates / 1,000 antibiotic disks. Against manual CLSI-based reading it reported 90.4% categorical agreement, 0% VME, 0.83% ME, 9.2% minor error, mean absolute zone-diameter difference 1.25 mm, mean bias 0.74 mm and 95% limits of agreement from -2.68 to +4.15 mm. Important limitations: single centre, limited organisms, controlled imaging, manual reading as reference with no MIC adjudication of discrepancies, and semi-automated rather than AI-autonomous measurement. Use this as feasibility and validation-design context only, not as an AMReye acceptance target or project performance. Official study: </w:t>
      </w:r>
      <w:hyperlink r:id="rId22">
        <w:r>
          <w:rPr>
            <w:rFonts w:ascii="Calibri" w:hAnsi="Calibri"/>
            <w:color w:val="000000"/>
            <w:sz w:val="22"/>
          </w:rPr>
          <w:t>https://doi.org/10.25259/IJMR_214_2026</w:t>
        </w:r>
      </w:hyperlink>
      <w:r>
        <w:rPr>
          <w:rFonts w:ascii="Calibri" w:hAnsi="Calibri"/>
          <w:color w:val="000000"/>
          <w:sz w:val="20"/>
        </w:rPr>
        <w:t> . Official ISO reference: </w:t>
      </w:r>
      <w:hyperlink r:id="rId23">
        <w:r>
          <w:rPr>
            <w:rFonts w:ascii="Calibri" w:hAnsi="Calibri"/>
            <w:color w:val="000000"/>
            <w:sz w:val="22"/>
          </w:rPr>
          <w:t>https://www.iso.org/standard/79377.html</w:t>
        </w:r>
      </w:hyperlink>
    </w:p>
    <w:p>
      <w:pPr>
        <w:pStyle w:val="Normal"/>
        <w:spacing w:before="0" w:after="50" w:line="250" w:lineRule="auto"/>
        <w:rPr/>
      </w:pPr>
      <w:r>
        <w:rPr>
          <w:rFonts w:ascii="Calibri" w:hAnsi="Calibri"/>
          <w:color w:val="000000"/>
          <w:sz w:val="20"/>
        </w:rPr>
        <w:t>EUCAST local-method performance check ;  SUPPORTING QC, NOT A READER-V1 SAMPLE-SIZE RULE: EUCAST advises laboratories that, after accumulating approximately 50-100 phenotypic MIC or disk-diffusion tests for an organism-agent combination, they can construct the local distribution and compare its wild-type component with the corresponding EUCAST reference distribution. If the wild-type distributions are not superimposable, the local methodology should be reconsidered before EUCAST breakpoints are used; EUCAST additionally warns that a method performing well on wild-type isolates can still be biased for resistance mechanisms, so resistant-mechanism challenge strains are required. AMReye should use this as a post-implementation/site-QC concept: once sufficient local results exist, offer a DISTRIBUTION CHECK that stratifies by organism, antimicrobial/disk potency, method/standards version and relevant lot/device conditions, compares local zone distributions with the official EUCAST distribution, and alerts for possible method drift. It must never automatically alter breakpoints or reinterpret historical results. The EUCAST “50-100” suggestion is a local method-distribution check, not the confirmatory clinical-performance sample size for AMReye manufacturer validation. Official anchors: </w:t>
      </w:r>
      <w:hyperlink r:id="rId24">
        <w:r>
          <w:rPr>
            <w:rFonts w:ascii="Calibri" w:hAnsi="Calibri"/>
            <w:color w:val="000000"/>
            <w:sz w:val="22"/>
          </w:rPr>
          <w:t>https://www.eucast.org/news-detail/how-to-make-use-of-eucast-mic-and-zone-distributions/</w:t>
        </w:r>
      </w:hyperlink>
      <w:r>
        <w:rPr>
          <w:rFonts w:ascii="Calibri" w:hAnsi="Calibri"/>
          <w:color w:val="000000"/>
          <w:sz w:val="20"/>
        </w:rPr>
        <w:t> ; </w:t>
      </w:r>
      <w:hyperlink r:id="rId25">
        <w:r>
          <w:rPr>
            <w:rFonts w:ascii="Calibri" w:hAnsi="Calibri"/>
            <w:color w:val="000000"/>
            <w:sz w:val="22"/>
          </w:rPr>
          <w:t>https://mic.eucast.org/</w:t>
        </w:r>
      </w:hyperlink>
      <w:r>
        <w:rPr>
          <w:rFonts w:ascii="Calibri" w:hAnsi="Calibri"/>
          <w:color w:val="000000"/>
          <w:sz w:val="20"/>
        </w:rPr>
        <w:t> ; </w:t>
      </w:r>
      <w:hyperlink r:id="rId18">
        <w:r>
          <w:rPr>
            <w:rFonts w:ascii="Calibri" w:hAnsi="Calibri"/>
            <w:color w:val="000000"/>
            <w:sz w:val="22"/>
          </w:rPr>
          <w:t>https://www.eucast.org/bacteria/methodology-and-instructions/disk-diffusion-and-quality-control/</w:t>
        </w:r>
      </w:hyperlink>
      <w:r>
        <w:rPr>
          <w:rFonts w:ascii="Calibri" w:hAnsi="Calibri"/>
          <w:color w:val="000000"/>
          <w:sz w:val="20"/>
        </w:rPr>
        <w:t> .</w:t>
      </w:r>
    </w:p>
    <w:p>
      <w:pPr>
        <w:pStyle w:val="Heading3"/>
        <w:keepNext/>
        <w:keepLines/>
        <w:spacing w:before="240" w:after="120" w:line="269" w:lineRule="auto"/>
      </w:pPr>
      <w:r>
        <w:rPr>
          <w:color w:val="000000"/>
        </w:rPr>
        <w:t>Standards engine and rapid-AST separation</w:t>
      </w:r>
    </w:p>
    <w:p>
      <w:pPr>
        <w:pStyle w:val="Normal"/>
        <w:spacing w:before="0" w:after="50" w:line="250" w:lineRule="auto"/>
        <w:rPr/>
      </w:pPr>
      <w:r>
        <w:rPr>
          <w:rFonts w:ascii="Calibri" w:hAnsi="Calibri"/>
          <w:color w:val="000000"/>
          <w:sz w:val="20"/>
        </w:rPr>
        <w:t>Rechecked reference anchors: CLSI M100, 36th edition; EUCAST bacterial clinical breakpoint tables v16.1. Standards watch: ISO has an active new-work item for the next edition of ISO 20776-1 as of 2026. The currently published ISO 20776-1:2019 remains the reference edition until formally superseded, but a long validation programme should monitor the developing edition and apply change control before protocol freeze if its status or requirements change. Standards content must be separately versioned from model weights, with source, edition, effective period, applicable method/organism/drug/disk potency, reading time, special rules and licensing recorded. Historical reports must remain reproducible after an update; updating a breakpoint table must not silently rewrite the historical interpretation. EUCAST “I” means susceptible, increased exposure, and must not be relabelled automatically as the CLSI intermediate category. Missing breakpoints or an area of technical uncertainty require the applicable guidance/review state, not an invented forced category.</w:t>
      </w:r>
    </w:p>
    <w:p>
      <w:pPr>
        <w:pStyle w:val="Normal"/>
        <w:spacing w:before="0" w:after="50" w:line="250" w:lineRule="auto"/>
        <w:rPr/>
      </w:pPr>
      <w:r>
        <w:rPr>
          <w:rFonts w:ascii="Calibri" w:hAnsi="Calibri"/>
          <w:color w:val="000000"/>
          <w:sz w:val="20"/>
        </w:rPr>
        <w:t>Breakpoint-change implementation workflow ;  NEXT-STAGE SOFTWARE / LAB-SIDE SUPPORT: breakpoint updates are not merely a table-refresh event. CLSI’s current Breakpoint Implementation Toolkit (BIT), updated March 2026, is designed for clinical laboratories that must document breakpoints in use and perform/record the verification or validation needed when updating interpretive criteria. Its Part B compares current M100 36th Edition/M45 breakpoints with FDA criteria; Part C provides a documentation template; Parts D-G provide AR Bank isolate-set and data-entry resources. This toolkit is for laboratory breakpoint implementation and must not be misrepresented as AMReye manufacturer-development validation. A future AMReye “Breakpoint Update Readiness” module may track the site’s active standard/version, identify affected organism-drug pairs, preserve the previous interpretation/version, stage a new breakpoint set for local verification, attach the site’s verification evidence and only activate the new interpretation layer after authorized sign-off. CLSI copyright/licensing controls still apply to embedded content. EUCAST has a parallel change-control need: breakpoint tables are normally updated annually on 1 January, with X.1 errata and addenda possible between annual releases. The standards engine should therefore support effective dates, staged activation, change summaries, historical reproducibility and explicit rollback rather than silently overwriting prior rules. The content identifier must include more than the edition number: CLSI M100 36th Edition currently carries a July 2026 correction notice, so the effective standards package should record edition plus applied correction/errata/addendum state (and preferably a source-file/hash identifier where licensing permits). The same principle applies to EUCAST X.1 revisions and addenda. A result generated before a correction must remain reproducible from the exact prior rule package; a corrected package may be applied prospectively or through a controlled, explicitly documented reanalysis workflow, never by silently changing the stored original interpretation. Official anchors: </w:t>
      </w:r>
      <w:hyperlink r:id="rId26">
        <w:r>
          <w:rPr>
            <w:rFonts w:ascii="Calibri" w:hAnsi="Calibri"/>
            <w:color w:val="000000"/>
            <w:sz w:val="22"/>
          </w:rPr>
          <w:t>https://clsi.org/resources/breakpoint-implementation-toolkit/</w:t>
        </w:r>
      </w:hyperlink>
      <w:r>
        <w:rPr>
          <w:rFonts w:ascii="Calibri" w:hAnsi="Calibri"/>
          <w:color w:val="000000"/>
          <w:sz w:val="20"/>
        </w:rPr>
        <w:t> ; </w:t>
      </w:r>
      <w:hyperlink r:id="rId27">
        <w:r>
          <w:rPr>
            <w:rFonts w:ascii="Calibri" w:hAnsi="Calibri"/>
            <w:color w:val="000000"/>
            <w:sz w:val="22"/>
          </w:rPr>
          <w:t>https://www.eucast.org/bacteria/development-of-clinical-breakpoints-and-ecoffs/about-clinical-breakpoints/</w:t>
        </w:r>
      </w:hyperlink>
      <w:r>
        <w:rPr>
          <w:rFonts w:ascii="Calibri" w:hAnsi="Calibri"/>
          <w:color w:val="000000"/>
          <w:sz w:val="20"/>
        </w:rPr>
        <w:t> ; </w:t>
      </w:r>
      <w:hyperlink r:id="rId28">
        <w:r>
          <w:rPr>
            <w:rFonts w:ascii="Calibri" w:hAnsi="Calibri"/>
            <w:color w:val="000000"/>
            <w:sz w:val="22"/>
          </w:rPr>
          <w:t>https://www.eucast.org/bacteria/document-archive/</w:t>
        </w:r>
      </w:hyperlink>
      <w:r>
        <w:rPr>
          <w:rFonts w:ascii="Calibri" w:hAnsi="Calibri"/>
          <w:color w:val="000000"/>
          <w:sz w:val="20"/>
        </w:rPr>
        <w:t> .</w:t>
      </w:r>
    </w:p>
    <w:p>
      <w:pPr>
        <w:pStyle w:val="Normal"/>
        <w:spacing w:before="0" w:after="50" w:line="250" w:lineRule="auto"/>
        <w:rPr/>
      </w:pPr>
      <w:r>
        <w:rPr>
          <w:rFonts w:ascii="Calibri" w:hAnsi="Calibri"/>
          <w:color w:val="000000"/>
          <w:sz w:val="20"/>
        </w:rPr>
        <w:t>Rapid AST requires a separate intended workflow and evidence. EUCAST specifies RAST-specific tables for its short-incubation testing directly from positive blood cultures; routine endpoint tables are not interchangeable. Validate organism/drug/timepoint coverage and readability before promoting any early result. Current RAST references include breakpoint table v9.0 and the associated current methodology/QC documents. The prior ~6-hour wording remains a research target, not a universal validated turnaround claim External comparator for pre-analytical acceleration: Dutta et al., Journal of Clinical Microbiology 2025, DOI 10.1128/jcm.01606-24, evaluated eQUANT for generating a standardized 0.5-McFarland-equivalent inoculum directly from positive blood cultures for downstream disk diffusion. Across 2,679 paired results from 567 blood-culture samples, the study reported 95.0% categorical agreement, 0.15% VME, 0.60% ME and 4.48% minor error versus standard next-day subculture-based disk diffusion, with results potentially available up to approximately 24 hours earlier. This is external device evidence, not AMReye performance. For a future blood-culture rapid-AST track, treat direct-from-positive-blood-culture inoculum preparation and standardization as a separate pre-analytical module that can be integrated or partnered rather than assumed to be a Reader V1 function. Official paper: </w:t>
      </w:r>
      <w:hyperlink r:id="rId29">
        <w:r>
          <w:rPr>
            <w:rFonts w:ascii="Calibri" w:hAnsi="Calibri"/>
            <w:color w:val="000000"/>
            <w:sz w:val="22"/>
          </w:rPr>
          <w:t>https://doi.org/10.1128/jcm.01606-24</w:t>
        </w:r>
      </w:hyperlink>
      <w:r>
        <w:rPr>
          <w:rFonts w:ascii="Calibri" w:hAnsi="Calibri"/>
          <w:color w:val="000000"/>
          <w:sz w:val="20"/>
        </w:rPr>
        <w:t> ..</w:t>
      </w:r>
    </w:p>
    <w:p>
      <w:pPr>
        <w:pStyle w:val="Normal"/>
        <w:spacing w:before="0" w:after="50" w:line="250" w:lineRule="auto"/>
        <w:rPr/>
      </w:pPr>
      <w:r>
        <w:rPr>
          <w:rFonts w:ascii="Calibri" w:hAnsi="Calibri"/>
          <w:color w:val="000000"/>
          <w:sz w:val="20"/>
        </w:rPr>
        <w:t>Official anchors: CLSI M02, 14th ed. (reference disk-diffusion method): </w:t>
      </w:r>
      <w:hyperlink r:id="rId30">
        <w:r>
          <w:rPr>
            <w:rFonts w:ascii="Calibri" w:hAnsi="Calibri"/>
            <w:color w:val="000000"/>
            <w:sz w:val="22"/>
          </w:rPr>
          <w:t>https://clsi.org/shop/standards/m02/</w:t>
        </w:r>
      </w:hyperlink>
      <w:r>
        <w:rPr>
          <w:rFonts w:ascii="Calibri" w:hAnsi="Calibri"/>
          <w:color w:val="000000"/>
          <w:sz w:val="20"/>
        </w:rPr>
        <w:t> ; CLSI M02QG Disk Diffusion Reading Guide: </w:t>
      </w:r>
      <w:hyperlink r:id="rId31">
        <w:r>
          <w:rPr>
            <w:rFonts w:ascii="Calibri" w:hAnsi="Calibri"/>
            <w:color w:val="000000"/>
            <w:sz w:val="22"/>
          </w:rPr>
          <w:t>https://clsi.org/shop/standards/m02qg/</w:t>
        </w:r>
      </w:hyperlink>
      <w:r>
        <w:rPr>
          <w:rFonts w:ascii="Calibri" w:hAnsi="Calibri"/>
          <w:color w:val="000000"/>
          <w:sz w:val="20"/>
        </w:rPr>
        <w:t> ; CLSI M100, 36th ed.: </w:t>
      </w:r>
      <w:hyperlink r:id="rId32">
        <w:r>
          <w:rPr>
            <w:rFonts w:ascii="Calibri" w:hAnsi="Calibri"/>
            <w:color w:val="000000"/>
            <w:sz w:val="22"/>
          </w:rPr>
          <w:t>https://clsi.org/shop/standards/m100/</w:t>
        </w:r>
      </w:hyperlink>
      <w:r>
        <w:rPr>
          <w:rFonts w:ascii="Calibri" w:hAnsi="Calibri"/>
          <w:color w:val="000000"/>
          <w:sz w:val="20"/>
        </w:rPr>
        <w:t> ; EUCAST clinical breakpoint tables: </w:t>
      </w:r>
      <w:hyperlink r:id="rId33">
        <w:r>
          <w:rPr>
            <w:rFonts w:ascii="Calibri" w:hAnsi="Calibri"/>
            <w:color w:val="000000"/>
            <w:sz w:val="22"/>
          </w:rPr>
          <w:t>https://www.eucast.org/bacteria/clinical-breakpoints-and-interpretation/clinical-breakpoint-tables/</w:t>
        </w:r>
      </w:hyperlink>
      <w:r>
        <w:rPr>
          <w:rFonts w:ascii="Calibri" w:hAnsi="Calibri"/>
          <w:color w:val="000000"/>
          <w:sz w:val="20"/>
        </w:rPr>
        <w:t> ; EUCAST RAST breakpoints: </w:t>
      </w:r>
      <w:hyperlink r:id="rId34">
        <w:r>
          <w:rPr>
            <w:rFonts w:ascii="Calibri" w:hAnsi="Calibri"/>
            <w:color w:val="000000"/>
            <w:sz w:val="22"/>
          </w:rPr>
          <w:t>https://www.eucast.org/bacteria/rapid-ast-in-blood-culture/breakpoints-for-rapid-ast/</w:t>
        </w:r>
      </w:hyperlink>
      <w:r>
        <w:rPr>
          <w:rFonts w:ascii="Calibri" w:hAnsi="Calibri"/>
          <w:color w:val="000000"/>
          <w:sz w:val="20"/>
        </w:rPr>
        <w:t> ; EUCAST RAST method/QC: </w:t>
      </w:r>
      <w:hyperlink r:id="rId35">
        <w:r>
          <w:rPr>
            <w:rFonts w:ascii="Calibri" w:hAnsi="Calibri"/>
            <w:color w:val="000000"/>
            <w:sz w:val="22"/>
          </w:rPr>
          <w:t>https://www.eucast.org/bacteria/rapid-ast-in-blood-culture/methods-and-quality-control/</w:t>
        </w:r>
      </w:hyperlink>
      <w:r>
        <w:rPr>
          <w:rFonts w:ascii="Calibri" w:hAnsi="Calibri"/>
          <w:color w:val="000000"/>
          <w:sz w:val="20"/>
        </w:rPr>
        <w:t> . For a CLSI-based Reader profile, M02 defines the disk-diffusion method and M100 supplies current interpretive/QC tables; the Reader must not treat M100 as a standalone method specification.</w:t>
      </w:r>
    </w:p>
    <w:p>
      <w:pPr>
        <w:pStyle w:val="Heading3"/>
        <w:keepNext/>
        <w:keepLines/>
        <w:spacing w:before="240" w:after="120" w:line="269" w:lineRule="auto"/>
      </w:pPr>
      <w:r>
        <w:rPr>
          <w:color w:val="000000"/>
        </w:rPr>
        <w:t>Regulatory, quality and security workstream</w:t>
      </w:r>
    </w:p>
    <w:p>
      <w:pPr>
        <w:pStyle w:val="Normal"/>
        <w:spacing w:before="0" w:after="50" w:line="250" w:lineRule="auto"/>
        <w:rPr/>
      </w:pPr>
      <w:r>
        <w:rPr>
          <w:rFonts w:ascii="Calibri" w:hAnsi="Calibri"/>
          <w:color w:val="000000"/>
          <w:sz w:val="20"/>
        </w:rPr>
        <w:t>Review the exact intended use, users, setting, inputs, outputs and role in clinical decisions before selecting a regulatory pathway. The official CDSCO medical-device-software guidance, document CDSCO/MD/GD/MDSW/01/2026, is an applicable planning reference but does not itself grant AMReye approval. Important new classification evidence: CDSCO's current IVD classification list (25 October 2023) explicitly lists a Microbiology “Antimicrobial susceptibility analyser” as Class A, defined as an analyser intended to determine an antimicrobial-susceptibility profile from a clinical specimen and/or culture isolate while exposed to antimicrobials; “Identification and Antibiotic susceptibility analyser” is also listed Class A. This makes Class A a plausible regulatory hypothesis for a bounded Reader-V1 product, but it is not yet a final AMReye classification because the published intended-use wording is not identical to an image-based disk-diffusion zone reader and AMReye combines instrument, image-analysis software and interpretive logic. The 2026 CDSCO MDSW guidance states that software with a similar intended use to a published risk-classification entry may follow the same class, embedded software may be licensed with the parent device, and separately supplied software that operates or influences an IVD can be a distinct IVD. It also states that investigational/new IVD software requires the applicable CLA permissions before clinical performance evaluation. If AMReye is ultimately confirmed as Class A/B, manufacturing licensing is generally under the State Licensing Authority while test licences, import permissions and new-IVD/clinical-performance permissions remain with the Central Licensing Authority as applicable. Before commercial design freeze, obtain a formal risk-classification/applicability clarification from CDSCO rather than self-declaring a class. Official anchors: </w:t>
      </w:r>
      <w:hyperlink r:id="rId36">
        <w:r>
          <w:rPr>
            <w:rFonts w:ascii="Calibri" w:hAnsi="Calibri"/>
            <w:color w:val="000000"/>
            <w:sz w:val="22"/>
          </w:rPr>
          <w:t>https://www.cdsco.gov.in/opencms/export/sites/CDSCO_WEB/Pdf-documents/medical-device/IVD_classifiction25oc23.pdf</w:t>
        </w:r>
      </w:hyperlink>
      <w:r>
        <w:rPr>
          <w:rFonts w:ascii="Calibri" w:hAnsi="Calibri"/>
          <w:color w:val="000000"/>
          <w:sz w:val="20"/>
        </w:rPr>
        <w:t> ; </w:t>
      </w:r>
      <w:hyperlink r:id="rId37">
        <w:r>
          <w:rPr>
            <w:rFonts w:ascii="Calibri" w:hAnsi="Calibri"/>
            <w:color w:val="000000"/>
            <w:sz w:val="22"/>
          </w:rPr>
          <w:t>https://www.cdsco.gov.in/opencms/export/sites/CDSCO_WEB/Pdf-documents/Guidance-document-on-Medical-Device-Software-under-MDR-2017.pdf</w:t>
        </w:r>
      </w:hyperlink>
      <w:r>
        <w:rPr>
          <w:rFonts w:ascii="Calibri" w:hAnsi="Calibri"/>
          <w:color w:val="000000"/>
          <w:sz w:val="20"/>
        </w:rPr>
        <w:t> . Standards to assess include quality management, risk management, software lifecycle, health-software product safety and cybersecurity; the guidance lists ISO 13485, ISO 14971, IEC 62304, IEC 82304-1 and IEC 81001-5-1 among potentially relevant references. Applicability and conformity must be demonstrated, not inferred from their names in this dossier.</w:t>
      </w:r>
    </w:p>
    <w:p>
      <w:pPr>
        <w:pStyle w:val="Normal"/>
        <w:spacing w:before="0" w:after="50" w:line="250" w:lineRule="auto"/>
        <w:rPr/>
      </w:pPr>
      <w:r>
        <w:rPr>
          <w:rFonts w:ascii="Calibri" w:hAnsi="Calibri"/>
          <w:color w:val="000000"/>
          <w:sz w:val="20"/>
        </w:rPr>
        <w:t>International regulatory precedent ;  UNITED STATES, EXTERNAL CONTEXT ONLY: FDA’s current product classification database includes product code LRG, “Device instrument for auto reader &amp; interpretation of overnight susceptibility systems,” as a Class II, 510(k)-reviewed microbiology device category under 21 CFR 866.1640. This is a closer functional precedent to an automated overnight Reader than generic rapid-AST device language, but it does not determine AMReye’s Indian classification or guarantee a future US predicate. FDA’s coordinated-AST-development guidance explicitly includes qualitative disk-diffusion tests within its AST-device scope, and FDA’s 2023 guidance on breakpoint updates in AST device labeling reinforces the need to manage interpretive-criteria changes as a controlled device/software lifecycle issue. This supports AMReye’s existing architectural separation between measured zone data and independently versioned breakpoint/interpretation content.</w:t>
      </w:r>
    </w:p>
    <w:p>
      <w:pPr>
        <w:pStyle w:val="Normal"/>
        <w:spacing w:before="0" w:after="50" w:line="250" w:lineRule="auto"/>
        <w:rPr/>
      </w:pPr>
      <w:r>
        <w:rPr>
          <w:rFonts w:ascii="Calibri" w:hAnsi="Calibri"/>
          <w:color w:val="000000"/>
          <w:sz w:val="20"/>
        </w:rPr>
        <w:t>CLSI M52 is useful only at the correct lifecycle stage: it guides clinical laboratories verifying already-commercial/FDA-cleared microbial ID/AST systems and may also inform verification of disk/gradient methods, but CLSI explicitly states that it is not a manufacturer-development-validation guide. Therefore do not use an M52 laboratory-verification study as a substitute for AMReye manufacturer analytical/clinical performance evidence. Official anchors: </w:t>
      </w:r>
      <w:hyperlink r:id="rId38">
        <w:r>
          <w:rPr>
            <w:rFonts w:ascii="Calibri" w:hAnsi="Calibri"/>
            <w:color w:val="000000"/>
            <w:sz w:val="22"/>
          </w:rPr>
          <w:t>https://www.accessdata.fda.gov/scripts/cdrh/cfdocs/cfPCD/classification.cfm?ID=LRG</w:t>
        </w:r>
      </w:hyperlink>
      <w:r>
        <w:rPr>
          <w:rFonts w:ascii="Calibri" w:hAnsi="Calibri"/>
          <w:color w:val="000000"/>
          <w:sz w:val="20"/>
        </w:rPr>
        <w:t> ; </w:t>
      </w:r>
      <w:hyperlink r:id="rId39">
        <w:r>
          <w:rPr>
            <w:rFonts w:ascii="Calibri" w:hAnsi="Calibri"/>
            <w:color w:val="000000"/>
            <w:sz w:val="22"/>
          </w:rPr>
          <w:t>https://www.fda.gov/regulatory-information/search-fda-guidance-documents/antimicrobial-susceptibility-test-ast-system-devices-updating-breakpoints-device-labeling</w:t>
        </w:r>
      </w:hyperlink>
      <w:r>
        <w:rPr>
          <w:rFonts w:ascii="Calibri" w:hAnsi="Calibri"/>
          <w:color w:val="000000"/>
          <w:sz w:val="20"/>
        </w:rPr>
        <w:t> ; </w:t>
      </w:r>
      <w:hyperlink r:id="rId40">
        <w:r>
          <w:rPr>
            <w:rFonts w:ascii="Calibri" w:hAnsi="Calibri"/>
            <w:color w:val="000000"/>
            <w:sz w:val="22"/>
          </w:rPr>
          <w:t>https://www.fda.gov/media/124382/download</w:t>
        </w:r>
      </w:hyperlink>
      <w:r>
        <w:rPr>
          <w:rFonts w:ascii="Calibri" w:hAnsi="Calibri"/>
          <w:color w:val="000000"/>
          <w:sz w:val="20"/>
        </w:rPr>
        <w:t> ; </w:t>
      </w:r>
      <w:hyperlink r:id="rId41">
        <w:r>
          <w:rPr>
            <w:rFonts w:ascii="Calibri" w:hAnsi="Calibri"/>
            <w:color w:val="000000"/>
            <w:sz w:val="22"/>
          </w:rPr>
          <w:t>https://clsi.org/shop/standards/m52/</w:t>
        </w:r>
      </w:hyperlink>
      <w:r>
        <w:rPr>
          <w:rFonts w:ascii="Calibri" w:hAnsi="Calibri"/>
          <w:color w:val="000000"/>
          <w:sz w:val="20"/>
        </w:rPr>
        <w:t> .</w:t>
      </w:r>
    </w:p>
    <w:p>
      <w:pPr>
        <w:pStyle w:val="Normal"/>
        <w:spacing w:before="0" w:after="50" w:line="250" w:lineRule="auto"/>
        <w:rPr/>
      </w:pPr>
      <w:r>
        <w:rPr>
          <w:rFonts w:ascii="Calibri" w:hAnsi="Calibri"/>
          <w:color w:val="000000"/>
          <w:sz w:val="20"/>
        </w:rPr>
        <w:t>European regulatory precedent ;  EU IVDR, EXTERNAL CONTEXT ONLY: the European Commission’s current MDCG 2020-16 rev.5 classification guidance (September 2026) gives a directly relevant Rule 6/Class B example: a test used to identify a microbiological culture isolate or determine antimicrobial susceptibility of a culture isolate, except when the identification/MIC determination is associated with a life-threatening condition. The same guidance explains that class can increase under Rule 3 where erroneous infectious-disease results drive life-threatening patient-management decisions, and that analysers/software/components may classify differently depending on whether they have an independent measuring function and on their precise intended purpose. This makes a conventional culture-isolate Reader V1 plausibly Class B in one bounded EU intended-use scenario, but AMReye must not self-declare an EU class because its final claims, specimen boundary, organism coverage, software role and any severe-infection/rapid-AST functionality can change the rule that applies. The current classification analysis must use MDCG 2020-16 rev.5 and Regulation (EU) 2017/746 at the time of EU market planning. Official anchors: </w:t>
      </w:r>
      <w:hyperlink r:id="rId42">
        <w:r>
          <w:rPr>
            <w:rFonts w:ascii="Calibri" w:hAnsi="Calibri"/>
            <w:color w:val="000000"/>
            <w:sz w:val="22"/>
          </w:rPr>
          <w:t>https://health.ec.europa.eu/latest-updates/mdcg-2020-16-rev5-guidance-classification-rules-vitro-diagnostic-medical-devices-under-regulation-eu-2026-09-09_en</w:t>
        </w:r>
      </w:hyperlink>
      <w:r>
        <w:rPr>
          <w:rFonts w:ascii="Calibri" w:hAnsi="Calibri"/>
          <w:color w:val="000000"/>
          <w:sz w:val="20"/>
        </w:rPr>
        <w:t> ; </w:t>
      </w:r>
      <w:hyperlink r:id="rId43">
        <w:r>
          <w:rPr>
            <w:rFonts w:ascii="Calibri" w:hAnsi="Calibri"/>
            <w:color w:val="000000"/>
            <w:sz w:val="22"/>
          </w:rPr>
          <w:t>https://health.ec.europa.eu/document/download/12f9756a-1e0d-4aed-9783-d948553f1705_en</w:t>
        </w:r>
      </w:hyperlink>
      <w:r>
        <w:rPr>
          <w:rFonts w:ascii="Calibri" w:hAnsi="Calibri"/>
          <w:color w:val="000000"/>
          <w:sz w:val="20"/>
        </w:rPr>
        <w:t> ; </w:t>
      </w:r>
      <w:hyperlink r:id="rId44">
        <w:r>
          <w:rPr>
            <w:rFonts w:ascii="Calibri" w:hAnsi="Calibri"/>
            <w:color w:val="000000"/>
            <w:sz w:val="22"/>
          </w:rPr>
          <w:t>https://eur-lex.europa.eu/eli/reg/2017/746/oj</w:t>
        </w:r>
      </w:hyperlink>
      <w:r>
        <w:rPr>
          <w:rFonts w:ascii="Calibri" w:hAnsi="Calibri"/>
          <w:color w:val="000000"/>
          <w:sz w:val="20"/>
        </w:rPr>
        <w:t> .</w:t>
      </w:r>
    </w:p>
    <w:p>
      <w:pPr>
        <w:pStyle w:val="Normal"/>
        <w:spacing w:before="0" w:after="50" w:line="250" w:lineRule="auto"/>
        <w:rPr/>
      </w:pPr>
      <w:r>
        <w:rPr>
          <w:rFonts w:ascii="Calibri" w:hAnsi="Calibri"/>
          <w:color w:val="000000"/>
          <w:sz w:val="20"/>
        </w:rPr>
        <w:t>Engineering backlog: requirements-to-test traceability; hazard/risk controls; versioned release and model checksums; dependency/software-bill-of-materials tracking; access roles; data minimization; encryption; signed update/rollback design; backup and restoration tests; offline failure behavior; change-impact review and documented incident handling. These are requirements/proposed controls unless implementation evidence is attached.</w:t>
      </w:r>
    </w:p>
    <w:p>
      <w:pPr>
        <w:pStyle w:val="Normal"/>
        <w:spacing w:before="0" w:after="50" w:line="250" w:lineRule="auto"/>
        <w:rPr/>
      </w:pPr>
      <w:r>
        <w:rPr>
          <w:rFonts w:ascii="Calibri" w:hAnsi="Calibri"/>
          <w:color w:val="000000"/>
          <w:sz w:val="20"/>
        </w:rPr>
        <w:t>Data-governance baseline ;  INDIA AND GLOBAL-READY: clinical/sample records may contain personal and health-related data, so privacy architecture must be designed before cloud/fleet or remote-review deployment rather than added after validation. India notified the Digital Personal Data Protection Rules, 2025 on 14 November 2025, but statutory commencement is phased: the 13 November 2025 commencement notification brought some institutional/procedural provisions into force immediately, brings the relevant technical section(9) and the relevant technical section(1)(d) into force one year after publication, and brings many substantive processing-rights/obligations into force 18 months after publication. Therefore, as of 17 September 2026, AMReye should design toward the final DPDP framework without falsely claiming that every substantive provision is already in force. Minimum product principles should include purpose limitation, data minimization, role-based access, de-identification/pseudonymization for research where appropriate, encrypted transport/storage, retention/deletion controls, auditable access and exports, breach/incident procedures, and explicit separation of patient-identifiable data from reusable model-training datasets.</w:t>
      </w:r>
    </w:p>
    <w:p>
      <w:pPr>
        <w:pStyle w:val="Normal"/>
        <w:spacing w:before="0" w:after="50" w:line="250" w:lineRule="auto"/>
        <w:rPr/>
      </w:pPr>
      <w:r>
        <w:rPr>
          <w:rFonts w:ascii="Calibri" w:hAnsi="Calibri"/>
          <w:color w:val="000000"/>
          <w:sz w:val="20"/>
        </w:rPr>
        <w:t>Global deployment requires jurisdiction-specific overlays rather than one privacy toggle. In the EU/EEA, GDPR treats health data as a special category and requires an applicable lawful basis/Article 9 condition plus risk-appropriate technical and organizational security measures; in the United States, deployments for HIPAA covered entities/business associates that create, receive, maintain or transmit ePHI must meet HIPAA requirements, including appropriate business-associate arrangements for cloud services where applicable. These legal frameworks do not make the device clinically valid, and compliance depends on deployment context, contracts and institutional roles. Architecture implication: Reader V1 should function locally with minimal identifiers; HIVE/cloud/remote-review features should be optional, tenant/site governed and configurable for data residency/retention rather than mandatory for core AST measurement. Official anchors: </w:t>
      </w:r>
      <w:hyperlink r:id="rId45">
        <w:r>
          <w:rPr>
            <w:rFonts w:ascii="Calibri" w:hAnsi="Calibri"/>
            <w:color w:val="000000"/>
            <w:sz w:val="22"/>
          </w:rPr>
          <w:t>https://www.meity.gov.in/documents/act-and-policies/digital-personal-data-protection-rules-2025-gDOxUjMtQWa?pageTitle=Digital-Personal-Data-Protection-Rules-2025</w:t>
        </w:r>
      </w:hyperlink>
      <w:r>
        <w:rPr>
          <w:rFonts w:ascii="Calibri" w:hAnsi="Calibri"/>
          <w:color w:val="000000"/>
          <w:sz w:val="20"/>
        </w:rPr>
        <w:t> ; </w:t>
      </w:r>
      <w:hyperlink r:id="rId46">
        <w:r>
          <w:rPr>
            <w:rFonts w:ascii="Calibri" w:hAnsi="Calibri"/>
            <w:color w:val="000000"/>
            <w:sz w:val="22"/>
          </w:rPr>
          <w:t>https://www.meity.gov.in/static/uploads/2025/11/c56ceae6c383460ca69577428d36828b.pdf</w:t>
        </w:r>
      </w:hyperlink>
      <w:r>
        <w:rPr>
          <w:rFonts w:ascii="Calibri" w:hAnsi="Calibri"/>
          <w:color w:val="000000"/>
          <w:sz w:val="20"/>
        </w:rPr>
        <w:t> ; </w:t>
      </w:r>
      <w:hyperlink r:id="rId47">
        <w:r>
          <w:rPr>
            <w:rFonts w:ascii="Calibri" w:hAnsi="Calibri"/>
            <w:color w:val="000000"/>
            <w:sz w:val="22"/>
          </w:rPr>
          <w:t>https://eur-lex.europa.eu/eli/reg/2016/679/oj/</w:t>
        </w:r>
      </w:hyperlink>
      <w:r>
        <w:rPr>
          <w:rFonts w:ascii="Calibri" w:hAnsi="Calibri"/>
          <w:color w:val="000000"/>
          <w:sz w:val="20"/>
        </w:rPr>
        <w:t> ; </w:t>
      </w:r>
      <w:hyperlink r:id="rId48">
        <w:r>
          <w:rPr>
            <w:rFonts w:ascii="Calibri" w:hAnsi="Calibri"/>
            <w:color w:val="000000"/>
            <w:sz w:val="22"/>
          </w:rPr>
          <w:t>https://www.hhs.gov/hipaa/for-professionals/faq/2075/may-a-hipaa-covered-entity-or-business-associate-use-cloud-service-to-store-or-process-ephi/index.html</w:t>
        </w:r>
      </w:hyperlink>
      <w:r>
        <w:rPr>
          <w:rFonts w:ascii="Calibri" w:hAnsi="Calibri"/>
          <w:color w:val="000000"/>
          <w:sz w:val="20"/>
        </w:rPr>
        <w:t> .</w:t>
      </w:r>
    </w:p>
    <w:p>
      <w:pPr>
        <w:pStyle w:val="Normal"/>
        <w:spacing w:before="0" w:after="50" w:line="250" w:lineRule="auto"/>
        <w:rPr/>
      </w:pPr>
      <w:r>
        <w:rPr>
          <w:rFonts w:ascii="Calibri" w:hAnsi="Calibri"/>
          <w:color w:val="000000"/>
          <w:sz w:val="20"/>
        </w:rPr>
        <w:t>Regulatory execution route ;  PROPOSED / evidence-backed planning: if the final AMReye intended use is not an exact match to a published CDSCO IVD classification entry, the 13 March 2026 CDSCO IVD FAQ addendum states that the applicant may submit a risk-classification request through the CDSCO Online System for Medical Devices (cdscomdonline.gov.in). Use that formal route rather than relying on an internal class assumption. MedTech Mitra, a NITI Aayog-guided ICMR-CDSCO initiative, is an appropriate handholding route for an indigenous PoC seeking clinical-evaluation and regulatory facilitation; the official portal allows innovators/startups to submit product/stage information and request guidance. The 2025 IVD Innovators Handbook reinforces early intended-use definition, risk management, QMS, software verification/validation, analytical performance planning and clinical-performance planning. For a new IVD clinical-performance study using human specimens, the handbook/MDR pathway requires applicable CLA permission (MD-24 to MD-25), Ethics Committee approval and a pre-specified clinical-performance plan; whether this exact pathway applies to the final Reader V1 must be resolved from its final intended use/classification before study initiation. Official anchors: </w:t>
      </w:r>
      <w:hyperlink r:id="rId49">
        <w:r>
          <w:rPr>
            <w:rFonts w:ascii="Calibri" w:hAnsi="Calibri"/>
            <w:color w:val="000000"/>
            <w:sz w:val="22"/>
          </w:rPr>
          <w:t>https://www.cdsco.gov.in/opencms/export/sites/CDSCO_WEB/Pdf-documents/Addendum-Doc-No-CDSCOIVDFAQ-042022dated-13032026.pdf</w:t>
        </w:r>
      </w:hyperlink>
      <w:r>
        <w:rPr>
          <w:rFonts w:ascii="Calibri" w:hAnsi="Calibri"/>
          <w:color w:val="000000"/>
          <w:sz w:val="20"/>
        </w:rPr>
        <w:t> ; </w:t>
      </w:r>
      <w:hyperlink r:id="rId50">
        <w:r>
          <w:rPr>
            <w:rFonts w:ascii="Calibri" w:hAnsi="Calibri"/>
            <w:color w:val="000000"/>
            <w:sz w:val="22"/>
          </w:rPr>
          <w:t>https://medtechmitra.icmr.org.in/</w:t>
        </w:r>
      </w:hyperlink>
      <w:r>
        <w:rPr>
          <w:rFonts w:ascii="Calibri" w:hAnsi="Calibri"/>
          <w:color w:val="000000"/>
          <w:sz w:val="20"/>
        </w:rPr>
        <w:t> ; </w:t>
      </w:r>
      <w:hyperlink r:id="rId51">
        <w:r>
          <w:rPr>
            <w:rFonts w:ascii="Calibri" w:hAnsi="Calibri"/>
            <w:color w:val="000000"/>
            <w:sz w:val="22"/>
          </w:rPr>
          <w:t>https://www.cdsco.gov.in/opencms/export/sites/CDSCO_WEB/Pdf-documents/MedTech-Mitras-Innovator-Handbook-.pdf</w:t>
        </w:r>
      </w:hyperlink>
      <w:r>
        <w:rPr>
          <w:rFonts w:ascii="Calibri" w:hAnsi="Calibri"/>
          <w:color w:val="000000"/>
          <w:sz w:val="20"/>
        </w:rPr>
        <w:t> ; </w:t>
      </w:r>
      <w:hyperlink r:id="rId52">
        <w:r>
          <w:rPr>
            <w:rFonts w:ascii="Calibri" w:hAnsi="Calibri"/>
            <w:color w:val="000000"/>
            <w:sz w:val="22"/>
          </w:rPr>
          <w:t>https://cdsco.gov.in/opencms/export/sites/CDSCO_WEB/Pdf-documents/Guidance-document-on-Medical-Device-Software-under-MDR-2017.pdf</w:t>
        </w:r>
      </w:hyperlink>
      <w:r>
        <w:rPr>
          <w:rFonts w:ascii="Calibri" w:hAnsi="Calibri"/>
          <w:color w:val="000000"/>
          <w:sz w:val="20"/>
        </w:rPr>
        <w:t> .</w:t>
      </w:r>
    </w:p>
    <w:p>
      <w:pPr>
        <w:pStyle w:val="Normal"/>
        <w:spacing w:before="0" w:after="50" w:line="250" w:lineRule="auto"/>
        <w:rPr/>
      </w:pPr>
      <w:r>
        <w:rPr>
          <w:rFonts w:ascii="Calibri" w:hAnsi="Calibri"/>
          <w:color w:val="000000"/>
          <w:sz w:val="20"/>
        </w:rPr>
        <w:t>Performance-evaluation laboratory planning ;  OPEN: CDSCO's current 29 June 2026 performance-evaluation list is primarily organized around IVD reagents/kits and includes multiple microbiology/infectious-disease facilities, including facilities for MRSA-related IVDs. The CDSCO IVD page separately continues to link a 5 May 2022 list specifically for IVD analyzers, instruments and software; that older list includes culture-based MRSA analyzer/instrument/software evaluation at ICMR-NICED. Neither list by itself proves which laboratory is currently designated to evaluate an image-based disk-diffusion susceptibility reader/software combination. Therefore do not pre-select or claim a regulatory evaluation site; confirm the appropriate designated/registered laboratory with CDSCO/MedTech Mitra after intended use and risk classification are resolved. Current list: </w:t>
      </w:r>
      <w:hyperlink r:id="rId53">
        <w:r>
          <w:rPr>
            <w:rFonts w:ascii="Calibri" w:hAnsi="Calibri"/>
            <w:color w:val="000000"/>
            <w:sz w:val="22"/>
          </w:rPr>
          <w:t>https://www.cdsco.gov.in/opencms/export/sites/CDSCO_WEB/Pdf-documents/Revised-PER-list-dated-29.06.2026.pdf</w:t>
        </w:r>
      </w:hyperlink>
      <w:r>
        <w:rPr>
          <w:rFonts w:ascii="Calibri" w:hAnsi="Calibri"/>
          <w:color w:val="000000"/>
          <w:sz w:val="20"/>
        </w:rPr>
        <w:t> ; analyzer/software list: </w:t>
      </w:r>
      <w:hyperlink r:id="rId54">
        <w:r>
          <w:rPr>
            <w:rFonts w:ascii="Calibri" w:hAnsi="Calibri"/>
            <w:color w:val="000000"/>
            <w:sz w:val="22"/>
          </w:rPr>
          <w:t>https://www.cdsco.gov.in/opencms/export/sites/CDSCO_WEB/Pdf-documents/medical-device/List-of-labs-for-PE-of-IVD-Instruments-Analyser-Software-2022.pdf</w:t>
        </w:r>
      </w:hyperlink>
      <w:r>
        <w:rPr>
          <w:rFonts w:ascii="Calibri" w:hAnsi="Calibri"/>
          <w:color w:val="000000"/>
          <w:sz w:val="20"/>
        </w:rPr>
        <w:t> .</w:t>
      </w:r>
    </w:p>
    <w:p>
      <w:pPr>
        <w:pStyle w:val="Heading3"/>
        <w:keepNext/>
        <w:keepLines/>
        <w:spacing w:before="240" w:after="120" w:line="269" w:lineRule="auto"/>
      </w:pPr>
      <w:r>
        <w:rPr>
          <w:color w:val="000000"/>
        </w:rPr>
        <w:t>Competition, novelty and intellectual property</w:t>
      </w:r>
    </w:p>
    <w:p>
      <w:pPr>
        <w:pStyle w:val="Normal"/>
        <w:spacing w:before="0" w:after="50" w:line="250" w:lineRule="auto"/>
        <w:rPr/>
      </w:pPr>
      <w:r>
        <w:rPr>
          <w:rFonts w:ascii="Calibri" w:hAnsi="Calibri"/>
          <w:color w:val="000000"/>
          <w:sz w:val="20"/>
        </w:rPr>
        <w:t>The evidence supports a real existing automated/digital bacteriology field, not a “first-ever AI AST” claim. COPAN Radian is a directly relevant integrated disk-diffusion automation comparator; BIOMIC is a reader comparator; closed ID/AST or MIC platforms and broad laboratory automation have different functions and must not be conflated. FDA clearance of another product, including PhenoMATRIX, is evidence about that product’s intended use only. J-AST is a research/preprint comparator and must not be presented as AMR-Eye implementation or regulatory validation. Independent published Radian evaluation strengthens this competitive boundary: Callebaut et al., Current Microbiology 2024, DOI 10.1007/s00284-024-03710-z (PMID 38816509), evaluated 135 non-duplicate strains and reported organism-group categorical agreements of approximately 93.8-98.0% under the study’s EUCAST workflow. Radian automates not only reading but also inoculation/setup, disk handling, incubation transfer, imaging and interpretation. AMReye should therefore not position Reader V1 as a throughput-equivalent substitute for full laboratory automation. The defensible product hypothesis is a smaller modular reader/data layer for laboratories that want standardized, inspectable disk-diffusion measurement, offline/local operation, flexible integration and lower infrastructure burden without buying an entire automation line; this differentiation must be validated through customer discovery and comparative workflow/cost studies rather than asserted.</w:t>
      </w:r>
    </w:p>
    <w:p>
      <w:pPr>
        <w:pStyle w:val="Normal"/>
        <w:spacing w:before="0" w:after="50" w:line="250" w:lineRule="auto"/>
        <w:rPr/>
      </w:pPr>
      <w:r>
        <w:rPr>
          <w:rFonts w:ascii="Calibri" w:hAnsi="Calibri"/>
          <w:color w:val="000000"/>
          <w:sz w:val="20"/>
        </w:rPr>
        <w:t>Selected public prior art demonstrates that several broad Reader-V1 ideas are decades old and therefore cannot by themselves support novelty claims. US5629169A describes electronic plate-image acquisition, antibiotic-disk localisation/labeling, inhibition-zone estimation, operator review, image/result storage and pixel-to-millimetre calibration. US6665429B1 describes optical scanning/recognition of antibiotic disks together with automated inhibition-zone measurement. WO2000032807A1 / FR2786499A1 addresses contrast-optimized illumination/optical filtering for automatic antibiogram reading. WO2016055724A1 / EP3204508-family material describes automated camera/scanner-based detection of antibiotic disks and inhibition zones with rules/expert interpretation. More recent rapid-AST patent families also use optical/time-series concepts, including US12529090B2 / EP4273259A1 with coherent-light image correlation. These examples are not an exhaustive prior-art search or freedom-to-operate opinion; they establish that generic claims such as “camera reads disk diffusion,” “AI measures a zone,” “pixel-to-mm calibration,” “operator review,” or “automated interpretation” are crowded. Any AMReye IP strategy must focus on a genuinely specific system/method combination demonstrated to be novel and non-obvious, and should undergo professional claim-level novelty/FTO review before filing or public novelty claims. Public anchors: </w:t>
      </w:r>
      <w:hyperlink r:id="rId55">
        <w:r>
          <w:rPr>
            <w:rFonts w:ascii="Calibri" w:hAnsi="Calibri"/>
            <w:color w:val="000000"/>
            <w:sz w:val="22"/>
          </w:rPr>
          <w:t>https://patents.google.com/patent/US5629169A/en</w:t>
        </w:r>
      </w:hyperlink>
      <w:r>
        <w:rPr>
          <w:rFonts w:ascii="Calibri" w:hAnsi="Calibri"/>
          <w:color w:val="000000"/>
          <w:sz w:val="20"/>
        </w:rPr>
        <w:t> ; </w:t>
      </w:r>
      <w:hyperlink r:id="rId56">
        <w:r>
          <w:rPr>
            <w:rFonts w:ascii="Calibri" w:hAnsi="Calibri"/>
            <w:color w:val="000000"/>
            <w:sz w:val="22"/>
          </w:rPr>
          <w:t>https://patents.google.com/patent/US6665429B1/en</w:t>
        </w:r>
      </w:hyperlink>
      <w:r>
        <w:rPr>
          <w:rFonts w:ascii="Calibri" w:hAnsi="Calibri"/>
          <w:color w:val="000000"/>
          <w:sz w:val="20"/>
        </w:rPr>
        <w:t> ; </w:t>
      </w:r>
      <w:hyperlink r:id="rId57">
        <w:r>
          <w:rPr>
            <w:rFonts w:ascii="Calibri" w:hAnsi="Calibri"/>
            <w:color w:val="000000"/>
            <w:sz w:val="22"/>
          </w:rPr>
          <w:t>https://patents.google.com/patent/WO2000032807A1/en</w:t>
        </w:r>
      </w:hyperlink>
      <w:r>
        <w:rPr>
          <w:rFonts w:ascii="Calibri" w:hAnsi="Calibri"/>
          <w:color w:val="000000"/>
          <w:sz w:val="20"/>
        </w:rPr>
        <w:t> ; </w:t>
      </w:r>
      <w:hyperlink r:id="rId58">
        <w:r>
          <w:rPr>
            <w:rFonts w:ascii="Calibri" w:hAnsi="Calibri"/>
            <w:color w:val="000000"/>
            <w:sz w:val="22"/>
          </w:rPr>
          <w:t>https://patents.google.com/patent/WO2016055724A1/en</w:t>
        </w:r>
      </w:hyperlink>
      <w:r>
        <w:rPr>
          <w:rFonts w:ascii="Calibri" w:hAnsi="Calibri"/>
          <w:color w:val="000000"/>
          <w:sz w:val="20"/>
        </w:rPr>
        <w:t> ; </w:t>
      </w:r>
      <w:hyperlink r:id="rId59">
        <w:r>
          <w:rPr>
            <w:rFonts w:ascii="Calibri" w:hAnsi="Calibri"/>
            <w:color w:val="000000"/>
            <w:sz w:val="22"/>
          </w:rPr>
          <w:t>https://patents.google.com/patent/US12529090B2/en</w:t>
        </w:r>
      </w:hyperlink>
      <w:r>
        <w:rPr>
          <w:rFonts w:ascii="Calibri" w:hAnsi="Calibri"/>
          <w:color w:val="000000"/>
          <w:sz w:val="20"/>
        </w:rPr>
        <w:t> .</w:t>
      </w:r>
    </w:p>
    <w:p>
      <w:pPr>
        <w:pStyle w:val="Normal"/>
        <w:spacing w:before="0" w:after="50" w:line="250" w:lineRule="auto"/>
        <w:rPr/>
      </w:pPr>
      <w:r>
        <w:rPr>
          <w:rFonts w:ascii="Calibri" w:hAnsi="Calibri"/>
          <w:color w:val="000000"/>
          <w:sz w:val="20"/>
        </w:rPr>
        <w:t>Proposed differentiation to test with users: calibrated, inspectable measurements; practical offline operation; version-controlled interpretation; local serviceability; evidence-quality datasets; and an affordable workflow that can serve Indian laboratories while remaining adaptable to laboratories globally. Country, sector and organism-specific standards must be selectable/versioned rather than hard-coded. These are hypotheses until measured or supported by customer evidence. Conduct a claim-level prior-art/freedom-to-operate review before making novelty or patentability assertions. Telecentric optics, automated zone analysis or adding “AI” alone do not establish novelty.</w:t>
      </w:r>
    </w:p>
    <w:p>
      <w:pPr>
        <w:pStyle w:val="Normal"/>
        <w:spacing w:before="0" w:after="50" w:line="250" w:lineRule="auto"/>
        <w:rPr/>
      </w:pPr>
      <w:r>
        <w:rPr>
          <w:rFonts w:ascii="Calibri" w:hAnsi="Calibri"/>
          <w:color w:val="000000"/>
          <w:sz w:val="20"/>
        </w:rPr>
        <w:t>Primary comparator: </w:t>
      </w:r>
      <w:hyperlink r:id="rId60">
        <w:r>
          <w:rPr>
            <w:rFonts w:ascii="Calibri" w:hAnsi="Calibri"/>
            <w:color w:val="000000"/>
            <w:sz w:val="22"/>
          </w:rPr>
          <w:t>https://www.copanusa.com/laboratory-automation/microbiology-laboratory-automation-ai/radian/</w:t>
        </w:r>
      </w:hyperlink>
      <w:r>
        <w:rPr>
          <w:rFonts w:ascii="Calibri" w:hAnsi="Calibri"/>
          <w:color w:val="000000"/>
          <w:sz w:val="20"/>
        </w:rPr>
        <w:t> . Additional comparator sources and research references are preserved in the research assessment and source register in this document.</w:t>
      </w:r>
    </w:p>
    <w:p>
      <w:pPr>
        <w:pStyle w:val="Heading2"/>
        <w:keepNext/>
        <w:keepLines/>
      </w:pPr>
      <w:r>
        <w:rPr>
          <w:color w:val="000000"/>
        </w:rPr>
        <w:t>Evidence gated implementation plan</w:t>
      </w:r>
    </w:p>
    <w:p>
      <w:pPr>
        <w:pStyle w:val="Heading3"/>
        <w:keepNext/>
        <w:keepLines/>
        <w:spacing w:before="240" w:after="120" w:line="269" w:lineRule="auto"/>
      </w:pPr>
      <w:r>
        <w:rPr>
          <w:color w:val="000000"/>
        </w:rPr>
        <w:t>Suggested revised product roadmap</w:t>
      </w:r>
    </w:p>
    <w:p>
      <w:pPr>
        <w:pStyle w:val="Normal"/>
        <w:keepNext/>
        <w:spacing w:before="0" w:after="50" w:line="250" w:lineRule="auto"/>
        <w:rPr/>
      </w:pPr>
      <w:r>
        <w:rPr>
          <w:rFonts w:ascii="Calibri" w:hAnsi="Calibri"/>
          <w:b/>
          <w:color w:val="000000"/>
          <w:sz w:val="20"/>
        </w:rPr>
        <w:t>Now ;  Measurement PoC</w:t>
      </w:r>
    </w:p>
    <w:p>
      <w:pPr>
        <w:pStyle w:val="Normal"/>
        <w:spacing w:before="0" w:after="50" w:line="250" w:lineRule="auto"/>
        <w:rPr/>
      </w:pPr>
      <w:r>
        <w:rPr>
          <w:rFonts w:ascii="Calibri" w:hAnsi="Calibri"/>
          <w:color w:val="000000"/>
          <w:sz w:val="20"/>
        </w:rPr>
        <w:t>Standardised enclosure, reliable imaging, plate/disc detection, calibrated zone measurement, deterministic demo, raw-image preservation.</w:t>
      </w:r>
    </w:p>
    <w:p>
      <w:pPr>
        <w:pStyle w:val="Normal"/>
        <w:keepNext/>
        <w:spacing w:before="0" w:after="50" w:line="250" w:lineRule="auto"/>
        <w:rPr/>
      </w:pPr>
      <w:r>
        <w:rPr>
          <w:rFonts w:ascii="Calibri" w:hAnsi="Calibri"/>
          <w:b/>
          <w:color w:val="000000"/>
          <w:sz w:val="20"/>
        </w:rPr>
        <w:t>Next ;  Reader validation</w:t>
      </w:r>
    </w:p>
    <w:p>
      <w:pPr>
        <w:pStyle w:val="Normal"/>
        <w:spacing w:before="0" w:after="50" w:line="250" w:lineRule="auto"/>
        <w:rPr/>
      </w:pPr>
      <w:r>
        <w:rPr>
          <w:rFonts w:ascii="Calibri" w:hAnsi="Calibri"/>
          <w:color w:val="000000"/>
          <w:sz w:val="20"/>
        </w:rPr>
        <w:t>Failure detection, manual-edit UI, CLSI/EUCAST standards architecture, metrology study, blinded microbiologist comparison.</w:t>
      </w:r>
    </w:p>
    <w:p>
      <w:pPr>
        <w:pStyle w:val="Normal"/>
        <w:keepNext/>
        <w:spacing w:before="0" w:after="50" w:line="250" w:lineRule="auto"/>
        <w:rPr/>
      </w:pPr>
      <w:r>
        <w:rPr>
          <w:rFonts w:ascii="Calibri" w:hAnsi="Calibri"/>
          <w:b/>
          <w:color w:val="000000"/>
          <w:sz w:val="20"/>
        </w:rPr>
        <w:t>Then ;  Multisite AST validation</w:t>
      </w:r>
    </w:p>
    <w:p>
      <w:pPr>
        <w:pStyle w:val="Normal"/>
        <w:spacing w:before="0" w:after="50" w:line="250" w:lineRule="auto"/>
        <w:rPr/>
      </w:pPr>
      <w:r>
        <w:rPr>
          <w:rFonts w:ascii="Calibri" w:hAnsi="Calibri"/>
          <w:color w:val="000000"/>
          <w:sz w:val="20"/>
        </w:rPr>
        <w:t>Independent labs, resistance-enriched panels, locked model, categorical agreement/error analysis.</w:t>
      </w:r>
    </w:p>
    <w:p>
      <w:pPr>
        <w:pStyle w:val="Normal"/>
        <w:keepNext/>
        <w:spacing w:before="0" w:after="50" w:line="250" w:lineRule="auto"/>
        <w:rPr/>
      </w:pPr>
      <w:r>
        <w:rPr>
          <w:rFonts w:ascii="Calibri" w:hAnsi="Calibri"/>
          <w:b/>
          <w:color w:val="000000"/>
          <w:sz w:val="20"/>
        </w:rPr>
        <w:t>Then ;  Rapid AST module</w:t>
      </w:r>
    </w:p>
    <w:p>
      <w:pPr>
        <w:pStyle w:val="Normal"/>
        <w:spacing w:before="0" w:after="50" w:line="250" w:lineRule="auto"/>
        <w:rPr/>
      </w:pPr>
      <w:r>
        <w:rPr>
          <w:rFonts w:ascii="Calibri" w:hAnsi="Calibri"/>
          <w:color w:val="000000"/>
          <w:sz w:val="20"/>
        </w:rPr>
        <w:t>Scheduled 4/6/8-hour imaging, EUCAST-RAST-specific rules, ATU/abstention, time-to-first-actionable-result analysis. </w:t>
      </w:r>
    </w:p>
    <w:p>
      <w:pPr>
        <w:pStyle w:val="Normal"/>
        <w:keepNext/>
        <w:spacing w:before="0" w:after="50" w:line="250" w:lineRule="auto"/>
        <w:rPr/>
      </w:pPr>
      <w:r>
        <w:rPr>
          <w:rFonts w:ascii="Calibri" w:hAnsi="Calibri"/>
          <w:b/>
          <w:color w:val="000000"/>
          <w:sz w:val="20"/>
        </w:rPr>
        <w:t>Then ;  Integrated Bio-Vault</w:t>
      </w:r>
    </w:p>
    <w:p>
      <w:pPr>
        <w:pStyle w:val="Normal"/>
        <w:spacing w:before="0" w:after="50" w:line="250" w:lineRule="auto"/>
        <w:rPr/>
      </w:pPr>
      <w:r>
        <w:rPr>
          <w:rFonts w:ascii="Calibri" w:hAnsi="Calibri"/>
          <w:color w:val="000000"/>
          <w:sz w:val="20"/>
        </w:rPr>
        <w:t>Qualified incubation chamber, mapping, automated plate handling, environmental control.</w:t>
      </w:r>
    </w:p>
    <w:p>
      <w:pPr>
        <w:pStyle w:val="Normal"/>
        <w:keepNext/>
        <w:spacing w:before="0" w:after="50" w:line="250" w:lineRule="auto"/>
        <w:rPr/>
      </w:pPr>
      <w:r>
        <w:rPr>
          <w:rFonts w:ascii="Calibri" w:hAnsi="Calibri"/>
          <w:b/>
          <w:color w:val="000000"/>
          <w:sz w:val="20"/>
        </w:rPr>
        <w:t>Later ;  Bio-automation platform</w:t>
      </w:r>
    </w:p>
    <w:p>
      <w:pPr>
        <w:pStyle w:val="Normal"/>
        <w:spacing w:before="0" w:after="50" w:line="250" w:lineRule="auto"/>
        <w:rPr/>
      </w:pPr>
      <w:r>
        <w:rPr>
          <w:rFonts w:ascii="Calibri" w:hAnsi="Calibri"/>
          <w:color w:val="000000"/>
          <w:sz w:val="20"/>
        </w:rPr>
        <w:t>LIS/LIMS integration, fleet analytics, One Health exports, advanced multimodal sensing.</w:t>
      </w:r>
    </w:p>
    <w:p>
      <w:pPr>
        <w:pStyle w:val="Normal"/>
        <w:keepNext/>
        <w:spacing w:before="0" w:after="50" w:line="250" w:lineRule="auto"/>
        <w:rPr/>
      </w:pPr>
      <w:r>
        <w:rPr>
          <w:rFonts w:ascii="Calibri" w:hAnsi="Calibri"/>
          <w:b/>
          <w:color w:val="000000"/>
          <w:sz w:val="20"/>
        </w:rPr>
        <w:t>Research programme ;  not product claims</w:t>
      </w:r>
    </w:p>
    <w:p>
      <w:pPr>
        <w:pStyle w:val="Normal"/>
        <w:spacing w:before="0" w:after="50" w:line="250" w:lineRule="auto"/>
        <w:rPr/>
      </w:pPr>
      <w:r>
        <w:rPr>
          <w:rFonts w:ascii="Calibri" w:hAnsi="Calibri"/>
          <w:color w:val="000000"/>
          <w:sz w:val="20"/>
        </w:rPr>
        <w:t>pheno-to-geno, MIC inference from novel signals, heteroresistance analytics, VOC signatures, NIR condensation research, colony-topography sensing.</w:t>
      </w:r>
    </w:p>
    <w:p>
      <w:pPr>
        <w:pStyle w:val="Heading3"/>
        <w:keepNext/>
        <w:keepLines/>
        <w:spacing w:before="240" w:after="120" w:line="269" w:lineRule="auto"/>
      </w:pPr>
      <w:r>
        <w:rPr>
          <w:color w:val="000000"/>
        </w:rPr>
        <w:t>Prioritised implementation roadmap</w:t>
      </w:r>
    </w:p>
    <w:p>
      <w:pPr>
        <w:pStyle w:val="Heading3"/>
        <w:keepNext/>
        <w:keepLines/>
        <w:spacing w:before="240" w:after="120" w:line="269" w:lineRule="auto"/>
      </w:pPr>
      <w:r>
        <w:rPr>
          <w:color w:val="000000"/>
        </w:rPr>
        <w:t>Product objective</w:t>
      </w:r>
    </w:p>
    <w:p>
      <w:pPr>
        <w:pStyle w:val="Normal"/>
        <w:spacing w:before="0" w:after="50" w:line="250" w:lineRule="auto"/>
        <w:rPr/>
      </w:pPr>
      <w:r>
        <w:rPr>
          <w:rFonts w:ascii="Calibri" w:hAnsi="Calibri"/>
          <w:color w:val="000000"/>
          <w:sz w:val="20"/>
        </w:rPr>
        <w:t>The north-star v1 requirement should be:</w:t>
      </w:r>
    </w:p>
    <w:p>
      <w:pPr>
        <w:pStyle w:val="Normal"/>
        <w:spacing w:before="0" w:after="50" w:line="250" w:lineRule="auto"/>
        <w:rPr/>
      </w:pPr>
      <w:r>
        <w:rPr>
          <w:rFonts w:ascii="Calibri" w:hAnsi="Calibri"/>
          <w:b/>
          <w:color w:val="000000"/>
          <w:sz w:val="20"/>
        </w:rPr>
        <w:t>Given a properly prepared disk-diffusion plate within its intended-use scope, AMR</w:t>
        <w:noBreakHyphen/>
        <w:t>Eye captures a traceable calibrated image, determines whether it is readable, measures zones with quantified uncertainty, applies the correct versioned interpretive rules, and presents a reviewable result to a qualified operator while retaining the complete audit trail.</w:t>
      </w:r>
    </w:p>
    <w:p>
      <w:pPr>
        <w:pStyle w:val="Normal"/>
        <w:spacing w:before="0" w:after="50" w:line="250" w:lineRule="auto"/>
        <w:rPr/>
      </w:pPr>
      <w:r>
        <w:rPr>
          <w:rFonts w:ascii="Calibri" w:hAnsi="Calibri"/>
          <w:color w:val="000000"/>
          <w:sz w:val="20"/>
        </w:rPr>
        <w:t>Everything that does not improve that chain should initially be secondary.</w:t>
      </w:r>
    </w:p>
    <w:p>
      <w:pPr>
        <w:pStyle w:val="Heading3"/>
        <w:keepNext/>
        <w:keepLines/>
        <w:spacing w:before="240" w:after="120" w:line="269" w:lineRule="auto"/>
      </w:pPr>
      <w:r>
        <w:rPr>
          <w:color w:val="000000"/>
        </w:rPr>
        <w:t>Immediate programme</w:t>
      </w:r>
    </w:p>
    <w:p>
      <w:pPr>
        <w:pStyle w:val="Normal"/>
        <w:keepNext/>
        <w:spacing w:before="0" w:after="50" w:line="250" w:lineRule="auto"/>
        <w:rPr/>
      </w:pPr>
      <w:r>
        <w:rPr>
          <w:rFonts w:ascii="Calibri" w:hAnsi="Calibri"/>
          <w:b/>
          <w:color w:val="000000"/>
          <w:sz w:val="20"/>
        </w:rPr>
        <w:t>Effort estimates below are planning estimates, not guaranteed delivery or regulatory timelines.</w:t>
      </w:r>
    </w:p>
    <w:p>
      <w:pPr>
        <w:pStyle w:val="Caption"/>
        <w:keepNext/>
      </w:pPr>
      <w:bookmarkStart w:id="97014" w:name="table_2"/>
      <w:r>
        <w:t>Table 2 Reader V1 development milestones</w:t>
      </w:r>
      <w:bookmarkEnd w:id="97014"/>
    </w:p>
    <w:tbl>
      <w:tblPr>
        <w:tblStyle w:val="TableGrid"/>
        <w:tblW w:w="10280" w:type="dxa"/>
        <w:jc w:val="center"/>
        <w:tblInd w:w="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start w:w="108" w:type="dxa"/>
          <w:bottom w:w="0" w:type="dxa"/>
          <w:end w:w="108" w:type="dxa"/>
        </w:tblCellMar>
        <w:tblLook w:val="04a0" w:noHBand="0" w:noVBand="1" w:firstColumn="1" w:lastRow="0" w:lastColumn="0" w:firstRow="1"/>
      </w:tblPr>
      <w:tblGrid>
        <w:gridCol w:w="2570"/>
        <w:gridCol w:w="2570"/>
        <w:gridCol w:w="2570"/>
        <w:gridCol w:w="2569"/>
      </w:tblGrid>
      <w:tr>
        <w:trPr>
          <w:cantSplit/>
          <w:tblHeader/>
        </w:trPr>
        <w:tc>
          <w:tcPr>
            <w:tcW w:w="2448"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Milestone</w:t>
            </w:r>
          </w:p>
        </w:tc>
        <w:tc>
          <w:tcPr>
            <w:tcW w:w="2448"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Main work</w:t>
            </w:r>
          </w:p>
        </w:tc>
        <w:tc>
          <w:tcPr>
            <w:tcW w:w="2448"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Exit evidence</w:t>
            </w:r>
          </w:p>
        </w:tc>
        <w:tc>
          <w:tcPr>
            <w:tcW w:w="2448"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Indicative effort</w:t>
            </w:r>
          </w:p>
          <w:p>
            <w:pPr>
              <w:pStyle w:val="Normal"/>
              <w:keepNext/>
              <w:widowControl/>
              <w:spacing w:lineRule="auto" w:line="254" w:before="0" w:after="60"/>
              <w:jc w:val="start"/>
              <w:rPr>
                <w:b/>
                <w:sz w:val="17"/>
              </w:rPr>
            </w:pPr>
            <w:r>
              <w:rPr>
                <w:rFonts w:eastAsia="ＭＳ 明朝" w:cs="" w:ascii="Calibri" w:hAnsi="Calibri"/>
                <w:b/>
                <w:color w:val="FFFFFF"/>
                <w:kern w:val="0"/>
                <w:sz w:val="18"/>
                <w:szCs w:val="22"/>
                <w:lang w:val="en-US" w:eastAsia="en-US" w:bidi="ar-SA"/>
              </w:rPr>
            </w:r>
          </w:p>
        </w:tc>
      </w:tr>
      <w:tr>
        <w:trPr>
          <w:cantSplit/>
        </w:trPr>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Scope freeze</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Intended use, user, organisms/drugs/method, endpoint-vs-rapid scope, hardware configuration</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Approved Product Requirements Document + intended-use statement</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~2-4 team-weeks</w:t>
            </w:r>
          </w:p>
        </w:tc>
      </w:tr>
      <w:tr>
        <w:trPr>
          <w:cantSplit/>
        </w:trPr>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Claim clean-up</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Reconcile website/decks/financials/docs</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No external asset contradicts claim register</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 week</w:t>
            </w:r>
          </w:p>
        </w:tc>
      </w:tr>
      <w:tr>
        <w:trPr>
          <w:cantSplit/>
        </w:trPr>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Core repository setup</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Git repo, issue tracker, branch/release policy, model/data registry</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Reproducible v0 build</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~1-2 weeks</w:t>
            </w:r>
          </w:p>
        </w:tc>
      </w:tr>
      <w:tr>
        <w:trPr>
          <w:cantSplit/>
        </w:trPr>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Metrology bench</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Camera/lens/lighting, fiducial, field calibration, distortion and repeatability testing</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Calibration protocol + error map</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~4-8 weeks</w:t>
            </w:r>
          </w:p>
        </w:tc>
      </w:tr>
      <w:tr>
        <w:trPr>
          <w:cantSplit/>
        </w:trPr>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Dataset v0</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Controlled plates + edge cases + dual-reader annotations</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Dataset manifest and locked schema</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Parallel ~1-3 months</w:t>
            </w:r>
          </w:p>
        </w:tc>
      </w:tr>
      <w:tr>
        <w:trPr>
          <w:cantSplit/>
        </w:trPr>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CV pipeline v0</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QC, disk/zone measurement, uncertainty/abstention</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Reproducible validation report</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~1-3 months</w:t>
            </w:r>
          </w:p>
        </w:tc>
      </w:tr>
      <w:tr>
        <w:trPr>
          <w:cantSplit/>
        </w:trPr>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Standards engine v0</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Versioned rules, regression fixtures</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Same input always reproducible against specified standard/version</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~4-8 weeks</w:t>
            </w:r>
          </w:p>
        </w:tc>
      </w:tr>
      <w:tr>
        <w:trPr>
          <w:cantSplit/>
        </w:trPr>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BAHU Validation Mode</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reference vs AMR</w:t>
              <w:noBreakHyphen/>
              <w:t>Eye result, corrections, reviewer reason</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End-to-end review/audit demonstration</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~4-8 weeks</w:t>
            </w:r>
          </w:p>
        </w:tc>
      </w:tr>
      <w:tr>
        <w:trPr>
          <w:cantSplit/>
        </w:trPr>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Integrated prototype</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chamber + optics + controls + edge UI</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Repeatable full workflow, not just mock UI</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~3-6 months total programme</w:t>
            </w:r>
          </w:p>
        </w:tc>
      </w:tr>
      <w:tr>
        <w:trPr>
          <w:cantSplit/>
        </w:trPr>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External method comparison</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partner laboratory, pre-specified protocol, locked software/model</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Blinded independent performance report</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~3-6+ additional months depending study</w:t>
            </w:r>
          </w:p>
        </w:tc>
      </w:tr>
      <w:tr>
        <w:trPr>
          <w:cantSplit/>
        </w:trPr>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Pilot readiness/QMS</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design controls, risk files, cybersecurity, service/calibration</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Pilot release package</w:t>
            </w:r>
          </w:p>
        </w:tc>
        <w:tc>
          <w:tcPr>
            <w:tcW w:w="24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~6-12 months from programme start</w:t>
            </w:r>
          </w:p>
        </w:tc>
      </w:tr>
      <w:tr>
        <w:trPr>
          <w:cantSplit/>
        </w:trPr>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Regulatory submission programme</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classification/pathway, performance package, submission</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Depends on intended use and regulator pathway</w:t>
            </w:r>
          </w:p>
        </w:tc>
        <w:tc>
          <w:tcPr>
            <w:tcW w:w="24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Do not promise a fixed date before classification</w:t>
            </w:r>
          </w:p>
        </w:tc>
      </w:tr>
    </w:tbl>
    <w:p>
      <w:pPr>
        <w:pStyle w:val="Heading3"/>
        <w:keepNext/>
        <w:keepLines/>
        <w:spacing w:before="240" w:after="120" w:line="269" w:lineRule="auto"/>
      </w:pPr>
      <w:r>
        <w:rPr>
          <w:color w:val="000000"/>
        </w:rPr>
        <w:t>Experimental strategy</w:t>
      </w:r>
    </w:p>
    <w:p>
      <w:pPr>
        <w:pStyle w:val="Normal"/>
        <w:spacing w:before="0" w:after="50" w:line="250" w:lineRule="auto"/>
        <w:rPr/>
      </w:pPr>
      <w:r>
        <w:rPr>
          <w:rFonts w:ascii="Calibri" w:hAnsi="Calibri"/>
          <w:color w:val="000000"/>
          <w:sz w:val="20"/>
        </w:rPr>
        <w:t>The correct order is:</w:t>
      </w:r>
    </w:p>
    <w:p>
      <w:pPr>
        <w:pStyle w:val="Normal"/>
        <w:keepNext/>
        <w:spacing w:before="0" w:after="50" w:line="250" w:lineRule="auto"/>
        <w:rPr/>
      </w:pPr>
      <w:r>
        <w:rPr>
          <w:rFonts w:ascii="Calibri" w:hAnsi="Calibri"/>
          <w:b/>
          <w:color w:val="000000"/>
          <w:sz w:val="20"/>
        </w:rPr>
        <w:t>Metrology first → endpoint AST second → workflow proof third → rapid AST fourth → exotic multimodal inference last.</w:t>
      </w:r>
    </w:p>
    <w:p>
      <w:pPr>
        <w:pStyle w:val="Normal"/>
        <w:spacing w:before="0" w:after="50" w:line="250" w:lineRule="auto"/>
        <w:rPr/>
      </w:pPr>
      <w:r>
        <w:rPr>
          <w:rFonts w:ascii="Calibri" w:hAnsi="Calibri"/>
          <w:color w:val="000000"/>
          <w:sz w:val="20"/>
        </w:rPr>
        <w:t>A practical first experiment should not ask whether AMR</w:t>
        <w:noBreakHyphen/>
        <w:t>Eye can predict mecA. It should ask:</w:t>
      </w:r>
    </w:p>
    <w:p>
      <w:pPr>
        <w:pStyle w:val="Normal"/>
        <w:spacing w:before="0" w:after="50" w:line="250" w:lineRule="auto"/>
        <w:rPr/>
      </w:pPr>
      <w:r>
        <w:rPr>
          <w:rFonts w:ascii="Calibri" w:hAnsi="Calibri"/>
          <w:i/>
          <w:color w:val="000000"/>
          <w:sz w:val="20"/>
        </w:rPr>
        <w:t>Across known circular targets and real inhibition zones distributed throughout the plate, what is measurement bias and repeatability under controlled variations in lighting, plate position, condensation and operator loading?</w:t>
      </w:r>
    </w:p>
    <w:p>
      <w:pPr>
        <w:pStyle w:val="Normal"/>
        <w:spacing w:before="0" w:after="50" w:line="250" w:lineRule="auto"/>
        <w:rPr/>
      </w:pPr>
      <w:r>
        <w:rPr>
          <w:rFonts w:ascii="Calibri" w:hAnsi="Calibri"/>
          <w:color w:val="000000"/>
          <w:sz w:val="20"/>
        </w:rPr>
        <w:t>Then:</w:t>
      </w:r>
    </w:p>
    <w:p>
      <w:pPr>
        <w:pStyle w:val="Normal"/>
        <w:spacing w:before="0" w:after="50" w:line="250" w:lineRule="auto"/>
        <w:rPr/>
      </w:pPr>
      <w:r>
        <w:rPr>
          <w:rFonts w:ascii="Calibri" w:hAnsi="Calibri"/>
          <w:i/>
          <w:color w:val="000000"/>
          <w:sz w:val="20"/>
        </w:rPr>
        <w:t>How often do AMR</w:t>
        <w:noBreakHyphen/>
        <w:t>Eye’s measured diameters and resulting categorical interpretations agree with an independently established reference workflow, and exactly where do disagreements occur?</w:t>
      </w:r>
    </w:p>
    <w:p>
      <w:pPr>
        <w:pStyle w:val="Normal"/>
        <w:spacing w:before="0" w:after="50" w:line="250" w:lineRule="auto"/>
        <w:rPr/>
      </w:pPr>
      <w:r>
        <w:rPr>
          <w:rFonts w:ascii="Calibri" w:hAnsi="Calibri"/>
          <w:color w:val="000000"/>
          <w:sz w:val="20"/>
        </w:rPr>
        <w:t>Only after that should time-series experiments ask:</w:t>
      </w:r>
    </w:p>
    <w:p>
      <w:pPr>
        <w:pStyle w:val="Normal"/>
        <w:spacing w:before="0" w:after="50" w:line="250" w:lineRule="auto"/>
        <w:rPr/>
      </w:pPr>
      <w:r>
        <w:rPr>
          <w:rFonts w:ascii="Calibri" w:hAnsi="Calibri"/>
          <w:i/>
          <w:color w:val="000000"/>
          <w:sz w:val="20"/>
        </w:rPr>
        <w:t>At an earlier time point, can the system reach a predefined level of agreement with the validated endpoint result for a defined organism-drug combination?</w:t>
      </w:r>
    </w:p>
    <w:p>
      <w:pPr>
        <w:pStyle w:val="Normal"/>
        <w:spacing w:before="0" w:after="50" w:line="250" w:lineRule="auto"/>
        <w:rPr/>
      </w:pPr>
      <w:r>
        <w:rPr>
          <w:rFonts w:ascii="Calibri" w:hAnsi="Calibri"/>
          <w:color w:val="000000"/>
          <w:sz w:val="20"/>
        </w:rPr>
        <w:t>That turns “six hours” from a slogan into a falsifiable scientific research programme.</w:t>
      </w:r>
    </w:p>
    <w:p>
      <w:pPr>
        <w:pStyle w:val="Heading3"/>
        <w:keepNext/>
        <w:keepLines/>
        <w:spacing w:before="240" w:after="120" w:line="269" w:lineRule="auto"/>
      </w:pPr>
      <w:r>
        <w:rPr>
          <w:color w:val="000000"/>
        </w:rPr>
        <w:t>Decision gates</w:t>
      </w:r>
    </w:p>
    <w:p>
      <w:pPr>
        <w:pStyle w:val="Normal"/>
        <w:spacing w:before="0" w:after="50" w:line="250" w:lineRule="auto"/>
        <w:rPr/>
      </w:pPr>
      <w:r>
        <w:rPr>
          <w:rFonts w:ascii="Calibri" w:hAnsi="Calibri"/>
          <w:color w:val="000000"/>
          <w:sz w:val="20"/>
        </w:rPr>
        <w:t>The project should progress by evidence gates, not pitch dates.</w:t>
      </w:r>
    </w:p>
    <w:p>
      <w:pPr>
        <w:pStyle w:val="Normal"/>
        <w:spacing w:before="0" w:after="50" w:line="250" w:lineRule="auto"/>
        <w:rPr/>
      </w:pPr>
      <w:r>
        <w:rPr>
          <w:rFonts w:ascii="Calibri" w:hAnsi="Calibri"/>
          <w:color w:val="000000"/>
          <w:sz w:val="20"/>
        </w:rPr>
        <w:t>The advantage of this model is that ambitious R&amp;D can continue without contaminating the evidence level of the clinical core.</w:t>
      </w:r>
    </w:p>
    <w:p>
      <w:pPr>
        <w:pStyle w:val="Heading2"/>
        <w:keepNext/>
        <w:keepLines/>
      </w:pPr>
      <w:r>
        <w:rPr>
          <w:color w:val="000000"/>
        </w:rPr>
        <w:t>APEX XR proposed advanced configuration</w:t>
      </w:r>
    </w:p>
    <w:p>
      <w:pPr>
        <w:spacing w:before="0" w:after="50" w:line="250" w:lineRule="auto"/>
      </w:pPr>
      <w:r>
        <w:rPr>
          <w:rFonts w:ascii="Calibri" w:hAnsi="Calibri"/>
          <w:sz w:val="20"/>
        </w:rPr>
        <w:t>APEX XR is a proposed maximum-configuration research and bio-automation platform. It is not the current Reader V1, an installed clinical system or a commitment to build every module. Each subsystem requires independent feasibility, safety, cost and validation decisions.</w:t>
      </w:r>
    </w:p>
    <w:p>
      <w:pPr>
        <w:pStyle w:val="Heading2"/>
        <w:keepNext/>
        <w:keepLines/>
        <w:spacing w:before="240" w:after="120" w:line="269" w:lineRule="auto"/>
      </w:pPr>
      <w:r>
        <w:rPr>
          <w:color w:val="000000"/>
        </w:rPr>
        <w:t>Full flagship architecture</w:t>
      </w:r>
    </w:p>
    <w:p>
      <w:pPr>
        <w:pStyle w:val="Normal"/>
        <w:spacing w:before="0" w:after="50" w:line="250" w:lineRule="auto"/>
        <w:rPr/>
      </w:pPr>
      <w:r>
        <w:rPr>
          <w:rFonts w:ascii="Calibri" w:hAnsi="Calibri"/>
          <w:color w:val="000000"/>
          <w:sz w:val="20"/>
        </w:rPr>
        <w:t>APEX XR is organized across three physical zones, four compute/software layers and two optical paths. This separation prevents heat and operating-system faults from becoming biological-control failures and prevents one camera from being forced to compromise between metrology and phenomics.</w:t>
      </w:r>
    </w:p>
    <w:p>
      <w:pPr>
        <w:pStyle w:val="Heading3"/>
        <w:keepNext/>
        <w:keepLines/>
        <w:spacing w:before="240" w:after="120" w:line="269" w:lineRule="auto"/>
      </w:pPr>
      <w:r>
        <w:rPr>
          <w:color w:val="000000"/>
        </w:rPr>
        <w:t>System architecture - editable block diagram</w:t>
      </w:r>
    </w:p>
    <w:p>
      <w:pPr>
        <w:pStyle w:val="Caption"/>
        <w:keepNext/>
      </w:pPr>
      <w:bookmarkStart w:id="97015" w:name="table_3"/>
      <w:r>
        <w:t>Table 3 APEX XR architecture responsibilities</w:t>
      </w:r>
      <w:bookmarkEnd w:id="97015"/>
    </w:p>
    <w:tbl>
      <w:tblPr>
        <w:tblStyle w:val="TableGrid"/>
        <w:tblW w:w="10281" w:type="dxa"/>
        <w:jc w:val="center"/>
        <w:tblInd w:w="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start w:w="108" w:type="dxa"/>
          <w:bottom w:w="0" w:type="dxa"/>
          <w:end w:w="108" w:type="dxa"/>
        </w:tblCellMar>
        <w:tblLook w:val="04a0" w:noHBand="0" w:noVBand="1" w:firstColumn="1" w:lastRow="0" w:lastColumn="0" w:firstRow="1"/>
      </w:tblPr>
      <w:tblGrid>
        <w:gridCol w:w="3427"/>
        <w:gridCol w:w="3427"/>
        <w:gridCol w:w="3427"/>
      </w:tblGrid>
      <w:tr>
        <w:trPr>
          <w:cantSplit/>
          <w:tblHeader/>
        </w:trPr>
        <w:tc>
          <w:tcPr>
            <w:tcW w:w="3264"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Layer / zone</w:t>
            </w:r>
          </w:p>
        </w:tc>
        <w:tc>
          <w:tcPr>
            <w:tcW w:w="3264"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Primary elements</w:t>
            </w:r>
          </w:p>
        </w:tc>
        <w:tc>
          <w:tcPr>
            <w:tcW w:w="3264"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Responsibility</w:t>
            </w:r>
          </w:p>
        </w:tc>
      </w:tr>
      <w:tr>
        <w:trPr>
          <w:cantSplit/>
        </w:trPr>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L4 - HIVE / SaaS</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Fleet services, multi-site analytics, model registry, remote collaboration</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Optional connected services; never the sole path for a core local test</w:t>
            </w:r>
          </w:p>
        </w:tc>
      </w:tr>
      <w:tr>
        <w:trPr>
          <w:cantSplit/>
        </w:trPr>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L3 - CORTEX</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Jetson AGX Thor development kit; T5000-based production design</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Vision, sensor fusion, robotics planning, local model inference</w:t>
            </w:r>
          </w:p>
        </w:tc>
      </w:tr>
      <w:tr>
        <w:trPr>
          <w:cantSplit/>
        </w:trPr>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L2 - INTERFACE</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Industrial HMI/control computer, PIMS database, integration gateway</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Operator workflow, local records, report review, LIS/LIMS interfaces</w:t>
            </w:r>
          </w:p>
        </w:tc>
      </w:tr>
      <w:tr>
        <w:trPr>
          <w:cantSplit/>
        </w:trPr>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L1 - REFLEX</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STM32-class safety controller, watchdogs, sensor acquisition, deterministic control</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Thermal loops, motion limits, lighting triggers and safety interlocks</w:t>
            </w:r>
          </w:p>
        </w:tc>
      </w:tr>
      <w:tr>
        <w:trPr>
          <w:cantSplit/>
        </w:trPr>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BIO-VAULT</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Plate queue, metrology station, research imaging, MIC deck, gas and environment control</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Biological process space with cleanable, controlled, observable conditions</w:t>
            </w:r>
          </w:p>
        </w:tc>
      </w:tr>
      <w:tr>
        <w:trPr>
          <w:cantSplit/>
        </w:trPr>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POWER / SAFETY</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Medical-grade PSU class, UPS, LiFePO4 backup, protective devices, HEPA path</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Safe energy delivery, controlled shutdown and fault containment</w:t>
            </w:r>
          </w:p>
        </w:tc>
      </w:tr>
    </w:tbl>
    <w:p>
      <w:pPr>
        <w:pStyle w:val="Heading3"/>
        <w:keepNext/>
        <w:keepLines/>
        <w:spacing w:before="240" w:after="120" w:line="269" w:lineRule="auto"/>
      </w:pPr>
      <w:r>
        <w:rPr>
          <w:color w:val="000000"/>
        </w:rPr>
        <w:t>Data and control flow</w:t>
      </w:r>
    </w:p>
    <w:p>
      <w:pPr>
        <w:spacing w:before="0" w:after="50" w:line="250" w:lineRule="auto"/>
      </w:pPr>
      <w:r>
        <w:rPr>
          <w:rFonts w:ascii="Calibri" w:hAnsi="Calibri"/>
          <w:color w:val="000000"/>
          <w:sz w:val="20"/>
        </w:rPr>
        <w:t xml:space="preserve">PHYSICAL SAMPLE: Barcode-linked plate or microdilution panel</w:t>
      </w:r>
    </w:p>
    <w:p>
      <w:pPr>
        <w:spacing w:before="0" w:after="50" w:line="250" w:lineRule="auto"/>
      </w:pPr>
      <w:r>
        <w:rPr>
          <w:rFonts w:ascii="Calibri" w:hAnsi="Calibri"/>
          <w:color w:val="000000"/>
          <w:sz w:val="20"/>
        </w:rPr>
        <w:t xml:space="preserve">SENSING: Calibrated images + temperature + humidity + gas + weight + position</w:t>
      </w:r>
    </w:p>
    <w:p>
      <w:pPr>
        <w:spacing w:before="0" w:after="50" w:line="250" w:lineRule="auto"/>
      </w:pPr>
      <w:r>
        <w:rPr>
          <w:rFonts w:ascii="Calibri" w:hAnsi="Calibri"/>
          <w:color w:val="000000"/>
          <w:sz w:val="20"/>
        </w:rPr>
        <w:t xml:space="preserve">LOCAL INTELLIGENCE: Measurement models -&gt; structured standards rules -&gt; QC -&gt; confidence</w:t>
      </w:r>
    </w:p>
    <w:p>
      <w:pPr>
        <w:spacing w:before="0" w:after="50" w:line="250" w:lineRule="auto"/>
      </w:pPr>
      <w:r>
        <w:rPr>
          <w:rFonts w:ascii="Calibri" w:hAnsi="Calibri"/>
          <w:color w:val="000000"/>
          <w:sz w:val="20"/>
        </w:rPr>
        <w:t xml:space="preserve">HUMAN / SYSTEM OUTPUT: Technician review -&gt; signed result -&gt; LIS/LIMS/report -&gt; optional de-identified analytics</w:t>
      </w:r>
    </w:p>
    <w:p>
      <w:pPr>
        <w:pStyle w:val="Normal"/>
        <w:spacing w:before="0" w:after="50" w:line="250" w:lineRule="auto"/>
        <w:rPr/>
      </w:pPr>
      <w:r>
        <w:rPr>
          <w:rFonts w:ascii="Calibri" w:hAnsi="Calibri"/>
          <w:color w:val="000000"/>
          <w:sz w:val="20"/>
        </w:rPr>
        <w:t>Every transition is logged in the Plate Information Management System (PIMS). Raw data are retained with hashes, timestamps, calibration identifiers, software/model versions and user actions so a result can be reconstructed.</w:t>
      </w:r>
    </w:p>
    <w:p>
      <w:pPr>
        <w:pStyle w:val="Heading3"/>
        <w:keepNext/>
        <w:keepLines/>
        <w:spacing w:before="240" w:after="120" w:line="269" w:lineRule="auto"/>
      </w:pPr>
      <w:r>
        <w:rPr>
          <w:color w:val="000000"/>
        </w:rPr>
        <w:t>Dual imaging architecture</w:t>
      </w:r>
    </w:p>
    <w:p>
      <w:pPr>
        <w:spacing w:before="0" w:after="50" w:line="250" w:lineRule="auto"/>
      </w:pPr>
      <w:r>
        <w:rPr>
          <w:rFonts w:ascii="Calibri" w:hAnsi="Calibri"/>
          <w:color w:val="000000"/>
          <w:sz w:val="20"/>
        </w:rPr>
        <w:t xml:space="preserve">Clinical Metrology Eye: 31 MP monochrome global-shutter camera + large-field telecentric lens + calibrated transmitted illumination</w:t>
      </w:r>
    </w:p>
    <w:p>
      <w:pPr>
        <w:spacing w:before="0" w:after="50" w:line="250" w:lineRule="auto"/>
      </w:pPr>
      <w:r>
        <w:rPr>
          <w:rFonts w:ascii="Calibri" w:hAnsi="Calibri"/>
          <w:color w:val="000000"/>
          <w:sz w:val="20"/>
        </w:rPr>
        <w:t xml:space="preserve">Shared sample plane: Kinematic plate nest, fiducials, barcode, environmental history and repeatable focus/height</w:t>
      </w:r>
    </w:p>
    <w:p>
      <w:pPr>
        <w:spacing w:before="0" w:after="50" w:line="250" w:lineRule="auto"/>
      </w:pPr>
      <w:r>
        <w:rPr>
          <w:rFonts w:ascii="Calibri" w:hAnsi="Calibri"/>
          <w:color w:val="000000"/>
          <w:sz w:val="20"/>
        </w:rPr>
        <w:t xml:space="preserve">Research Phenomics Eye: High-sensitivity color/RGB-NIR camera + epi/oblique/dark-field/NIR + optional fluorescence</w:t>
      </w:r>
    </w:p>
    <w:p>
      <w:pPr>
        <w:spacing w:before="0" w:after="50" w:line="250" w:lineRule="auto"/>
      </w:pPr>
      <w:r>
        <w:rPr>
          <w:rFonts w:ascii="Calibri" w:hAnsi="Calibri"/>
          <w:color w:val="000000"/>
          <w:sz w:val="20"/>
        </w:rPr>
        <w:t xml:space="preserve">Clinical Metrology Eye: Purpose: disc localization, zone-boundary measurement, dimensional repeatability and microdilution well reading</w:t>
      </w:r>
    </w:p>
    <w:p>
      <w:pPr>
        <w:spacing w:before="0" w:after="50" w:line="250" w:lineRule="auto"/>
      </w:pPr>
      <w:r>
        <w:rPr>
          <w:rFonts w:ascii="Calibri" w:hAnsi="Calibri"/>
          <w:color w:val="000000"/>
          <w:sz w:val="20"/>
        </w:rPr>
        <w:t xml:space="preserve">Shared sample plane: Purpose: one plate identity and one digital twin across both paths</w:t>
      </w:r>
    </w:p>
    <w:p>
      <w:pPr>
        <w:spacing w:before="0" w:after="50" w:line="250" w:lineRule="auto"/>
      </w:pPr>
      <w:r>
        <w:rPr>
          <w:rFonts w:ascii="Calibri" w:hAnsi="Calibri"/>
          <w:color w:val="000000"/>
          <w:sz w:val="20"/>
        </w:rPr>
        <w:t xml:space="preserve">Research Phenomics Eye: Purpose: pigment, morphology, time-lapse, reporter signals, texture and exploratory phenomics</w:t>
      </w:r>
    </w:p>
    <w:p>
      <w:pPr>
        <w:spacing w:before="0" w:after="50" w:line="250" w:lineRule="auto"/>
      </w:pPr>
      <w:r>
        <w:rPr>
          <w:rFonts w:ascii="Calibri" w:hAnsi="Calibri"/>
          <w:color w:val="000000"/>
          <w:sz w:val="20"/>
        </w:rPr>
        <w:t xml:space="preserve">METROLOGY CORRECTION
Telecentric optics reduce perspective error but do not create sub-micron whole-plate accuracy. System-level accuracy, repeatability, uncertainty and edge performance must be established using traceable artifacts and the final camera-lens-lighting-mechanics stack.</w:t>
      </w:r>
    </w:p>
    <w:p>
      <w:pPr>
        <w:pStyle w:val="Heading2"/>
        <w:keepNext/>
        <w:keepLines/>
        <w:spacing w:before="240" w:after="120" w:line="269" w:lineRule="auto"/>
      </w:pPr>
      <w:r>
        <w:rPr>
          <w:color w:val="000000"/>
        </w:rPr>
        <w:t>Updated flagship hardware stack</w:t>
      </w:r>
    </w:p>
    <w:p>
      <w:pPr>
        <w:pStyle w:val="Normal"/>
        <w:spacing w:before="0" w:after="50" w:line="250" w:lineRule="auto"/>
        <w:rPr/>
      </w:pPr>
      <w:r>
        <w:rPr>
          <w:rFonts w:ascii="Calibri" w:hAnsi="Calibri"/>
          <w:color w:val="000000"/>
          <w:sz w:val="20"/>
        </w:rPr>
        <w:t>Named components are reference classes for an engineering build. Production selection must also consider lifecycle, regional availability, environmental ratings, serviceability, EMC, calibration, supplier qualification and regulatory evidence.</w:t>
      </w:r>
    </w:p>
    <w:p>
      <w:pPr>
        <w:spacing w:before="0" w:after="50" w:line="250" w:lineRule="auto"/>
      </w:pPr>
      <w:r>
        <w:rPr>
          <w:rFonts w:ascii="Calibri" w:hAnsi="Calibri"/>
          <w:color w:val="000000"/>
          <w:sz w:val="20"/>
        </w:rPr>
        <w:t xml:space="preserve">Subsystem: AI compute</w:t>
      </w:r>
    </w:p>
    <w:p>
      <w:pPr>
        <w:spacing w:before="0" w:after="50" w:line="250" w:lineRule="auto"/>
      </w:pPr>
      <w:r>
        <w:rPr>
          <w:rFonts w:ascii="Calibri" w:hAnsi="Calibri"/>
          <w:color w:val="000000"/>
          <w:sz w:val="20"/>
        </w:rPr>
        <w:t xml:space="preserve">Reference configuration: Jetson AGX Thor developer kit for development; T5000 module + qualified carrier for production [S6-S7]</w:t>
      </w:r>
    </w:p>
    <w:p>
      <w:pPr>
        <w:spacing w:before="0" w:after="50" w:line="250" w:lineRule="auto"/>
      </w:pPr>
      <w:r>
        <w:rPr>
          <w:rFonts w:ascii="Calibri" w:hAnsi="Calibri"/>
          <w:color w:val="000000"/>
          <w:sz w:val="20"/>
        </w:rPr>
        <w:t xml:space="preserve">Status: Essential to APEX; right-size for lower tiers</w:t>
      </w:r>
    </w:p>
    <w:p>
      <w:pPr>
        <w:spacing w:before="0" w:after="50" w:line="250" w:lineRule="auto"/>
      </w:pPr>
      <w:r>
        <w:rPr>
          <w:rFonts w:ascii="Calibri" w:hAnsi="Calibri"/>
          <w:color w:val="000000"/>
          <w:sz w:val="20"/>
        </w:rPr>
        <w:t xml:space="preserve">Subsystem: Safety control</w:t>
      </w:r>
    </w:p>
    <w:p>
      <w:pPr>
        <w:spacing w:before="0" w:after="50" w:line="250" w:lineRule="auto"/>
      </w:pPr>
      <w:r>
        <w:rPr>
          <w:rFonts w:ascii="Calibri" w:hAnsi="Calibri"/>
          <w:color w:val="000000"/>
          <w:sz w:val="20"/>
        </w:rPr>
        <w:t xml:space="preserve">Reference configuration: STM32H7-class MCU, isolated I/O, independent watchdogs and hardware cut-outs</w:t>
      </w:r>
    </w:p>
    <w:p>
      <w:pPr>
        <w:spacing w:before="0" w:after="50" w:line="250" w:lineRule="auto"/>
      </w:pPr>
      <w:r>
        <w:rPr>
          <w:rFonts w:ascii="Calibri" w:hAnsi="Calibri"/>
          <w:color w:val="000000"/>
          <w:sz w:val="20"/>
        </w:rPr>
        <w:t xml:space="preserve">Status: Essential</w:t>
      </w:r>
    </w:p>
    <w:p>
      <w:pPr>
        <w:spacing w:before="0" w:after="50" w:line="250" w:lineRule="auto"/>
      </w:pPr>
      <w:r>
        <w:rPr>
          <w:rFonts w:ascii="Calibri" w:hAnsi="Calibri"/>
          <w:color w:val="000000"/>
          <w:sz w:val="20"/>
        </w:rPr>
        <w:t xml:space="preserve">Subsystem: HMI / gateway</w:t>
      </w:r>
    </w:p>
    <w:p>
      <w:pPr>
        <w:spacing w:before="0" w:after="50" w:line="250" w:lineRule="auto"/>
      </w:pPr>
      <w:r>
        <w:rPr>
          <w:rFonts w:ascii="Calibri" w:hAnsi="Calibri"/>
          <w:color w:val="000000"/>
          <w:sz w:val="20"/>
        </w:rPr>
        <w:t xml:space="preserve">Reference configuration: Industrial touch display and separate control computer with encrypted local storage</w:t>
      </w:r>
    </w:p>
    <w:p>
      <w:pPr>
        <w:spacing w:before="0" w:after="50" w:line="250" w:lineRule="auto"/>
      </w:pPr>
      <w:r>
        <w:rPr>
          <w:rFonts w:ascii="Calibri" w:hAnsi="Calibri"/>
          <w:color w:val="000000"/>
          <w:sz w:val="20"/>
        </w:rPr>
        <w:t xml:space="preserve">Status: Essential</w:t>
      </w:r>
    </w:p>
    <w:p>
      <w:pPr>
        <w:spacing w:before="0" w:after="50" w:line="250" w:lineRule="auto"/>
      </w:pPr>
      <w:r>
        <w:rPr>
          <w:rFonts w:ascii="Calibri" w:hAnsi="Calibri"/>
          <w:color w:val="000000"/>
          <w:sz w:val="20"/>
        </w:rPr>
        <w:t xml:space="preserve">Subsystem: Metrology camera</w:t>
      </w:r>
    </w:p>
    <w:p>
      <w:pPr>
        <w:spacing w:before="0" w:after="50" w:line="250" w:lineRule="auto"/>
      </w:pPr>
      <w:r>
        <w:rPr>
          <w:rFonts w:ascii="Calibri" w:hAnsi="Calibri"/>
          <w:color w:val="000000"/>
          <w:sz w:val="20"/>
        </w:rPr>
        <w:t xml:space="preserve">Reference configuration: Teledyne FLIR Oryx ORX-10G-310S9M class: 31 MP, global shutter, 10GigE [S9]</w:t>
      </w:r>
    </w:p>
    <w:p>
      <w:pPr>
        <w:spacing w:before="0" w:after="50" w:line="250" w:lineRule="auto"/>
      </w:pPr>
      <w:r>
        <w:rPr>
          <w:rFonts w:ascii="Calibri" w:hAnsi="Calibri"/>
          <w:color w:val="000000"/>
          <w:sz w:val="20"/>
        </w:rPr>
        <w:t xml:space="preserve">Status: Essential for flagship clinical metrology</w:t>
      </w:r>
    </w:p>
    <w:p>
      <w:pPr>
        <w:spacing w:before="0" w:after="50" w:line="250" w:lineRule="auto"/>
      </w:pPr>
      <w:r>
        <w:rPr>
          <w:rFonts w:ascii="Calibri" w:hAnsi="Calibri"/>
          <w:color w:val="000000"/>
          <w:sz w:val="20"/>
        </w:rPr>
        <w:t xml:space="preserve">Subsystem: Telecentric optics</w:t>
      </w:r>
    </w:p>
    <w:p>
      <w:pPr>
        <w:spacing w:before="0" w:after="50" w:line="250" w:lineRule="auto"/>
      </w:pPr>
      <w:r>
        <w:rPr>
          <w:rFonts w:ascii="Calibri" w:hAnsi="Calibri"/>
          <w:color w:val="000000"/>
          <w:sz w:val="20"/>
        </w:rPr>
        <w:t xml:space="preserve">Reference configuration: 0.238x large-field TitanTL class, ~122.7 mm horizontal FOV on APS-H; final sensor pairing and plate coverage require optical validation [S8]</w:t>
      </w:r>
    </w:p>
    <w:p>
      <w:pPr>
        <w:spacing w:before="0" w:after="50" w:line="250" w:lineRule="auto"/>
      </w:pPr>
      <w:r>
        <w:rPr>
          <w:rFonts w:ascii="Calibri" w:hAnsi="Calibri"/>
          <w:color w:val="000000"/>
          <w:sz w:val="20"/>
        </w:rPr>
        <w:t xml:space="preserve">Status: Essential for flagship metrology</w:t>
      </w:r>
    </w:p>
    <w:p>
      <w:pPr>
        <w:spacing w:before="0" w:after="50" w:line="250" w:lineRule="auto"/>
      </w:pPr>
      <w:r>
        <w:rPr>
          <w:rFonts w:ascii="Calibri" w:hAnsi="Calibri"/>
          <w:color w:val="000000"/>
          <w:sz w:val="20"/>
        </w:rPr>
        <w:t xml:space="preserve">Subsystem: Research camera</w:t>
      </w:r>
    </w:p>
    <w:p>
      <w:pPr>
        <w:spacing w:before="0" w:after="50" w:line="250" w:lineRule="auto"/>
      </w:pPr>
      <w:r>
        <w:rPr>
          <w:rFonts w:ascii="Calibri" w:hAnsi="Calibri"/>
          <w:color w:val="000000"/>
          <w:sz w:val="20"/>
        </w:rPr>
        <w:t xml:space="preserve">Reference configuration: High-sensitivity color camera with visible and 940 nm NIR response; filterable optical path</w:t>
      </w:r>
    </w:p>
    <w:p>
      <w:pPr>
        <w:spacing w:before="0" w:after="50" w:line="250" w:lineRule="auto"/>
      </w:pPr>
      <w:r>
        <w:rPr>
          <w:rFonts w:ascii="Calibri" w:hAnsi="Calibri"/>
          <w:color w:val="000000"/>
          <w:sz w:val="20"/>
        </w:rPr>
        <w:t xml:space="preserve">Status: Essential to XR research configuration</w:t>
      </w:r>
    </w:p>
    <w:p>
      <w:pPr>
        <w:spacing w:before="0" w:after="50" w:line="250" w:lineRule="auto"/>
      </w:pPr>
      <w:r>
        <w:rPr>
          <w:rFonts w:ascii="Calibri" w:hAnsi="Calibri"/>
          <w:color w:val="000000"/>
          <w:sz w:val="20"/>
        </w:rPr>
        <w:t xml:space="preserve">Subsystem: Illumination</w:t>
      </w:r>
    </w:p>
    <w:p>
      <w:pPr>
        <w:spacing w:before="0" w:after="50" w:line="250" w:lineRule="auto"/>
      </w:pPr>
      <w:r>
        <w:rPr>
          <w:rFonts w:ascii="Calibri" w:hAnsi="Calibri"/>
          <w:color w:val="000000"/>
          <w:sz w:val="20"/>
        </w:rPr>
        <w:t xml:space="preserve">Reference configuration: Transmitted, epi, oblique, dark-field, polarized, 940 nm NIR and switchable fluorescence channels</w:t>
      </w:r>
    </w:p>
    <w:p>
      <w:pPr>
        <w:spacing w:before="0" w:after="50" w:line="250" w:lineRule="auto"/>
      </w:pPr>
      <w:r>
        <w:rPr>
          <w:rFonts w:ascii="Calibri" w:hAnsi="Calibri"/>
          <w:color w:val="000000"/>
          <w:sz w:val="20"/>
        </w:rPr>
        <w:t xml:space="preserve">Status: Mixed: core modes essential; fluorescence research-only until validated</w:t>
      </w:r>
    </w:p>
    <w:p>
      <w:pPr>
        <w:spacing w:before="0" w:after="50" w:line="250" w:lineRule="auto"/>
      </w:pPr>
      <w:r>
        <w:rPr>
          <w:rFonts w:ascii="Calibri" w:hAnsi="Calibri"/>
          <w:color w:val="000000"/>
          <w:sz w:val="20"/>
        </w:rPr>
        <w:t xml:space="preserve">Subsystem: VOC</w:t>
      </w:r>
    </w:p>
    <w:p>
      <w:pPr>
        <w:spacing w:before="0" w:after="50" w:line="250" w:lineRule="auto"/>
      </w:pPr>
      <w:r>
        <w:rPr>
          <w:rFonts w:ascii="Calibri" w:hAnsi="Calibri"/>
          <w:color w:val="000000"/>
          <w:sz w:val="20"/>
        </w:rPr>
        <w:t xml:space="preserve">Reference configuration: Eight-channel BME690-class gas-sensor array with controlled sampling and reference channel [S10]</w:t>
      </w:r>
    </w:p>
    <w:p>
      <w:pPr>
        <w:spacing w:before="0" w:after="50" w:line="250" w:lineRule="auto"/>
      </w:pPr>
      <w:r>
        <w:rPr>
          <w:rFonts w:ascii="Calibri" w:hAnsi="Calibri"/>
          <w:color w:val="000000"/>
          <w:sz w:val="20"/>
        </w:rPr>
        <w:t xml:space="preserve">Status: Optional research / process-monitoring module</w:t>
      </w:r>
    </w:p>
    <w:p>
      <w:pPr>
        <w:spacing w:before="0" w:after="50" w:line="250" w:lineRule="auto"/>
      </w:pPr>
      <w:r>
        <w:rPr>
          <w:rFonts w:ascii="Calibri" w:hAnsi="Calibri"/>
          <w:color w:val="000000"/>
          <w:sz w:val="20"/>
        </w:rPr>
        <w:t xml:space="preserve">Subsystem: Coarse depth</w:t>
      </w:r>
    </w:p>
    <w:p>
      <w:pPr>
        <w:spacing w:before="0" w:after="50" w:line="250" w:lineRule="auto"/>
      </w:pPr>
      <w:r>
        <w:rPr>
          <w:rFonts w:ascii="Calibri" w:hAnsi="Calibri"/>
          <w:color w:val="000000"/>
          <w:sz w:val="20"/>
        </w:rPr>
        <w:t xml:space="preserve">Reference configuration: VL53L8CX 8x8 ToF sensor for position, proximity and gross depth [S11]</w:t>
      </w:r>
    </w:p>
    <w:p>
      <w:pPr>
        <w:spacing w:before="0" w:after="50" w:line="250" w:lineRule="auto"/>
      </w:pPr>
      <w:r>
        <w:rPr>
          <w:rFonts w:ascii="Calibri" w:hAnsi="Calibri"/>
          <w:color w:val="000000"/>
          <w:sz w:val="20"/>
        </w:rPr>
        <w:t xml:space="preserve">Status: Optional auxiliary sensor</w:t>
      </w:r>
    </w:p>
    <w:p>
      <w:pPr>
        <w:spacing w:before="0" w:after="50" w:line="250" w:lineRule="auto"/>
      </w:pPr>
      <w:r>
        <w:rPr>
          <w:rFonts w:ascii="Calibri" w:hAnsi="Calibri"/>
          <w:color w:val="000000"/>
          <w:sz w:val="20"/>
        </w:rPr>
        <w:t xml:space="preserve">Subsystem: 3D morphology</w:t>
      </w:r>
    </w:p>
    <w:p>
      <w:pPr>
        <w:spacing w:before="0" w:after="50" w:line="250" w:lineRule="auto"/>
      </w:pPr>
      <w:r>
        <w:rPr>
          <w:rFonts w:ascii="Calibri" w:hAnsi="Calibri"/>
          <w:color w:val="000000"/>
          <w:sz w:val="20"/>
        </w:rPr>
        <w:t xml:space="preserve">Reference configuration: Laser triangulation, structured light or chromatic/confocal profilometry</w:t>
      </w:r>
    </w:p>
    <w:p>
      <w:pPr>
        <w:spacing w:before="0" w:after="50" w:line="250" w:lineRule="auto"/>
      </w:pPr>
      <w:r>
        <w:rPr>
          <w:rFonts w:ascii="Calibri" w:hAnsi="Calibri"/>
          <w:color w:val="000000"/>
          <w:sz w:val="20"/>
        </w:rPr>
        <w:t xml:space="preserve">Status: Research-only module</w:t>
      </w:r>
    </w:p>
    <w:p>
      <w:pPr>
        <w:spacing w:before="0" w:after="50" w:line="250" w:lineRule="auto"/>
      </w:pPr>
      <w:r>
        <w:rPr>
          <w:rFonts w:ascii="Calibri" w:hAnsi="Calibri"/>
          <w:color w:val="000000"/>
          <w:sz w:val="20"/>
        </w:rPr>
        <w:t xml:space="preserve">Subsystem: Incubation</w:t>
      </w:r>
    </w:p>
    <w:p>
      <w:pPr>
        <w:spacing w:before="0" w:after="50" w:line="250" w:lineRule="auto"/>
      </w:pPr>
      <w:r>
        <w:rPr>
          <w:rFonts w:ascii="Calibri" w:hAnsi="Calibri"/>
          <w:color w:val="000000"/>
          <w:sz w:val="20"/>
        </w:rPr>
        <w:t xml:space="preserve">Reference configuration: Insulated chamber, PT100-class sensing, bidirectional thermal control, active humidity management</w:t>
      </w:r>
    </w:p>
    <w:p>
      <w:pPr>
        <w:spacing w:before="0" w:after="50" w:line="250" w:lineRule="auto"/>
      </w:pPr>
      <w:r>
        <w:rPr>
          <w:rFonts w:ascii="Calibri" w:hAnsi="Calibri"/>
          <w:color w:val="000000"/>
          <w:sz w:val="20"/>
        </w:rPr>
        <w:t xml:space="preserve">Status: Essential</w:t>
      </w:r>
    </w:p>
    <w:p>
      <w:pPr>
        <w:spacing w:before="0" w:after="50" w:line="250" w:lineRule="auto"/>
      </w:pPr>
      <w:r>
        <w:rPr>
          <w:rFonts w:ascii="Calibri" w:hAnsi="Calibri"/>
          <w:color w:val="000000"/>
          <w:sz w:val="20"/>
        </w:rPr>
        <w:t xml:space="preserve">Subsystem: Gas control</w:t>
      </w:r>
    </w:p>
    <w:p>
      <w:pPr>
        <w:spacing w:before="0" w:after="50" w:line="250" w:lineRule="auto"/>
      </w:pPr>
      <w:r>
        <w:rPr>
          <w:rFonts w:ascii="Calibri" w:hAnsi="Calibri"/>
          <w:color w:val="000000"/>
          <w:sz w:val="20"/>
        </w:rPr>
        <w:t xml:space="preserve">Reference configuration: O2/CO2 sensing, regulated ports, valves/flow controllers, pressure and exhaust management</w:t>
      </w:r>
    </w:p>
    <w:p>
      <w:pPr>
        <w:spacing w:before="0" w:after="50" w:line="250" w:lineRule="auto"/>
      </w:pPr>
      <w:r>
        <w:rPr>
          <w:rFonts w:ascii="Calibri" w:hAnsi="Calibri"/>
          <w:color w:val="000000"/>
          <w:sz w:val="20"/>
        </w:rPr>
        <w:t xml:space="preserve">Status: Optional research module</w:t>
      </w:r>
    </w:p>
    <w:p>
      <w:pPr>
        <w:spacing w:before="0" w:after="50" w:line="250" w:lineRule="auto"/>
      </w:pPr>
      <w:r>
        <w:rPr>
          <w:rFonts w:ascii="Calibri" w:hAnsi="Calibri"/>
          <w:color w:val="000000"/>
          <w:sz w:val="20"/>
        </w:rPr>
        <w:t xml:space="preserve">Subsystem: Nephelometer</w:t>
      </w:r>
    </w:p>
    <w:p>
      <w:pPr>
        <w:spacing w:before="0" w:after="50" w:line="250" w:lineRule="auto"/>
      </w:pPr>
      <w:r>
        <w:rPr>
          <w:rFonts w:ascii="Calibri" w:hAnsi="Calibri"/>
          <w:color w:val="000000"/>
          <w:sz w:val="20"/>
        </w:rPr>
        <w:t xml:space="preserve">Reference configuration: Calibrated optical scattering with reference channel and tube identification</w:t>
      </w:r>
    </w:p>
    <w:p>
      <w:pPr>
        <w:spacing w:before="0" w:after="50" w:line="250" w:lineRule="auto"/>
      </w:pPr>
      <w:r>
        <w:rPr>
          <w:rFonts w:ascii="Calibri" w:hAnsi="Calibri"/>
          <w:color w:val="000000"/>
          <w:sz w:val="20"/>
        </w:rPr>
        <w:t xml:space="preserve">Status: Essential for standardized inoculum workflows</w:t>
      </w:r>
    </w:p>
    <w:p>
      <w:pPr>
        <w:spacing w:before="0" w:after="50" w:line="250" w:lineRule="auto"/>
      </w:pPr>
      <w:r>
        <w:rPr>
          <w:rFonts w:ascii="Calibri" w:hAnsi="Calibri"/>
          <w:color w:val="000000"/>
          <w:sz w:val="20"/>
        </w:rPr>
        <w:t xml:space="preserve">Subsystem: Direct MIC</w:t>
      </w:r>
    </w:p>
    <w:p>
      <w:pPr>
        <w:spacing w:before="0" w:after="50" w:line="250" w:lineRule="auto"/>
      </w:pPr>
      <w:r>
        <w:rPr>
          <w:rFonts w:ascii="Calibri" w:hAnsi="Calibri"/>
          <w:color w:val="000000"/>
          <w:sz w:val="20"/>
        </w:rPr>
        <w:t xml:space="preserve">Reference configuration: 96-well broth microdilution deck with transmitted optical reading, kinetic imaging and plate map</w:t>
      </w:r>
    </w:p>
    <w:p>
      <w:pPr>
        <w:spacing w:before="0" w:after="50" w:line="250" w:lineRule="auto"/>
      </w:pPr>
      <w:r>
        <w:rPr>
          <w:rFonts w:ascii="Calibri" w:hAnsi="Calibri"/>
          <w:color w:val="000000"/>
          <w:sz w:val="20"/>
        </w:rPr>
        <w:t xml:space="preserve">Status: Essential to APEX clinical concept</w:t>
      </w:r>
    </w:p>
    <w:p>
      <w:pPr>
        <w:spacing w:before="0" w:after="50" w:line="250" w:lineRule="auto"/>
      </w:pPr>
      <w:r>
        <w:rPr>
          <w:rFonts w:ascii="Calibri" w:hAnsi="Calibri"/>
          <w:color w:val="000000"/>
          <w:sz w:val="20"/>
        </w:rPr>
        <w:t xml:space="preserve">Subsystem: Plate handling</w:t>
      </w:r>
    </w:p>
    <w:p>
      <w:pPr>
        <w:spacing w:before="0" w:after="50" w:line="250" w:lineRule="auto"/>
      </w:pPr>
      <w:r>
        <w:rPr>
          <w:rFonts w:ascii="Calibri" w:hAnsi="Calibri"/>
          <w:color w:val="000000"/>
          <w:sz w:val="20"/>
        </w:rPr>
        <w:t xml:space="preserve">Reference configuration: 24-48 plate queue, barcode/RFID, guarded robotic transport and recovery positions</w:t>
      </w:r>
    </w:p>
    <w:p>
      <w:pPr>
        <w:spacing w:before="0" w:after="50" w:line="250" w:lineRule="auto"/>
      </w:pPr>
      <w:r>
        <w:rPr>
          <w:rFonts w:ascii="Calibri" w:hAnsi="Calibri"/>
          <w:color w:val="000000"/>
          <w:sz w:val="20"/>
        </w:rPr>
        <w:t xml:space="preserve">Status: Essential to flagship automation; not PoC</w:t>
      </w:r>
    </w:p>
    <w:p>
      <w:pPr>
        <w:spacing w:before="0" w:after="50" w:line="250" w:lineRule="auto"/>
      </w:pPr>
      <w:r>
        <w:rPr>
          <w:rFonts w:ascii="Calibri" w:hAnsi="Calibri"/>
          <w:color w:val="000000"/>
          <w:sz w:val="20"/>
        </w:rPr>
        <w:t xml:space="preserve">Subsystem: Liquid handling</w:t>
      </w:r>
    </w:p>
    <w:p>
      <w:pPr>
        <w:spacing w:before="0" w:after="50" w:line="250" w:lineRule="auto"/>
      </w:pPr>
      <w:r>
        <w:rPr>
          <w:rFonts w:ascii="Calibri" w:hAnsi="Calibri"/>
          <w:color w:val="000000"/>
          <w:sz w:val="20"/>
        </w:rPr>
        <w:t xml:space="preserve">Reference configuration: Purpose-built 8/12-channel pipetting and dispensing module with disposable tips</w:t>
      </w:r>
    </w:p>
    <w:p>
      <w:pPr>
        <w:spacing w:before="0" w:after="50" w:line="250" w:lineRule="auto"/>
      </w:pPr>
      <w:r>
        <w:rPr>
          <w:rFonts w:ascii="Calibri" w:hAnsi="Calibri"/>
          <w:color w:val="000000"/>
          <w:sz w:val="20"/>
        </w:rPr>
        <w:t xml:space="preserve">Status: Optional / configuration-dependent</w:t>
      </w:r>
    </w:p>
    <w:p>
      <w:pPr>
        <w:spacing w:before="0" w:after="50" w:line="250" w:lineRule="auto"/>
      </w:pPr>
      <w:r>
        <w:rPr>
          <w:rFonts w:ascii="Calibri" w:hAnsi="Calibri"/>
          <w:color w:val="000000"/>
          <w:sz w:val="20"/>
        </w:rPr>
        <w:t xml:space="preserve">Subsystem: Power and safety</w:t>
      </w:r>
    </w:p>
    <w:p>
      <w:pPr>
        <w:spacing w:before="0" w:after="50" w:line="250" w:lineRule="auto"/>
      </w:pPr>
      <w:r>
        <w:rPr>
          <w:rFonts w:ascii="Calibri" w:hAnsi="Calibri"/>
          <w:color w:val="000000"/>
          <w:sz w:val="20"/>
        </w:rPr>
        <w:t xml:space="preserve">Reference configuration: Medical-grade PSU class, UPS, LiFePO4 backup, emergency stop, fuses, leakage/temperature monitoring</w:t>
      </w:r>
    </w:p>
    <w:p>
      <w:pPr>
        <w:spacing w:before="0" w:after="50" w:line="250" w:lineRule="auto"/>
      </w:pPr>
      <w:r>
        <w:rPr>
          <w:rFonts w:ascii="Calibri" w:hAnsi="Calibri"/>
          <w:color w:val="000000"/>
          <w:sz w:val="20"/>
        </w:rPr>
        <w:t xml:space="preserve">Status: Essential</w:t>
      </w:r>
    </w:p>
    <w:p>
      <w:pPr>
        <w:pStyle w:val="Heading3"/>
        <w:keepNext/>
        <w:keepLines/>
        <w:spacing w:before="240" w:after="120" w:line="269" w:lineRule="auto"/>
      </w:pPr>
      <w:r>
        <w:rPr>
          <w:color w:val="000000"/>
        </w:rPr>
        <w:t>Jetson AGX Thor / T5000 rationale</w:t>
      </w:r>
    </w:p>
    <w:p>
      <w:pPr>
        <w:pStyle w:val="Normal"/>
        <w:spacing w:before="0" w:after="50" w:line="250" w:lineRule="auto"/>
        <w:rPr/>
      </w:pPr>
      <w:r>
        <w:rPr>
          <w:rFonts w:ascii="Calibri" w:hAnsi="Calibri"/>
          <w:color w:val="000000"/>
          <w:sz w:val="20"/>
        </w:rPr>
        <w:t>The Jetson AGX Thor developer kit combines a T5000 system-on-module, Blackwell GPU, 128 GB memory and up to 2070 FP4 TFLOPS within a 40-130 W operating envelope. NVIDIA positions the developer kit for development and testing; production devices should use a production module and a qualified or custom carrier [S6-S7].</w:t>
      </w:r>
    </w:p>
    <w:p>
      <w:pPr>
        <w:spacing w:before="0" w:after="50" w:line="250" w:lineRule="auto"/>
      </w:pPr>
      <w:r>
        <w:rPr>
          <w:rFonts w:ascii="Calibri" w:hAnsi="Calibri"/>
          <w:color w:val="000000"/>
          <w:sz w:val="20"/>
        </w:rPr>
        <w:t xml:space="preserve">Reason to select: Concurrent multimodal inference</w:t>
      </w:r>
    </w:p>
    <w:p>
      <w:pPr>
        <w:spacing w:before="0" w:after="50" w:line="250" w:lineRule="auto"/>
      </w:pPr>
      <w:r>
        <w:rPr>
          <w:rFonts w:ascii="Calibri" w:hAnsi="Calibri"/>
          <w:color w:val="000000"/>
          <w:sz w:val="20"/>
        </w:rPr>
        <w:t xml:space="preserve">APEX XR implication: Run metrology, RGB/NIR/fluorescence analysis, sensor fusion and robotics services without serializing every workload.</w:t>
      </w:r>
    </w:p>
    <w:p>
      <w:pPr>
        <w:spacing w:before="0" w:after="50" w:line="250" w:lineRule="auto"/>
      </w:pPr>
      <w:r>
        <w:rPr>
          <w:rFonts w:ascii="Calibri" w:hAnsi="Calibri"/>
          <w:color w:val="000000"/>
          <w:sz w:val="20"/>
        </w:rPr>
        <w:t xml:space="preserve">Reason to select: Large memory</w:t>
      </w:r>
    </w:p>
    <w:p>
      <w:pPr>
        <w:spacing w:before="0" w:after="50" w:line="250" w:lineRule="auto"/>
      </w:pPr>
      <w:r>
        <w:rPr>
          <w:rFonts w:ascii="Calibri" w:hAnsi="Calibri"/>
          <w:color w:val="000000"/>
          <w:sz w:val="20"/>
        </w:rPr>
        <w:t xml:space="preserve">APEX XR implication: Support high-resolution image pipelines, temporal models and local multimodal tools with margin for development.</w:t>
      </w:r>
    </w:p>
    <w:p>
      <w:pPr>
        <w:spacing w:before="0" w:after="50" w:line="250" w:lineRule="auto"/>
      </w:pPr>
      <w:r>
        <w:rPr>
          <w:rFonts w:ascii="Calibri" w:hAnsi="Calibri"/>
          <w:color w:val="000000"/>
          <w:sz w:val="20"/>
        </w:rPr>
        <w:t xml:space="preserve">Reason to select: MIG / workload isolation</w:t>
      </w:r>
    </w:p>
    <w:p>
      <w:pPr>
        <w:spacing w:before="0" w:after="50" w:line="250" w:lineRule="auto"/>
      </w:pPr>
      <w:r>
        <w:rPr>
          <w:rFonts w:ascii="Calibri" w:hAnsi="Calibri"/>
          <w:color w:val="000000"/>
          <w:sz w:val="20"/>
        </w:rPr>
        <w:t xml:space="preserve">APEX XR implication: Potentially reserve compute resources for critical vision services while lower-priority analytics run in parallel; this is not a safety certification.</w:t>
      </w:r>
    </w:p>
    <w:p>
      <w:pPr>
        <w:spacing w:before="0" w:after="50" w:line="250" w:lineRule="auto"/>
      </w:pPr>
      <w:r>
        <w:rPr>
          <w:rFonts w:ascii="Calibri" w:hAnsi="Calibri"/>
          <w:color w:val="000000"/>
          <w:sz w:val="20"/>
        </w:rPr>
        <w:t xml:space="preserve">Reason to select: Rich I/O and networking</w:t>
      </w:r>
    </w:p>
    <w:p>
      <w:pPr>
        <w:spacing w:before="0" w:after="50" w:line="250" w:lineRule="auto"/>
      </w:pPr>
      <w:r>
        <w:rPr>
          <w:rFonts w:ascii="Calibri" w:hAnsi="Calibri"/>
          <w:color w:val="000000"/>
          <w:sz w:val="20"/>
        </w:rPr>
        <w:t xml:space="preserve">APEX XR implication: Connect 10GigE imaging, NVMe data storage and robotics/control gateways.</w:t>
      </w:r>
    </w:p>
    <w:p>
      <w:pPr>
        <w:spacing w:before="0" w:after="50" w:line="250" w:lineRule="auto"/>
      </w:pPr>
      <w:r>
        <w:rPr>
          <w:rFonts w:ascii="Calibri" w:hAnsi="Calibri"/>
          <w:color w:val="000000"/>
          <w:sz w:val="20"/>
        </w:rPr>
        <w:t xml:space="preserve">Reason to select: Software ecosystem</w:t>
      </w:r>
    </w:p>
    <w:p>
      <w:pPr>
        <w:spacing w:before="0" w:after="50" w:line="250" w:lineRule="auto"/>
      </w:pPr>
      <w:r>
        <w:rPr>
          <w:rFonts w:ascii="Calibri" w:hAnsi="Calibri"/>
          <w:color w:val="000000"/>
          <w:sz w:val="20"/>
        </w:rPr>
        <w:t xml:space="preserve">APEX XR implication: Use CUDA, TensorRT, containers and model tooling for repeatable deployment.</w:t>
      </w:r>
    </w:p>
    <w:p>
      <w:pPr>
        <w:spacing w:before="0" w:after="50" w:line="250" w:lineRule="auto"/>
      </w:pPr>
      <w:r>
        <w:rPr>
          <w:rFonts w:ascii="Calibri" w:hAnsi="Calibri"/>
          <w:color w:val="000000"/>
          <w:sz w:val="20"/>
        </w:rPr>
        <w:t xml:space="preserve">Reason to select: Trade-off</w:t>
      </w:r>
    </w:p>
    <w:p>
      <w:pPr>
        <w:spacing w:before="0" w:after="50" w:line="250" w:lineRule="auto"/>
      </w:pPr>
      <w:r>
        <w:rPr>
          <w:rFonts w:ascii="Calibri" w:hAnsi="Calibri"/>
          <w:color w:val="000000"/>
          <w:sz w:val="20"/>
        </w:rPr>
        <w:t xml:space="preserve">APEX XR implication: High cost, heat and power. Thor is justified for the flagship reference platform, not automatically for Lite/Core production.</w:t>
      </w:r>
    </w:p>
    <w:p>
      <w:pPr>
        <w:pStyle w:val="Heading2"/>
        <w:keepNext/>
        <w:keepLines/>
        <w:spacing w:before="240" w:after="120" w:line="269" w:lineRule="auto"/>
      </w:pPr>
      <w:r>
        <w:rPr>
          <w:color w:val="000000"/>
        </w:rPr>
        <w:t>Why each major subsystem exists</w:t>
      </w:r>
    </w:p>
    <w:p>
      <w:pPr>
        <w:pStyle w:val="Heading3"/>
        <w:keepNext/>
        <w:keepLines/>
        <w:spacing w:before="240" w:after="120" w:line="269" w:lineRule="auto"/>
      </w:pPr>
      <w:r>
        <w:rPr>
          <w:color w:val="000000"/>
        </w:rPr>
        <w:t>Three-zone Bio-Vault chassis</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separated Logic Deck, biological chamber and Power/Safety Bay in a cleanable benchtop enclosure.</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Isolates compute heat and electrical risk from controlled biological conditions; provides a stable geometry for optics and robotics.</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The flagship combines high-power compute, sensitive measurement and cultures; physical segregation simplifies thermal design, cleaning and service.</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Anodized aluminium structural members, stainless or chemical-resistant internal surfaces, replaceable liners and service-access panels balance stiffness, hygiene and manufacturability.</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w:t>
      </w:r>
    </w:p>
    <w:p>
      <w:pPr>
        <w:pStyle w:val="Heading3"/>
        <w:keepNext/>
        <w:keepLines/>
        <w:spacing w:before="240" w:after="120" w:line="269" w:lineRule="auto"/>
      </w:pPr>
      <w:r>
        <w:rPr>
          <w:color w:val="000000"/>
        </w:rPr>
        <w:t>STM32-class Reflex controller</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deterministic microcontroller and safety I/O layer independent of the AI operating system.</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Runs temperature/humidity control, light triggers, motor limits, door/UV interlocks, watchdogs and fault shutdown.</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A Linux crash, AI overload or update must not disable basic safety or sample protection.</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Industrial MCU class offers deterministic timing, mature peripherals, hardware watchdogs and long-term embedded support.</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w:t>
      </w:r>
    </w:p>
    <w:p>
      <w:pPr>
        <w:pStyle w:val="Heading3"/>
        <w:keepNext/>
        <w:keepLines/>
        <w:spacing w:before="240" w:after="120" w:line="269" w:lineRule="auto"/>
      </w:pPr>
      <w:r>
        <w:rPr>
          <w:color w:val="000000"/>
        </w:rPr>
        <w:t>Industrial HMI / Interface computer</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separate operator-facing computer with touchscreen, local database and gateway services.</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Guides workflows, stores local records, shows images and boundaries, manages users, and interfaces with LIS/LIMS.</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Separating UX and records from high-load AI improves resilience and permits controlled updates.</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Industrial PC or serviceable SBC class with encrypted NVMe and supported OS; exact platform should follow lifecycle and cybersecurity review.</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w:t>
      </w:r>
    </w:p>
    <w:p>
      <w:pPr>
        <w:pStyle w:val="Heading3"/>
        <w:keepNext/>
        <w:keepLines/>
        <w:spacing w:before="240" w:after="120" w:line="269" w:lineRule="auto"/>
      </w:pPr>
      <w:r>
        <w:rPr>
          <w:color w:val="000000"/>
        </w:rPr>
        <w:t>Jetson Thor / T5000 Cortex</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high-performance edge AI node based on the Thor platform [S6-S7].</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Executes high-resolution vision, model inference, sensor fusion and automation planning locally.</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APEX is a development/reference ceiling and must support multiple simultaneous pipelines without cloud dependence.</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Thor/T5000 provides exceptional memory and AI headroom; the developer kit is for engineering, while a production module and carrier are the deployment path.</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 for flagship; optional/right-sized in lower tiers</w:t>
      </w:r>
    </w:p>
    <w:p>
      <w:pPr>
        <w:pStyle w:val="Heading3"/>
        <w:keepNext/>
        <w:keepLines/>
        <w:spacing w:before="240" w:after="120" w:line="269" w:lineRule="auto"/>
      </w:pPr>
      <w:r>
        <w:rPr>
          <w:color w:val="000000"/>
        </w:rPr>
        <w:t>Clinical metrology camera</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31 MP monochrome global-shutter, 10GigE industrial camera class [S9].</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Captures stable, high-resolution whole-plate and well images for dimensional and optical measurement.</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Clinical measurement requires repeatability, trigger control, low geometric ambiguity and traceable acquisition settings.</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Monochrome global-shutter machine vision avoids Bayer interpolation for edge measurement and supports synchronized illumination; final performance is system-dependent.</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 to flagship clinical path</w:t>
      </w:r>
    </w:p>
    <w:p>
      <w:pPr>
        <w:pStyle w:val="Heading3"/>
        <w:keepNext/>
        <w:keepLines/>
        <w:spacing w:before="240" w:after="120" w:line="269" w:lineRule="auto"/>
      </w:pPr>
      <w:r>
        <w:rPr>
          <w:color w:val="000000"/>
        </w:rPr>
        <w:t>Whole-plate telecentric lens</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large-field telecentric lens class capable of covering a plate-scale field on a large sensor [S8].</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Reduces magnification change with object distance and perspective distortion across the field.</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Disk-diffusion zone measurement is sensitive to parallax and plate placement, especially near edges.</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A TitanTL-class optic offers an unusually large field and specified telecentricity/distortion; the exact camera-lens pairing, FOV, working distance and uncertainty must be validated.</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 to flagship metrology; not necessarily to Lite</w:t>
      </w:r>
    </w:p>
    <w:p>
      <w:pPr>
        <w:pStyle w:val="Heading3"/>
        <w:keepNext/>
        <w:keepLines/>
        <w:spacing w:before="240" w:after="120" w:line="269" w:lineRule="auto"/>
      </w:pPr>
      <w:r>
        <w:rPr>
          <w:color w:val="000000"/>
        </w:rPr>
        <w:t>Research RGB/NIR camera</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separate high-sensitivity color camera with visible and near-infrared acquisition.</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Records pigmentation, morphology, swarming, time-lapse behavior and NIR contrast without compromising the monochrome metrology path.</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Color/phenomics and dimensional metrology have different sensor, filter and lighting priorities.</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A modular color/NIR machine-vision class enables interchangeable filters and independent calibration.</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 to XR research configuration</w:t>
      </w:r>
    </w:p>
    <w:p>
      <w:pPr>
        <w:pStyle w:val="Heading3"/>
        <w:keepNext/>
        <w:keepLines/>
        <w:spacing w:before="240" w:after="120" w:line="269" w:lineRule="auto"/>
      </w:pPr>
      <w:r>
        <w:rPr>
          <w:color w:val="000000"/>
        </w:rPr>
        <w:t>Multimode illumination</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Software-controlled transmitted, epi, oblique, dark-field, polarized, 940 nm NIR and fluorescence illumination.</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Creates assay-specific contrast: silhouettes and ZOI edges, surface color, texture, scatter, glare suppression and reporter excitation.</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No single illumination mode is robust across clear, opaque, pigmented, reflective or condensed plates.</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Narrow, repeatable, strobed channels with calibration targets are preferred over uncontrolled room light. NIR may improve some condensation conditions but is not guaranteed to see through all lids or droplets.</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Core visible modes essential; NIR optional; fluorescence research-only</w:t>
      </w:r>
    </w:p>
    <w:p>
      <w:pPr>
        <w:pStyle w:val="Heading3"/>
        <w:keepNext/>
        <w:keepLines/>
        <w:spacing w:before="240" w:after="120" w:line="269" w:lineRule="auto"/>
      </w:pPr>
      <w:r>
        <w:rPr>
          <w:color w:val="000000"/>
        </w:rPr>
        <w:t>BME690 VOC array</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An array of metal-oxide gas sensors with controlled sampling, temperature profiles and a baseline channel [S10].</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Produces multidimensional VOC response patterns correlated with metabolism or process state.</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VOC can add orthogonal experimental information and contamination/process-change signals.</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BME690 is designed for improved robustness in high-condensation environments and supports application-specific training. It is auxiliary fingerprinting, not standalone species identification.</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Optional research / process monitoring</w:t>
      </w:r>
    </w:p>
    <w:p>
      <w:pPr>
        <w:pStyle w:val="Heading3"/>
        <w:keepNext/>
        <w:keepLines/>
        <w:spacing w:before="240" w:after="120" w:line="269" w:lineRule="auto"/>
      </w:pPr>
      <w:r>
        <w:rPr>
          <w:color w:val="000000"/>
        </w:rPr>
        <w:t>VL53L8CX coarse ToF</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compact 8x8, 64-zone time-of-flight ranging sensor [S11].</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Checks plate presence, approach distance, gross alignment and simple gesture/proximity events.</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Low-cost position sensing can prevent motion errors and support safe handling.</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It is compact and low power but spatially too coarse for colony-surface metrology.</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Optional auxiliary</w:t>
      </w:r>
    </w:p>
    <w:p>
      <w:pPr>
        <w:pStyle w:val="Heading3"/>
        <w:keepNext/>
        <w:keepLines/>
        <w:spacing w:before="240" w:after="120" w:line="269" w:lineRule="auto"/>
      </w:pPr>
      <w:r>
        <w:rPr>
          <w:color w:val="000000"/>
        </w:rPr>
        <w:t>Research 3D profilometer</w:t>
      </w:r>
      <w:r>
        <w:rPr>
          <w:color w:val="000000"/>
        </w:rPr>
        <w:t xml:space="preserve">   FUTURE R&amp;D</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laser-triangulation, structured-light or chromatic/confocal displacement subsystem.</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Measures colony height, roughness, radial topography and biofilm surface change.</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Research-grade 3D claims require dense, calibrated surface measurement, not an 8x8 proximity grid.</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Technique selection should follow height range, lateral resolution, reflectance and biosafety constraints; the final instrument requires traceable calibration.</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Research-only</w:t>
      </w:r>
    </w:p>
    <w:p>
      <w:pPr>
        <w:pStyle w:val="Heading3"/>
        <w:keepNext/>
        <w:keepLines/>
        <w:spacing w:before="240" w:after="120" w:line="269" w:lineRule="auto"/>
      </w:pPr>
      <w:r>
        <w:rPr>
          <w:color w:val="000000"/>
        </w:rPr>
        <w:t>Gravimetric load cell</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plate/deck mass sensor with temperature-aware calibration.</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Verifies media/reagent loading, detects gross spills or dispensing errors, and trends evaporation/desiccation.</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Gravimetric QC catches process failures invisible to the camera.</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Load-cell class is affordable and integrable, but it must not be marketed as microgram biomass measurement in a thermally changing chamber.</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Optional QC</w:t>
      </w:r>
    </w:p>
    <w:p>
      <w:pPr>
        <w:pStyle w:val="Heading3"/>
        <w:keepNext/>
        <w:keepLines/>
        <w:spacing w:before="240" w:after="120" w:line="269" w:lineRule="auto"/>
      </w:pPr>
      <w:r>
        <w:rPr>
          <w:color w:val="000000"/>
        </w:rPr>
        <w:t>Temperature and humidity control</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Insulated chamber, calibrated temperature sensing, bidirectional thermal actuation and active humidity management.</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Maintains validated setpoints and records excursions through the entire run.</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AST and kinetic studies depend on controlled incubation; condensation and evaporation also affect imaging and media.</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PT100-class sensing and independent control offer stability and auditability. Final tolerances must be verified under load and across ambient extremes.</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w:t>
      </w:r>
    </w:p>
    <w:p>
      <w:pPr>
        <w:pStyle w:val="Heading3"/>
        <w:keepNext/>
        <w:keepLines/>
        <w:spacing w:before="240" w:after="120" w:line="269" w:lineRule="auto"/>
      </w:pPr>
      <w:r>
        <w:rPr>
          <w:color w:val="000000"/>
        </w:rPr>
        <w:t>Gas and atmosphere control</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O2/CO2 sensing, regulated gas inputs, flow/pressure control and defined exhaust handling.</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Creates aerobic, microaerophilic or anaerobic research atmospheres and records exposure history.</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Many phenotypes are atmosphere-dependent; research reproducibility requires measured conditions.</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External certified gas supply plus controlled valves/flow devices is more controllable than ad-hoc sachets, but containment and exhaust design require biosafety review.</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Optional research</w:t>
      </w:r>
    </w:p>
    <w:p>
      <w:pPr>
        <w:pStyle w:val="Heading3"/>
        <w:keepNext/>
        <w:keepLines/>
        <w:spacing w:before="240" w:after="120" w:line="269" w:lineRule="auto"/>
      </w:pPr>
      <w:r>
        <w:rPr>
          <w:color w:val="000000"/>
        </w:rPr>
        <w:t>Integrated nephelometer</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calibrated optical-scattering station with reference detector, tube ID and QC history.</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Checks inoculum against the specified McFarland target before plate or MIC setup.</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Excellent image analysis cannot rescue an incorrectly standardized inoculum.</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A dedicated optical path and traceable reference are more defensible than estimating turbidity from a general-purpose camera.</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 for clinical workflows</w:t>
      </w:r>
    </w:p>
    <w:p>
      <w:pPr>
        <w:pStyle w:val="Heading3"/>
        <w:keepNext/>
        <w:keepLines/>
        <w:spacing w:before="240" w:after="120" w:line="269" w:lineRule="auto"/>
      </w:pPr>
      <w:r>
        <w:rPr>
          <w:color w:val="000000"/>
        </w:rPr>
        <w:t>Direct broth microdilution module</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96-well plate deck with known concentration maps, controlled incubation and transmitted optical/kinetic reading.</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Determines the lowest tested antimicrobial concentration that inhibits visible growth under the specified method.</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MIC should be measured by a validated dilution workflow, not generated from zone diameter by AI [S15].</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Broth microdilution is a recognized reference method class. Commercial panels/consumables, organism-drug scope and reading rules require validation.</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 to APEX clinical concept</w:t>
      </w:r>
    </w:p>
    <w:p>
      <w:pPr>
        <w:pStyle w:val="Heading3"/>
        <w:keepNext/>
        <w:keepLines/>
        <w:spacing w:before="240" w:after="120" w:line="269" w:lineRule="auto"/>
      </w:pPr>
      <w:r>
        <w:rPr>
          <w:color w:val="000000"/>
        </w:rPr>
        <w:t>Robotic plate queue</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 24-48 plate carousel or magazine, barcode reader, guarded transfer axis and recoverable nests.</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Schedules incubation and imaging, preserves chain of custody and reduces manual handling.</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The flagship must demonstrate multi-sample operation and overnight autonomy.</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A constrained custom mechanism is cheaper and easier to validate than a general robot arm; capacity is a design target, not a confirmed specification.</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 to flagship automation</w:t>
      </w:r>
    </w:p>
    <w:p>
      <w:pPr>
        <w:pStyle w:val="Heading3"/>
        <w:keepNext/>
        <w:keepLines/>
        <w:spacing w:before="240" w:after="120" w:line="269" w:lineRule="auto"/>
      </w:pPr>
      <w:r>
        <w:rPr>
          <w:color w:val="000000"/>
        </w:rPr>
        <w:t>Purpose-built liquid handler</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An 8/12-channel pipetting and dispensing module optimized for serial dilution and inoculation.</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Builds broth microdilution layouts, dispenses reagents and executes bounded research protocols.</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Direct MIC and repeatable research require liquid-handling consistency and traceability.</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A constrained module can be safer and more economical than embedding a broad third-party robot, but pipetting accuracy, carryover and contamination controls must be validated.</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Optional / configuration-dependent</w:t>
      </w:r>
    </w:p>
    <w:p>
      <w:pPr>
        <w:pStyle w:val="Heading3"/>
        <w:keepNext/>
        <w:keepLines/>
        <w:spacing w:before="240" w:after="120" w:line="269" w:lineRule="auto"/>
      </w:pPr>
      <w:r>
        <w:rPr>
          <w:color w:val="000000"/>
        </w:rPr>
        <w:t>Power, UPS and protective devices</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Medical-grade PSU class, battery backup, BMS, overcurrent/thermal protection and controlled shutdown.</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Maintains safe control and data integrity through power disturbances.</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Grid interruptions must not leave heaters, UV, gas valves, robotics or records in an unsafe state.</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Certified components and independent cut-outs reduce integration risk; final system safety still needs testing.</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w:t>
      </w:r>
    </w:p>
    <w:p>
      <w:pPr>
        <w:pStyle w:val="Heading3"/>
        <w:keepNext/>
        <w:keepLines/>
        <w:spacing w:before="240" w:after="120" w:line="269" w:lineRule="auto"/>
      </w:pPr>
      <w:r>
        <w:rPr>
          <w:color w:val="000000"/>
        </w:rPr>
        <w:t>HEPA, UV-C and chamber hygiene</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Filtered airflow where required, cleanable surfaces, spill management and interlocked UV-C as an optional decontamination aid.</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Supports contamination control and repeatable cleaning cycles.</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Automated instruments need documented cleaning and cross-contamination controls.</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HEPA and validated cleaning protocols address different risks. UV-C effectiveness is geometry- and dose-dependent and must be interlocked. The device is not a biosafety cabinet.</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 hygiene; UV-C optional</w:t>
      </w:r>
    </w:p>
    <w:p>
      <w:pPr>
        <w:pStyle w:val="Heading3"/>
        <w:keepNext/>
        <w:keepLines/>
        <w:spacing w:before="240" w:after="120" w:line="269" w:lineRule="auto"/>
      </w:pPr>
      <w:r>
        <w:rPr>
          <w:color w:val="000000"/>
        </w:rPr>
        <w:t>Barcode / RFID and identity</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Machine-readable sample, plate, rack, reagent and consumable identification.</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Binds physical items to the PIMS digital twin and prevents silent plate swaps.</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Traceability is foundational to clinical, QC and multi-site workflows.</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Barcode is broadly interoperable; RFID can be added for durable carriers where justified.</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w:t>
      </w:r>
    </w:p>
    <w:p>
      <w:pPr>
        <w:pStyle w:val="Heading3"/>
        <w:keepNext/>
        <w:keepLines/>
        <w:spacing w:before="240" w:after="120" w:line="269" w:lineRule="auto"/>
      </w:pPr>
      <w:r>
        <w:rPr>
          <w:color w:val="000000"/>
        </w:rPr>
        <w:t>Service and calibration fixtures</w:t>
      </w:r>
      <w:r>
        <w:rPr>
          <w:color w:val="000000"/>
        </w:rPr>
        <w:t xml:space="preserve">   PROPOSED APEX</w:t>
      </w:r>
    </w:p>
    <w:p>
      <w:pPr>
        <w:keepNext/>
        <w:spacing w:before="0" w:after="50" w:line="250" w:lineRule="auto"/>
      </w:pPr>
      <w:r>
        <w:rPr>
          <w:rFonts w:ascii="Calibri" w:hAnsi="Calibri"/>
          <w:color w:val="000000"/>
          <w:sz w:val="20"/>
        </w:rPr>
        <w:t xml:space="preserve">Question: What it is</w:t>
      </w:r>
    </w:p>
    <w:p>
      <w:pPr>
        <w:spacing w:before="0" w:after="50" w:line="250" w:lineRule="auto"/>
      </w:pPr>
      <w:r>
        <w:rPr>
          <w:rFonts w:ascii="Calibri" w:hAnsi="Calibri"/>
          <w:color w:val="000000"/>
          <w:sz w:val="20"/>
        </w:rPr>
        <w:t xml:space="preserve">Design answer: Plate-scale dimensional artifacts, illumination references, temperature probes, turbidity references and liquid-volume checks.</w:t>
      </w:r>
    </w:p>
    <w:p>
      <w:pPr>
        <w:keepNext/>
        <w:spacing w:before="0" w:after="50" w:line="250" w:lineRule="auto"/>
      </w:pPr>
      <w:r>
        <w:rPr>
          <w:rFonts w:ascii="Calibri" w:hAnsi="Calibri"/>
          <w:color w:val="000000"/>
          <w:sz w:val="20"/>
        </w:rPr>
        <w:t xml:space="preserve">Question: What it does</w:t>
      </w:r>
    </w:p>
    <w:p>
      <w:pPr>
        <w:spacing w:before="0" w:after="50" w:line="250" w:lineRule="auto"/>
      </w:pPr>
      <w:r>
        <w:rPr>
          <w:rFonts w:ascii="Calibri" w:hAnsi="Calibri"/>
          <w:color w:val="000000"/>
          <w:sz w:val="20"/>
        </w:rPr>
        <w:t xml:space="preserve">Design answer: Verifies drift, supports scheduled maintenance and records metrological status.</w:t>
      </w:r>
    </w:p>
    <w:p>
      <w:pPr>
        <w:keepNext/>
        <w:spacing w:before="0" w:after="50" w:line="250" w:lineRule="auto"/>
      </w:pPr>
      <w:r>
        <w:rPr>
          <w:rFonts w:ascii="Calibri" w:hAnsi="Calibri"/>
          <w:color w:val="000000"/>
          <w:sz w:val="20"/>
        </w:rPr>
        <w:t xml:space="preserve">Question: Why it is needed</w:t>
      </w:r>
    </w:p>
    <w:p>
      <w:pPr>
        <w:spacing w:before="0" w:after="50" w:line="250" w:lineRule="auto"/>
      </w:pPr>
      <w:r>
        <w:rPr>
          <w:rFonts w:ascii="Calibri" w:hAnsi="Calibri"/>
          <w:color w:val="000000"/>
          <w:sz w:val="20"/>
        </w:rPr>
        <w:t xml:space="preserve">Design answer: Clinical and quantitative research claims depend on known measurement performance over time.</w:t>
      </w:r>
    </w:p>
    <w:p>
      <w:pPr>
        <w:keepNext/>
        <w:spacing w:before="0" w:after="50" w:line="250" w:lineRule="auto"/>
      </w:pPr>
      <w:r>
        <w:rPr>
          <w:rFonts w:ascii="Calibri" w:hAnsi="Calibri"/>
          <w:color w:val="000000"/>
          <w:sz w:val="20"/>
        </w:rPr>
        <w:t xml:space="preserve">Question: Why this class</w:t>
      </w:r>
    </w:p>
    <w:p>
      <w:pPr>
        <w:spacing w:before="0" w:after="50" w:line="250" w:lineRule="auto"/>
      </w:pPr>
      <w:r>
        <w:rPr>
          <w:rFonts w:ascii="Calibri" w:hAnsi="Calibri"/>
          <w:color w:val="000000"/>
          <w:sz w:val="20"/>
        </w:rPr>
        <w:t xml:space="preserve">Design answer: Traceable, replaceable fixtures allow field checks without dismantling the instrument.</w:t>
      </w:r>
    </w:p>
    <w:p>
      <w:pPr>
        <w:keepNext/>
        <w:spacing w:before="0" w:after="50" w:line="250" w:lineRule="auto"/>
      </w:pPr>
      <w:r>
        <w:rPr>
          <w:rFonts w:ascii="Calibri" w:hAnsi="Calibri"/>
          <w:color w:val="000000"/>
          <w:sz w:val="20"/>
        </w:rPr>
        <w:t xml:space="preserve">Question: Role</w:t>
      </w:r>
    </w:p>
    <w:p>
      <w:pPr>
        <w:spacing w:before="0" w:after="50" w:line="250" w:lineRule="auto"/>
      </w:pPr>
      <w:r>
        <w:rPr>
          <w:rFonts w:ascii="Calibri" w:hAnsi="Calibri"/>
          <w:color w:val="000000"/>
          <w:sz w:val="20"/>
        </w:rPr>
        <w:t xml:space="preserve">Design answer: Essential</w:t>
      </w:r>
    </w:p>
    <w:p>
      <w:pPr>
        <w:pStyle w:val="Heading2"/>
        <w:keepNext/>
        <w:keepLines/>
        <w:spacing w:before="240" w:after="120" w:line="269" w:lineRule="auto"/>
      </w:pPr>
      <w:r>
        <w:rPr>
          <w:color w:val="000000"/>
        </w:rPr>
        <w:t>Four software layers and BAHU/SaaS architecture</w:t>
      </w:r>
    </w:p>
    <w:p>
      <w:pPr>
        <w:pStyle w:val="Caption"/>
        <w:keepNext/>
      </w:pPr>
      <w:bookmarkStart w:id="97016" w:name="table_4"/>
      <w:r>
        <w:t>Table 4 Software layers and failure boundaries</w:t>
      </w:r>
      <w:bookmarkEnd w:id="97016"/>
    </w:p>
    <w:tbl>
      <w:tblPr>
        <w:tblStyle w:val="TableGrid"/>
        <w:tblW w:w="10281" w:type="dxa"/>
        <w:jc w:val="center"/>
        <w:tblInd w:w="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start w:w="108" w:type="dxa"/>
          <w:bottom w:w="0" w:type="dxa"/>
          <w:end w:w="108" w:type="dxa"/>
        </w:tblCellMar>
        <w:tblLook w:val="04a0" w:noHBand="0" w:noVBand="1" w:firstColumn="1" w:lastRow="0" w:lastColumn="0" w:firstRow="1"/>
      </w:tblPr>
      <w:tblGrid>
        <w:gridCol w:w="3427"/>
        <w:gridCol w:w="3427"/>
        <w:gridCol w:w="3427"/>
      </w:tblGrid>
      <w:tr>
        <w:trPr>
          <w:cantSplit/>
          <w:tblHeader/>
        </w:trPr>
        <w:tc>
          <w:tcPr>
            <w:tcW w:w="3264"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Layer</w:t>
            </w:r>
          </w:p>
        </w:tc>
        <w:tc>
          <w:tcPr>
            <w:tcW w:w="3264"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Core services</w:t>
            </w:r>
          </w:p>
        </w:tc>
        <w:tc>
          <w:tcPr>
            <w:tcW w:w="3264"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Failure boundary</w:t>
            </w:r>
          </w:p>
        </w:tc>
      </w:tr>
      <w:tr>
        <w:trPr>
          <w:cantSplit/>
        </w:trPr>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L1 - Reflex</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Device drivers, deterministic control, interlocks, watchdogs, fault-state machine</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Must remain safe without L2/L3/L4</w:t>
            </w:r>
          </w:p>
        </w:tc>
      </w:tr>
      <w:tr>
        <w:trPr>
          <w:cantSplit/>
        </w:trPr>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L2 - Interface</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BAHU HMI, PIMS, user/role controls, run orchestration, local reporting, integration gateway</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Must preserve records and guided recovery if AI is unavailable</w:t>
            </w:r>
          </w:p>
        </w:tc>
      </w:tr>
      <w:tr>
        <w:trPr>
          <w:cantSplit/>
        </w:trPr>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L3 - Cortex</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Image pipelines, measurement models, sensor fusion, research analytics, robotics planning</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May degrade to manual/verified workflow; cannot bypass safety or standards rules</w:t>
            </w:r>
          </w:p>
        </w:tc>
      </w:tr>
      <w:tr>
        <w:trPr>
          <w:cantSplit/>
        </w:trPr>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L4 - Hive</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Multi-site fleet, remote collaboration, model registry, aggregate analytics, updates and optional advanced compute</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Loss of cloud must not stop core local operation</w:t>
            </w:r>
          </w:p>
        </w:tc>
      </w:tr>
    </w:tbl>
    <w:p>
      <w:pPr>
        <w:pStyle w:val="Heading3"/>
        <w:keepNext/>
        <w:keepLines/>
        <w:spacing w:before="240" w:after="120" w:line="269" w:lineRule="auto"/>
      </w:pPr>
      <w:r>
        <w:rPr>
          <w:color w:val="000000"/>
        </w:rPr>
        <w:t>BAHU - Bio-Automation &amp; Human User Interface</w:t>
      </w:r>
    </w:p>
    <w:p>
      <w:pPr>
        <w:pStyle w:val="Normal"/>
        <w:spacing w:before="0" w:after="50" w:line="250" w:lineRule="auto"/>
        <w:rPr/>
      </w:pPr>
      <w:r>
        <w:rPr>
          <w:rFonts w:ascii="Calibri" w:hAnsi="Calibri"/>
          <w:color w:val="000000"/>
          <w:sz w:val="20"/>
        </w:rPr>
        <w:t>BAHU is the local operating and orchestration layer beneath the AMR-Eye brand. It gives one human-facing interface to AST, MIC, incubation, imaging, gas control, robotics, liquid handling, QC, research protocols and instrument integrations.</w:t>
      </w:r>
    </w:p>
    <w:p>
      <w:pPr>
        <w:spacing w:before="0" w:after="50" w:line="250" w:lineRule="auto"/>
      </w:pPr>
      <w:r>
        <w:rPr>
          <w:rFonts w:ascii="Calibri" w:hAnsi="Calibri"/>
          <w:color w:val="000000"/>
          <w:sz w:val="20"/>
        </w:rPr>
        <w:t xml:space="preserve">BAHU function: Protocol composer</w:t>
      </w:r>
    </w:p>
    <w:p>
      <w:pPr>
        <w:spacing w:before="0" w:after="50" w:line="250" w:lineRule="auto"/>
      </w:pPr>
      <w:r>
        <w:rPr>
          <w:rFonts w:ascii="Calibri" w:hAnsi="Calibri"/>
          <w:color w:val="000000"/>
          <w:sz w:val="20"/>
        </w:rPr>
        <w:t xml:space="preserve">Design behavior: Builds approved clinical workflows from locked steps and research workflows from permissioned modules.</w:t>
      </w:r>
    </w:p>
    <w:p>
      <w:pPr>
        <w:spacing w:before="0" w:after="50" w:line="250" w:lineRule="auto"/>
      </w:pPr>
      <w:r>
        <w:rPr>
          <w:rFonts w:ascii="Calibri" w:hAnsi="Calibri"/>
          <w:color w:val="000000"/>
          <w:sz w:val="20"/>
        </w:rPr>
        <w:t xml:space="preserve">BAHU function: Scheduler</w:t>
      </w:r>
    </w:p>
    <w:p>
      <w:pPr>
        <w:spacing w:before="0" w:after="50" w:line="250" w:lineRule="auto"/>
      </w:pPr>
      <w:r>
        <w:rPr>
          <w:rFonts w:ascii="Calibri" w:hAnsi="Calibri"/>
          <w:color w:val="000000"/>
          <w:sz w:val="20"/>
        </w:rPr>
        <w:t xml:space="preserve">Design behavior: Coordinates plate queues, imaging cadence, incubation windows, liquid tasks and maintenance.</w:t>
      </w:r>
    </w:p>
    <w:p>
      <w:pPr>
        <w:spacing w:before="0" w:after="50" w:line="250" w:lineRule="auto"/>
      </w:pPr>
      <w:r>
        <w:rPr>
          <w:rFonts w:ascii="Calibri" w:hAnsi="Calibri"/>
          <w:color w:val="000000"/>
          <w:sz w:val="20"/>
        </w:rPr>
        <w:t xml:space="preserve">BAHU function: Instrument adapter</w:t>
      </w:r>
    </w:p>
    <w:p>
      <w:pPr>
        <w:spacing w:before="0" w:after="50" w:line="250" w:lineRule="auto"/>
      </w:pPr>
      <w:r>
        <w:rPr>
          <w:rFonts w:ascii="Calibri" w:hAnsi="Calibri"/>
          <w:color w:val="000000"/>
          <w:sz w:val="20"/>
        </w:rPr>
        <w:t xml:space="preserve">Design behavior: Maps vendor APIs, serial devices, OPC-UA/MQTT services or file interfaces into a common command/event model.</w:t>
      </w:r>
    </w:p>
    <w:p>
      <w:pPr>
        <w:spacing w:before="0" w:after="50" w:line="250" w:lineRule="auto"/>
      </w:pPr>
      <w:r>
        <w:rPr>
          <w:rFonts w:ascii="Calibri" w:hAnsi="Calibri"/>
          <w:color w:val="000000"/>
          <w:sz w:val="20"/>
        </w:rPr>
        <w:t xml:space="preserve">BAHU function: Exception manager</w:t>
      </w:r>
    </w:p>
    <w:p>
      <w:pPr>
        <w:spacing w:before="0" w:after="50" w:line="250" w:lineRule="auto"/>
      </w:pPr>
      <w:r>
        <w:rPr>
          <w:rFonts w:ascii="Calibri" w:hAnsi="Calibri"/>
          <w:color w:val="000000"/>
          <w:sz w:val="20"/>
        </w:rPr>
        <w:t xml:space="preserve">Design behavior: Stops, parks or reroutes work on barcode mismatch, calibration lapse, environment excursion or robotic fault.</w:t>
      </w:r>
    </w:p>
    <w:p>
      <w:pPr>
        <w:spacing w:before="0" w:after="50" w:line="250" w:lineRule="auto"/>
      </w:pPr>
      <w:r>
        <w:rPr>
          <w:rFonts w:ascii="Calibri" w:hAnsi="Calibri"/>
          <w:color w:val="000000"/>
          <w:sz w:val="20"/>
        </w:rPr>
        <w:t xml:space="preserve">BAHU function: Human review</w:t>
      </w:r>
    </w:p>
    <w:p>
      <w:pPr>
        <w:spacing w:before="0" w:after="50" w:line="250" w:lineRule="auto"/>
      </w:pPr>
      <w:r>
        <w:rPr>
          <w:rFonts w:ascii="Calibri" w:hAnsi="Calibri"/>
          <w:color w:val="000000"/>
          <w:sz w:val="20"/>
        </w:rPr>
        <w:t xml:space="preserve">Design behavior: Shows raw evidence, boundaries, QC, rule version and uncertainty before confirm/edit/reject.</w:t>
      </w:r>
    </w:p>
    <w:p>
      <w:pPr>
        <w:spacing w:before="0" w:after="50" w:line="250" w:lineRule="auto"/>
      </w:pPr>
      <w:r>
        <w:rPr>
          <w:rFonts w:ascii="Calibri" w:hAnsi="Calibri"/>
          <w:color w:val="000000"/>
          <w:sz w:val="20"/>
        </w:rPr>
        <w:t xml:space="preserve">BAHU function: Audit ledger</w:t>
      </w:r>
    </w:p>
    <w:p>
      <w:pPr>
        <w:spacing w:before="0" w:after="50" w:line="250" w:lineRule="auto"/>
      </w:pPr>
      <w:r>
        <w:rPr>
          <w:rFonts w:ascii="Calibri" w:hAnsi="Calibri"/>
          <w:color w:val="000000"/>
          <w:sz w:val="20"/>
        </w:rPr>
        <w:t xml:space="preserve">Design behavior: Records who did what, when, on which device/software/model/rule version.</w:t>
      </w:r>
    </w:p>
    <w:p>
      <w:pPr>
        <w:spacing w:before="0" w:after="50" w:line="250" w:lineRule="auto"/>
      </w:pPr>
      <w:r>
        <w:rPr>
          <w:rFonts w:ascii="Calibri" w:hAnsi="Calibri"/>
          <w:color w:val="000000"/>
          <w:sz w:val="20"/>
        </w:rPr>
        <w:t xml:space="preserve">BAHU function: Research notebook</w:t>
      </w:r>
    </w:p>
    <w:p>
      <w:pPr>
        <w:spacing w:before="0" w:after="50" w:line="250" w:lineRule="auto"/>
      </w:pPr>
      <w:r>
        <w:rPr>
          <w:rFonts w:ascii="Calibri" w:hAnsi="Calibri"/>
          <w:color w:val="000000"/>
          <w:sz w:val="20"/>
        </w:rPr>
        <w:t xml:space="preserve">Design behavior: Links protocol, samples, conditions, images, analysis and annotations to a reproducible experiment record.</w:t>
      </w:r>
    </w:p>
    <w:p>
      <w:pPr>
        <w:pStyle w:val="Heading3"/>
        <w:keepNext/>
        <w:keepLines/>
        <w:spacing w:before="240" w:after="120" w:line="269" w:lineRule="auto"/>
      </w:pPr>
      <w:r>
        <w:rPr>
          <w:color w:val="000000"/>
        </w:rPr>
        <w:t>SaaS / Hive services</w:t>
      </w:r>
    </w:p>
    <w:p>
      <w:pPr>
        <w:pStyle w:val="Normal"/>
        <w:spacing w:before="0" w:after="50" w:line="250" w:lineRule="auto"/>
        <w:rPr/>
      </w:pPr>
      <w:r>
        <w:rPr>
          <w:rFonts w:ascii="Calibri" w:hAnsi="Calibri"/>
          <w:color w:val="000000"/>
          <w:sz w:val="20"/>
        </w:rPr>
        <w:t>Fleet health, calibration status, software distribution and device configuration governance.</w:t>
      </w:r>
    </w:p>
    <w:p>
      <w:pPr>
        <w:pStyle w:val="Normal"/>
        <w:spacing w:before="0" w:after="50" w:line="250" w:lineRule="auto"/>
        <w:rPr/>
      </w:pPr>
      <w:r>
        <w:rPr>
          <w:rFonts w:ascii="Calibri" w:hAnsi="Calibri"/>
          <w:color w:val="000000"/>
          <w:sz w:val="20"/>
        </w:rPr>
        <w:t>Multi-site result aggregation and role-based collaboration.</w:t>
      </w:r>
    </w:p>
    <w:p>
      <w:pPr>
        <w:pStyle w:val="Normal"/>
        <w:spacing w:before="0" w:after="50" w:line="250" w:lineRule="auto"/>
        <w:rPr/>
      </w:pPr>
      <w:r>
        <w:rPr>
          <w:rFonts w:ascii="Calibri" w:hAnsi="Calibri"/>
          <w:color w:val="000000"/>
          <w:sz w:val="20"/>
        </w:rPr>
        <w:t>Central model registry with signed packages, staged rollout and rollback.</w:t>
      </w:r>
    </w:p>
    <w:p>
      <w:pPr>
        <w:pStyle w:val="Normal"/>
        <w:spacing w:before="0" w:after="50" w:line="250" w:lineRule="auto"/>
        <w:rPr/>
      </w:pPr>
      <w:r>
        <w:rPr>
          <w:rFonts w:ascii="Calibri" w:hAnsi="Calibri"/>
          <w:color w:val="000000"/>
          <w:sz w:val="20"/>
        </w:rPr>
        <w:t>De-identified surveillance analytics only under appropriate governance and data-sharing agreements.</w:t>
      </w:r>
    </w:p>
    <w:p>
      <w:pPr>
        <w:pStyle w:val="Normal"/>
        <w:spacing w:before="0" w:after="50" w:line="250" w:lineRule="auto"/>
        <w:rPr/>
      </w:pPr>
      <w:r>
        <w:rPr>
          <w:rFonts w:ascii="Calibri" w:hAnsi="Calibri"/>
          <w:color w:val="000000"/>
          <w:sz w:val="20"/>
        </w:rPr>
        <w:t>Remote support with explicit consent, session logging and least-privilege access.</w:t>
      </w:r>
    </w:p>
    <w:p>
      <w:pPr>
        <w:spacing w:before="0" w:after="50" w:line="250" w:lineRule="auto"/>
      </w:pPr>
      <w:r>
        <w:rPr>
          <w:rFonts w:ascii="Calibri" w:hAnsi="Calibri"/>
          <w:color w:val="000000"/>
          <w:sz w:val="20"/>
        </w:rPr>
        <w:t xml:space="preserve">SAAS IS ADDITIVE
Cloud services extend collaboration and fleet management. They are not allowed to silently change a reportable result, generate breakpoints, or make core operation dependent on a live internet connection.</w:t>
      </w:r>
    </w:p>
    <w:p>
      <w:pPr>
        <w:pStyle w:val="Heading3"/>
        <w:keepNext/>
        <w:keepLines/>
        <w:spacing w:before="240" w:after="120" w:line="269" w:lineRule="auto"/>
      </w:pPr>
      <w:r>
        <w:rPr>
          <w:color w:val="000000"/>
        </w:rPr>
        <w:t>PIMS and the digital twin</w:t>
      </w:r>
    </w:p>
    <w:p>
      <w:pPr>
        <w:pStyle w:val="Normal"/>
        <w:spacing w:before="0" w:after="50" w:line="250" w:lineRule="auto"/>
        <w:rPr/>
      </w:pPr>
      <w:r>
        <w:rPr>
          <w:rFonts w:ascii="Calibri" w:hAnsi="Calibri"/>
          <w:color w:val="000000"/>
          <w:sz w:val="20"/>
        </w:rPr>
        <w:t>PIMS - the Plate Information Management System - creates a physical-sample-to-digital-record chain. One record should include sample and plate identifiers, organism or assay metadata, media, antibiotic/panel map, lots, inoculum, operator, timestamps, environmental history, every image, derived measurements, QC, standards version, model version, manual edits and final disposition.</w:t>
      </w:r>
    </w:p>
    <w:p>
      <w:pPr>
        <w:spacing w:before="0" w:after="50" w:line="250" w:lineRule="auto"/>
      </w:pPr>
      <w:r>
        <w:rPr>
          <w:rFonts w:ascii="Calibri" w:hAnsi="Calibri"/>
          <w:color w:val="000000"/>
          <w:sz w:val="20"/>
        </w:rPr>
        <w:t xml:space="preserve">Data class: Identity</w:t>
      </w:r>
    </w:p>
    <w:p>
      <w:pPr>
        <w:spacing w:before="0" w:after="50" w:line="250" w:lineRule="auto"/>
      </w:pPr>
      <w:r>
        <w:rPr>
          <w:rFonts w:ascii="Calibri" w:hAnsi="Calibri"/>
          <w:color w:val="000000"/>
          <w:sz w:val="20"/>
        </w:rPr>
        <w:t xml:space="preserve">Examples: Sample, plate, well, rack, device, operator</w:t>
      </w:r>
    </w:p>
    <w:p>
      <w:pPr>
        <w:spacing w:before="0" w:after="50" w:line="250" w:lineRule="auto"/>
      </w:pPr>
      <w:r>
        <w:rPr>
          <w:rFonts w:ascii="Calibri" w:hAnsi="Calibri"/>
          <w:color w:val="000000"/>
          <w:sz w:val="20"/>
        </w:rPr>
        <w:t xml:space="preserve">Integrity control: Unique IDs, barcode confirmation, duplicate detection</w:t>
      </w:r>
    </w:p>
    <w:p>
      <w:pPr>
        <w:spacing w:before="0" w:after="50" w:line="250" w:lineRule="auto"/>
      </w:pPr>
      <w:r>
        <w:rPr>
          <w:rFonts w:ascii="Calibri" w:hAnsi="Calibri"/>
          <w:color w:val="000000"/>
          <w:sz w:val="20"/>
        </w:rPr>
        <w:t xml:space="preserve">Data class: Acquisition</w:t>
      </w:r>
    </w:p>
    <w:p>
      <w:pPr>
        <w:spacing w:before="0" w:after="50" w:line="250" w:lineRule="auto"/>
      </w:pPr>
      <w:r>
        <w:rPr>
          <w:rFonts w:ascii="Calibri" w:hAnsi="Calibri"/>
          <w:color w:val="000000"/>
          <w:sz w:val="20"/>
        </w:rPr>
        <w:t xml:space="preserve">Examples: Raw images, exposure, light mode, sensor logs</w:t>
      </w:r>
    </w:p>
    <w:p>
      <w:pPr>
        <w:spacing w:before="0" w:after="50" w:line="250" w:lineRule="auto"/>
      </w:pPr>
      <w:r>
        <w:rPr>
          <w:rFonts w:ascii="Calibri" w:hAnsi="Calibri"/>
          <w:color w:val="000000"/>
          <w:sz w:val="20"/>
        </w:rPr>
        <w:t xml:space="preserve">Integrity control: Immutable raw objects, hashes, timestamps, calibration ID</w:t>
      </w:r>
    </w:p>
    <w:p>
      <w:pPr>
        <w:spacing w:before="0" w:after="50" w:line="250" w:lineRule="auto"/>
      </w:pPr>
      <w:r>
        <w:rPr>
          <w:rFonts w:ascii="Calibri" w:hAnsi="Calibri"/>
          <w:color w:val="000000"/>
          <w:sz w:val="20"/>
        </w:rPr>
        <w:t xml:space="preserve">Data class: Derived</w:t>
      </w:r>
    </w:p>
    <w:p>
      <w:pPr>
        <w:spacing w:before="0" w:after="50" w:line="250" w:lineRule="auto"/>
      </w:pPr>
      <w:r>
        <w:rPr>
          <w:rFonts w:ascii="Calibri" w:hAnsi="Calibri"/>
          <w:color w:val="000000"/>
          <w:sz w:val="20"/>
        </w:rPr>
        <w:t xml:space="preserve">Examples: Zone diameter, growth boundary, count, MIC endpoint</w:t>
      </w:r>
    </w:p>
    <w:p>
      <w:pPr>
        <w:spacing w:before="0" w:after="50" w:line="250" w:lineRule="auto"/>
      </w:pPr>
      <w:r>
        <w:rPr>
          <w:rFonts w:ascii="Calibri" w:hAnsi="Calibri"/>
          <w:color w:val="000000"/>
          <w:sz w:val="20"/>
        </w:rPr>
        <w:t xml:space="preserve">Integrity control: Algorithm/model version, parameters, confidence, overlays</w:t>
      </w:r>
    </w:p>
    <w:p>
      <w:pPr>
        <w:spacing w:before="0" w:after="50" w:line="250" w:lineRule="auto"/>
      </w:pPr>
      <w:r>
        <w:rPr>
          <w:rFonts w:ascii="Calibri" w:hAnsi="Calibri"/>
          <w:color w:val="000000"/>
          <w:sz w:val="20"/>
        </w:rPr>
        <w:t xml:space="preserve">Data class: Rules</w:t>
      </w:r>
    </w:p>
    <w:p>
      <w:pPr>
        <w:spacing w:before="0" w:after="50" w:line="250" w:lineRule="auto"/>
      </w:pPr>
      <w:r>
        <w:rPr>
          <w:rFonts w:ascii="Calibri" w:hAnsi="Calibri"/>
          <w:color w:val="000000"/>
          <w:sz w:val="20"/>
        </w:rPr>
        <w:t xml:space="preserve">Examples: CLSI/EUCAST version, method, organism-drug mapping, footnotes</w:t>
      </w:r>
    </w:p>
    <w:p>
      <w:pPr>
        <w:spacing w:before="0" w:after="50" w:line="250" w:lineRule="auto"/>
      </w:pPr>
      <w:r>
        <w:rPr>
          <w:rFonts w:ascii="Calibri" w:hAnsi="Calibri"/>
          <w:color w:val="000000"/>
          <w:sz w:val="20"/>
        </w:rPr>
        <w:t xml:space="preserve">Integrity control: Signed structured database, effective dates, approval workflow</w:t>
      </w:r>
    </w:p>
    <w:p>
      <w:pPr>
        <w:spacing w:before="0" w:after="50" w:line="250" w:lineRule="auto"/>
      </w:pPr>
      <w:r>
        <w:rPr>
          <w:rFonts w:ascii="Calibri" w:hAnsi="Calibri"/>
          <w:color w:val="000000"/>
          <w:sz w:val="20"/>
        </w:rPr>
        <w:t xml:space="preserve">Data class: Review</w:t>
      </w:r>
    </w:p>
    <w:p>
      <w:pPr>
        <w:spacing w:before="0" w:after="50" w:line="250" w:lineRule="auto"/>
      </w:pPr>
      <w:r>
        <w:rPr>
          <w:rFonts w:ascii="Calibri" w:hAnsi="Calibri"/>
          <w:color w:val="000000"/>
          <w:sz w:val="20"/>
        </w:rPr>
        <w:t xml:space="preserve">Examples: Confirm, edit, reject, repeat, comment</w:t>
      </w:r>
    </w:p>
    <w:p>
      <w:pPr>
        <w:spacing w:before="0" w:after="50" w:line="250" w:lineRule="auto"/>
      </w:pPr>
      <w:r>
        <w:rPr>
          <w:rFonts w:ascii="Calibri" w:hAnsi="Calibri"/>
          <w:color w:val="000000"/>
          <w:sz w:val="20"/>
        </w:rPr>
        <w:t xml:space="preserve">Integrity control: User identity, reason, before/after values</w:t>
      </w:r>
    </w:p>
    <w:p>
      <w:pPr>
        <w:spacing w:before="0" w:after="50" w:line="250" w:lineRule="auto"/>
      </w:pPr>
      <w:r>
        <w:rPr>
          <w:rFonts w:ascii="Calibri" w:hAnsi="Calibri"/>
          <w:color w:val="000000"/>
          <w:sz w:val="20"/>
        </w:rPr>
        <w:t xml:space="preserve">Data class: Integration</w:t>
      </w:r>
    </w:p>
    <w:p>
      <w:pPr>
        <w:spacing w:before="0" w:after="50" w:line="250" w:lineRule="auto"/>
      </w:pPr>
      <w:r>
        <w:rPr>
          <w:rFonts w:ascii="Calibri" w:hAnsi="Calibri"/>
          <w:color w:val="000000"/>
          <w:sz w:val="20"/>
        </w:rPr>
        <w:t xml:space="preserve">Examples: Orders, demographics, result messages, acknowledgements</w:t>
      </w:r>
    </w:p>
    <w:p>
      <w:pPr>
        <w:spacing w:before="0" w:after="50" w:line="250" w:lineRule="auto"/>
      </w:pPr>
      <w:r>
        <w:rPr>
          <w:rFonts w:ascii="Calibri" w:hAnsi="Calibri"/>
          <w:color w:val="000000"/>
          <w:sz w:val="20"/>
        </w:rPr>
        <w:t xml:space="preserve">Integrity control: Message IDs, retries, reconciliation queue</w:t>
      </w:r>
    </w:p>
    <w:p>
      <w:pPr>
        <w:pStyle w:val="Heading3"/>
        <w:keepNext/>
        <w:keepLines/>
        <w:spacing w:before="240" w:after="120" w:line="269" w:lineRule="auto"/>
      </w:pPr>
      <w:r>
        <w:rPr>
          <w:color w:val="000000"/>
        </w:rPr>
        <w:t>CLSI/EUCAST structured standards engine</w:t>
      </w:r>
    </w:p>
    <w:p>
      <w:pPr>
        <w:pStyle w:val="Normal"/>
        <w:spacing w:before="0" w:after="50" w:line="250" w:lineRule="auto"/>
        <w:rPr/>
      </w:pPr>
      <w:r>
        <w:rPr>
          <w:rFonts w:ascii="Calibri" w:hAnsi="Calibri"/>
          <w:color w:val="000000"/>
          <w:sz w:val="20"/>
        </w:rPr>
        <w:t>Breakpoints and interpretive rules must be represented as a licensed, version-controlled structured database. CLSI and EUCAST update rules and QC information; EUCAST publishes current clinical and RAST-specific tables, while CLSI emphasizes use of current standards and method-specific procedures [S12-S14].</w:t>
      </w:r>
    </w:p>
    <w:p>
      <w:pPr>
        <w:spacing w:before="0" w:after="50" w:line="250" w:lineRule="auto"/>
      </w:pPr>
      <w:r>
        <w:rPr>
          <w:rFonts w:ascii="Calibri" w:hAnsi="Calibri"/>
          <w:color w:val="000000"/>
          <w:sz w:val="20"/>
        </w:rPr>
        <w:t xml:space="preserve">Required field: Scope key</w:t>
      </w:r>
    </w:p>
    <w:p>
      <w:pPr>
        <w:spacing w:before="0" w:after="50" w:line="250" w:lineRule="auto"/>
      </w:pPr>
      <w:r>
        <w:rPr>
          <w:rFonts w:ascii="Calibri" w:hAnsi="Calibri"/>
          <w:color w:val="000000"/>
          <w:sz w:val="20"/>
        </w:rPr>
        <w:t xml:space="preserve">Examples: Organism/group, antimicrobial, method, specimen/workflow where relevant</w:t>
      </w:r>
    </w:p>
    <w:p>
      <w:pPr>
        <w:spacing w:before="0" w:after="50" w:line="250" w:lineRule="auto"/>
      </w:pPr>
      <w:r>
        <w:rPr>
          <w:rFonts w:ascii="Calibri" w:hAnsi="Calibri"/>
          <w:color w:val="000000"/>
          <w:sz w:val="20"/>
        </w:rPr>
        <w:t xml:space="preserve">Required field: Method conditions</w:t>
      </w:r>
    </w:p>
    <w:p>
      <w:pPr>
        <w:spacing w:before="0" w:after="50" w:line="250" w:lineRule="auto"/>
      </w:pPr>
      <w:r>
        <w:rPr>
          <w:rFonts w:ascii="Calibri" w:hAnsi="Calibri"/>
          <w:color w:val="000000"/>
          <w:sz w:val="20"/>
        </w:rPr>
        <w:t xml:space="preserve">Examples: Medium, inoculum, incubation, atmosphere, reading time, disk content or MIC panel</w:t>
      </w:r>
    </w:p>
    <w:p>
      <w:pPr>
        <w:spacing w:before="0" w:after="50" w:line="250" w:lineRule="auto"/>
      </w:pPr>
      <w:r>
        <w:rPr>
          <w:rFonts w:ascii="Calibri" w:hAnsi="Calibri"/>
          <w:color w:val="000000"/>
          <w:sz w:val="20"/>
        </w:rPr>
        <w:t xml:space="preserve">Required field: Interpretation</w:t>
      </w:r>
    </w:p>
    <w:p>
      <w:pPr>
        <w:spacing w:before="0" w:after="50" w:line="250" w:lineRule="auto"/>
      </w:pPr>
      <w:r>
        <w:rPr>
          <w:rFonts w:ascii="Calibri" w:hAnsi="Calibri"/>
          <w:color w:val="000000"/>
          <w:sz w:val="20"/>
        </w:rPr>
        <w:t xml:space="preserve">Examples: S/I/R thresholds, ATU/uncertainty areas, non-reportable combinations and exceptions</w:t>
      </w:r>
    </w:p>
    <w:p>
      <w:pPr>
        <w:spacing w:before="0" w:after="50" w:line="250" w:lineRule="auto"/>
      </w:pPr>
      <w:r>
        <w:rPr>
          <w:rFonts w:ascii="Calibri" w:hAnsi="Calibri"/>
          <w:color w:val="000000"/>
          <w:sz w:val="20"/>
        </w:rPr>
        <w:t xml:space="preserve">Required field: QC</w:t>
      </w:r>
    </w:p>
    <w:p>
      <w:pPr>
        <w:spacing w:before="0" w:after="50" w:line="250" w:lineRule="auto"/>
      </w:pPr>
      <w:r>
        <w:rPr>
          <w:rFonts w:ascii="Calibri" w:hAnsi="Calibri"/>
          <w:color w:val="000000"/>
          <w:sz w:val="20"/>
        </w:rPr>
        <w:t xml:space="preserve">Examples: Reference strains, acceptable ranges, frequency and lot controls</w:t>
      </w:r>
    </w:p>
    <w:p>
      <w:pPr>
        <w:spacing w:before="0" w:after="50" w:line="250" w:lineRule="auto"/>
      </w:pPr>
      <w:r>
        <w:rPr>
          <w:rFonts w:ascii="Calibri" w:hAnsi="Calibri"/>
          <w:color w:val="000000"/>
          <w:sz w:val="20"/>
        </w:rPr>
        <w:t xml:space="preserve">Required field: Provenance</w:t>
      </w:r>
    </w:p>
    <w:p>
      <w:pPr>
        <w:spacing w:before="0" w:after="50" w:line="250" w:lineRule="auto"/>
      </w:pPr>
      <w:r>
        <w:rPr>
          <w:rFonts w:ascii="Calibri" w:hAnsi="Calibri"/>
          <w:color w:val="000000"/>
          <w:sz w:val="20"/>
        </w:rPr>
        <w:t xml:space="preserve">Examples: Publisher, document/version, effective dates, licensed source and change record</w:t>
      </w:r>
    </w:p>
    <w:p>
      <w:pPr>
        <w:spacing w:before="0" w:after="50" w:line="250" w:lineRule="auto"/>
      </w:pPr>
      <w:r>
        <w:rPr>
          <w:rFonts w:ascii="Calibri" w:hAnsi="Calibri"/>
          <w:color w:val="000000"/>
          <w:sz w:val="20"/>
        </w:rPr>
        <w:t xml:space="preserve">Required field: Execution</w:t>
      </w:r>
    </w:p>
    <w:p>
      <w:pPr>
        <w:spacing w:before="0" w:after="50" w:line="250" w:lineRule="auto"/>
      </w:pPr>
      <w:r>
        <w:rPr>
          <w:rFonts w:ascii="Calibri" w:hAnsi="Calibri"/>
          <w:color w:val="000000"/>
          <w:sz w:val="20"/>
        </w:rPr>
        <w:t xml:space="preserve">Examples: Deterministic rule result plus human-readable explanation and exact applied rule</w:t>
      </w:r>
    </w:p>
    <w:p>
      <w:pPr>
        <w:spacing w:before="0" w:after="50" w:line="250" w:lineRule="auto"/>
      </w:pPr>
      <w:r>
        <w:rPr>
          <w:rFonts w:ascii="Calibri" w:hAnsi="Calibri"/>
          <w:color w:val="000000"/>
          <w:sz w:val="20"/>
        </w:rPr>
        <w:t xml:space="preserve">NON-NEGOTIABLE CORRECTION
An LLM or RAG system may retrieve and explain approved guidance, but it must not invent, infer or silently update clinical breakpoints. RAST results must use the matching RAST method, organism, antimicrobial and reading-time table - not standard overnight breakpoints [S13].</w:t>
      </w:r>
    </w:p>
    <w:p>
      <w:pPr>
        <w:pStyle w:val="Heading3"/>
        <w:keepNext/>
        <w:keepLines/>
        <w:spacing w:before="240" w:after="120" w:line="269" w:lineRule="auto"/>
      </w:pPr>
      <w:r>
        <w:rPr>
          <w:color w:val="000000"/>
        </w:rPr>
        <w:t>LIMS/LIS/HIS and OEM integration</w:t>
      </w:r>
    </w:p>
    <w:p>
      <w:pPr>
        <w:pStyle w:val="Normal"/>
        <w:spacing w:before="0" w:after="50" w:line="250" w:lineRule="auto"/>
        <w:rPr/>
      </w:pPr>
      <w:r>
        <w:rPr>
          <w:rFonts w:ascii="Calibri" w:hAnsi="Calibri"/>
          <w:color w:val="000000"/>
          <w:sz w:val="20"/>
        </w:rPr>
        <w:t>Order and result interfaces through laboratory-approved standards and profiles (for example HL7 v2 messaging, FHIR where appropriate, CSV/SFTP for bounded legacy workflows, and vendor APIs).</w:t>
      </w:r>
    </w:p>
    <w:p>
      <w:pPr>
        <w:pStyle w:val="Normal"/>
        <w:spacing w:before="0" w:after="50" w:line="250" w:lineRule="auto"/>
        <w:rPr/>
      </w:pPr>
      <w:r>
        <w:rPr>
          <w:rFonts w:ascii="Calibri" w:hAnsi="Calibri"/>
          <w:color w:val="000000"/>
          <w:sz w:val="20"/>
        </w:rPr>
        <w:t>Bidirectional reconciliation: orders, sample IDs, test status, preliminary/final state, corrections and acknowledgements.</w:t>
      </w:r>
    </w:p>
    <w:p>
      <w:pPr>
        <w:pStyle w:val="Normal"/>
        <w:spacing w:before="0" w:after="50" w:line="250" w:lineRule="auto"/>
        <w:rPr/>
      </w:pPr>
      <w:r>
        <w:rPr>
          <w:rFonts w:ascii="Calibri" w:hAnsi="Calibri"/>
          <w:color w:val="000000"/>
          <w:sz w:val="20"/>
        </w:rPr>
        <w:t>Configurable data minimization and separation of identifiable clinical records from de-identified research or surveillance data.</w:t>
      </w:r>
    </w:p>
    <w:p>
      <w:pPr>
        <w:pStyle w:val="Normal"/>
        <w:spacing w:before="0" w:after="50" w:line="250" w:lineRule="auto"/>
        <w:rPr/>
      </w:pPr>
      <w:r>
        <w:rPr>
          <w:rFonts w:ascii="Calibri" w:hAnsi="Calibri"/>
          <w:color w:val="000000"/>
          <w:sz w:val="20"/>
        </w:rPr>
        <w:t>OEM adapter SDK with device identity, command authorization, event schema, simulation mode and conformance tests.</w:t>
      </w:r>
    </w:p>
    <w:p>
      <w:pPr>
        <w:pStyle w:val="Normal"/>
        <w:spacing w:before="0" w:after="50" w:line="250" w:lineRule="auto"/>
        <w:rPr/>
      </w:pPr>
      <w:r>
        <w:rPr>
          <w:rFonts w:ascii="Calibri" w:hAnsi="Calibri"/>
          <w:color w:val="000000"/>
          <w:sz w:val="20"/>
        </w:rPr>
        <w:t>No unsupported claim that integration alone makes the full workflow compliant; site validation remains required.</w:t>
      </w:r>
    </w:p>
    <w:p>
      <w:pPr>
        <w:pStyle w:val="Heading3"/>
        <w:keepNext/>
        <w:keepLines/>
        <w:spacing w:before="240" w:after="120" w:line="269" w:lineRule="auto"/>
      </w:pPr>
      <w:r>
        <w:rPr>
          <w:color w:val="000000"/>
        </w:rPr>
        <w:t>Human-in-the-loop clinical workflow</w:t>
      </w:r>
    </w:p>
    <w:p>
      <w:pPr>
        <w:spacing w:before="0" w:after="50" w:line="250" w:lineRule="auto"/>
      </w:pPr>
      <w:r>
        <w:rPr>
          <w:rFonts w:ascii="Calibri" w:hAnsi="Calibri"/>
          <w:color w:val="000000"/>
          <w:sz w:val="20"/>
        </w:rPr>
        <w:t xml:space="preserve">1. ACQUIRE: Check identity, method, calibration and image quality</w:t>
      </w:r>
    </w:p>
    <w:p>
      <w:pPr>
        <w:spacing w:before="0" w:after="50" w:line="250" w:lineRule="auto"/>
      </w:pPr>
      <w:r>
        <w:rPr>
          <w:rFonts w:ascii="Calibri" w:hAnsi="Calibri"/>
          <w:color w:val="000000"/>
          <w:sz w:val="20"/>
        </w:rPr>
        <w:t xml:space="preserve">2. MEASURE: Show boundary, diameter/well endpoint and uncertainty</w:t>
      </w:r>
    </w:p>
    <w:p>
      <w:pPr>
        <w:spacing w:before="0" w:after="50" w:line="250" w:lineRule="auto"/>
      </w:pPr>
      <w:r>
        <w:rPr>
          <w:rFonts w:ascii="Calibri" w:hAnsi="Calibri"/>
          <w:color w:val="000000"/>
          <w:sz w:val="20"/>
        </w:rPr>
        <w:t xml:space="preserve">3. INTERPRET: Apply approved rule version and QC gates</w:t>
      </w:r>
    </w:p>
    <w:p>
      <w:pPr>
        <w:spacing w:before="0" w:after="50" w:line="250" w:lineRule="auto"/>
      </w:pPr>
      <w:r>
        <w:rPr>
          <w:rFonts w:ascii="Calibri" w:hAnsi="Calibri"/>
          <w:color w:val="000000"/>
          <w:sz w:val="20"/>
        </w:rPr>
        <w:t xml:space="preserve">4. VERIFY: Technician confirms, edits with reason or rejects</w:t>
      </w:r>
    </w:p>
    <w:p>
      <w:pPr>
        <w:spacing w:before="0" w:after="50" w:line="250" w:lineRule="auto"/>
      </w:pPr>
      <w:r>
        <w:rPr>
          <w:rFonts w:ascii="Calibri" w:hAnsi="Calibri"/>
          <w:color w:val="000000"/>
          <w:sz w:val="20"/>
        </w:rPr>
        <w:t xml:space="preserve">5. RELEASE: Authorized final report, audit trail and interface acknowledgement</w:t>
      </w:r>
    </w:p>
    <w:p>
      <w:pPr>
        <w:pStyle w:val="Heading3"/>
        <w:keepNext/>
        <w:keepLines/>
        <w:spacing w:before="240" w:after="120" w:line="269" w:lineRule="auto"/>
      </w:pPr>
      <w:r>
        <w:rPr>
          <w:color w:val="000000"/>
        </w:rPr>
        <w:t>Offline and edge operation</w:t>
      </w:r>
    </w:p>
    <w:p>
      <w:pPr>
        <w:pStyle w:val="Normal"/>
        <w:spacing w:before="0" w:after="50" w:line="250" w:lineRule="auto"/>
        <w:rPr/>
      </w:pPr>
      <w:r>
        <w:rPr>
          <w:rFonts w:ascii="Calibri" w:hAnsi="Calibri"/>
          <w:color w:val="000000"/>
          <w:sz w:val="20"/>
        </w:rPr>
        <w:t>Core run control, image capture, measurement, locally installed standards rules, review and report generation remain available without internet. Data are queued for encrypted synchronization after connectivity returns. The system must visibly show synchronization state and prevent conflicting rule/model updates from being applied mid-run.</w:t>
      </w:r>
    </w:p>
    <w:p>
      <w:pPr>
        <w:pStyle w:val="Heading3"/>
        <w:keepNext/>
        <w:keepLines/>
        <w:spacing w:before="240" w:after="120" w:line="269" w:lineRule="auto"/>
      </w:pPr>
      <w:r>
        <w:rPr>
          <w:color w:val="000000"/>
        </w:rPr>
        <w:t>Cybersecurity and software lifecycle</w:t>
      </w:r>
    </w:p>
    <w:p>
      <w:pPr>
        <w:pStyle w:val="Normal"/>
        <w:spacing w:before="0" w:after="50" w:line="250" w:lineRule="auto"/>
        <w:rPr/>
      </w:pPr>
      <w:r>
        <w:rPr>
          <w:rFonts w:ascii="Calibri" w:hAnsi="Calibri"/>
          <w:color w:val="000000"/>
          <w:sz w:val="20"/>
        </w:rPr>
        <w:t>Secure boot where supported, signed software/model/rules packages, encrypted storage and TLS for external interfaces.</w:t>
      </w:r>
    </w:p>
    <w:p>
      <w:pPr>
        <w:pStyle w:val="Normal"/>
        <w:spacing w:before="0" w:after="50" w:line="250" w:lineRule="auto"/>
        <w:rPr/>
      </w:pPr>
      <w:r>
        <w:rPr>
          <w:rFonts w:ascii="Calibri" w:hAnsi="Calibri"/>
          <w:color w:val="000000"/>
          <w:sz w:val="20"/>
        </w:rPr>
        <w:t>Role-based access, least privilege, service-mode separation and multifactor authentication for remote administration.</w:t>
      </w:r>
    </w:p>
    <w:p>
      <w:pPr>
        <w:pStyle w:val="Normal"/>
        <w:spacing w:before="0" w:after="50" w:line="250" w:lineRule="auto"/>
        <w:rPr/>
      </w:pPr>
      <w:r>
        <w:rPr>
          <w:rFonts w:ascii="Calibri" w:hAnsi="Calibri"/>
          <w:color w:val="000000"/>
          <w:sz w:val="20"/>
        </w:rPr>
        <w:t>Software bill of materials, vulnerability monitoring, controlled patch windows and validated rollback.</w:t>
      </w:r>
    </w:p>
    <w:p>
      <w:pPr>
        <w:pStyle w:val="Normal"/>
        <w:spacing w:before="0" w:after="50" w:line="250" w:lineRule="auto"/>
        <w:rPr/>
      </w:pPr>
      <w:r>
        <w:rPr>
          <w:rFonts w:ascii="Calibri" w:hAnsi="Calibri"/>
          <w:color w:val="000000"/>
          <w:sz w:val="20"/>
        </w:rPr>
        <w:t>Clock integrity, audit-log protection, backups, restore tests and retention policies.</w:t>
      </w:r>
    </w:p>
    <w:p>
      <w:pPr>
        <w:pStyle w:val="Normal"/>
        <w:spacing w:before="0" w:after="50" w:line="250" w:lineRule="auto"/>
        <w:rPr/>
      </w:pPr>
      <w:r>
        <w:rPr>
          <w:rFonts w:ascii="Calibri" w:hAnsi="Calibri"/>
          <w:color w:val="000000"/>
          <w:sz w:val="20"/>
        </w:rPr>
        <w:t>Threat modeling for laboratory networks, removable media, supply chain, remote service and cross-site model distribution.</w:t>
      </w:r>
    </w:p>
    <w:p>
      <w:pPr>
        <w:pStyle w:val="Heading2"/>
        <w:keepNext/>
        <w:keepLines/>
        <w:spacing w:before="240" w:after="120" w:line="269" w:lineRule="auto"/>
      </w:pPr>
      <w:r>
        <w:rPr>
          <w:color w:val="000000"/>
        </w:rPr>
        <w:t>Capability sets</w:t>
      </w:r>
    </w:p>
    <w:p>
      <w:pPr>
        <w:pStyle w:val="Heading3"/>
        <w:keepNext/>
        <w:keepLines/>
        <w:spacing w:before="240" w:after="120" w:line="269" w:lineRule="auto"/>
      </w:pPr>
      <w:r>
        <w:rPr>
          <w:color w:val="000000"/>
        </w:rPr>
        <w:t>Intended clinical capability set</w:t>
      </w:r>
    </w:p>
    <w:p>
      <w:pPr>
        <w:pStyle w:val="Normal"/>
        <w:spacing w:before="0" w:after="50" w:line="250" w:lineRule="auto"/>
        <w:rPr/>
      </w:pPr>
      <w:r>
        <w:rPr>
          <w:rFonts w:ascii="Calibri" w:hAnsi="Calibri"/>
          <w:color w:val="000000"/>
          <w:sz w:val="20"/>
        </w:rPr>
        <w:t>Calibrated disk-diffusion plate imaging and zone-of-inhibition measurement.</w:t>
      </w:r>
    </w:p>
    <w:p>
      <w:pPr>
        <w:pStyle w:val="Normal"/>
        <w:spacing w:before="0" w:after="50" w:line="250" w:lineRule="auto"/>
        <w:rPr/>
      </w:pPr>
      <w:r>
        <w:rPr>
          <w:rFonts w:ascii="Calibri" w:hAnsi="Calibri"/>
          <w:color w:val="000000"/>
          <w:sz w:val="20"/>
        </w:rPr>
        <w:t>Antibiotic-disc localization, plate-layout verification and image-quality gating.</w:t>
      </w:r>
    </w:p>
    <w:p>
      <w:pPr>
        <w:pStyle w:val="Normal"/>
        <w:spacing w:before="0" w:after="50" w:line="250" w:lineRule="auto"/>
        <w:rPr/>
      </w:pPr>
      <w:r>
        <w:rPr>
          <w:rFonts w:ascii="Calibri" w:hAnsi="Calibri"/>
          <w:color w:val="000000"/>
          <w:sz w:val="20"/>
        </w:rPr>
        <w:t>Version-controlled CLSI/EUCAST interpretation with method and QC checks [S12-S14].</w:t>
      </w:r>
    </w:p>
    <w:p>
      <w:pPr>
        <w:pStyle w:val="Normal"/>
        <w:spacing w:before="0" w:after="50" w:line="250" w:lineRule="auto"/>
        <w:rPr/>
      </w:pPr>
      <w:r>
        <w:rPr>
          <w:rFonts w:ascii="Calibri" w:hAnsi="Calibri"/>
          <w:color w:val="000000"/>
          <w:sz w:val="20"/>
        </w:rPr>
        <w:t>Direct quantitative MIC through validated broth microdilution workflows [S15].</w:t>
      </w:r>
    </w:p>
    <w:p>
      <w:pPr>
        <w:pStyle w:val="Normal"/>
        <w:spacing w:before="0" w:after="50" w:line="250" w:lineRule="auto"/>
        <w:rPr/>
      </w:pPr>
      <w:r>
        <w:rPr>
          <w:rFonts w:ascii="Calibri" w:hAnsi="Calibri"/>
          <w:color w:val="000000"/>
          <w:sz w:val="20"/>
        </w:rPr>
        <w:t>Inoculum standardization via integrated nephelometry.</w:t>
      </w:r>
    </w:p>
    <w:p>
      <w:pPr>
        <w:pStyle w:val="Normal"/>
        <w:spacing w:before="0" w:after="50" w:line="250" w:lineRule="auto"/>
        <w:rPr/>
      </w:pPr>
      <w:r>
        <w:rPr>
          <w:rFonts w:ascii="Calibri" w:hAnsi="Calibri"/>
          <w:color w:val="000000"/>
          <w:sz w:val="20"/>
        </w:rPr>
        <w:t>Incubation tracking, environmental excursion alerts and chain of custody.</w:t>
      </w:r>
    </w:p>
    <w:p>
      <w:pPr>
        <w:pStyle w:val="Normal"/>
        <w:spacing w:before="0" w:after="50" w:line="250" w:lineRule="auto"/>
        <w:rPr/>
      </w:pPr>
      <w:r>
        <w:rPr>
          <w:rFonts w:ascii="Calibri" w:hAnsi="Calibri"/>
          <w:color w:val="000000"/>
          <w:sz w:val="20"/>
        </w:rPr>
        <w:t>Colony counting and candidate satellite/abnormal-zone flags for expert review.</w:t>
      </w:r>
    </w:p>
    <w:p>
      <w:pPr>
        <w:pStyle w:val="Normal"/>
        <w:spacing w:before="0" w:after="50" w:line="250" w:lineRule="auto"/>
        <w:rPr/>
      </w:pPr>
      <w:r>
        <w:rPr>
          <w:rFonts w:ascii="Calibri" w:hAnsi="Calibri"/>
          <w:color w:val="000000"/>
          <w:sz w:val="20"/>
        </w:rPr>
        <w:t>Human confirmation, edit/reject pathways, audit trails and digital reporting.</w:t>
      </w:r>
    </w:p>
    <w:p>
      <w:pPr>
        <w:pStyle w:val="Normal"/>
        <w:spacing w:before="0" w:after="50" w:line="250" w:lineRule="auto"/>
        <w:rPr/>
      </w:pPr>
      <w:r>
        <w:rPr>
          <w:rFonts w:ascii="Calibri" w:hAnsi="Calibri"/>
          <w:color w:val="000000"/>
          <w:sz w:val="20"/>
        </w:rPr>
        <w:t>LIS/LIMS/HIS connectivity and barcode-based traceability.</w:t>
      </w:r>
    </w:p>
    <w:p>
      <w:pPr>
        <w:pStyle w:val="Normal"/>
        <w:spacing w:before="0" w:after="50" w:line="250" w:lineRule="auto"/>
        <w:rPr/>
      </w:pPr>
      <w:r>
        <w:rPr>
          <w:rFonts w:ascii="Calibri" w:hAnsi="Calibri"/>
          <w:color w:val="000000"/>
          <w:sz w:val="20"/>
        </w:rPr>
        <w:t>Method-specific rapid AST automation only where the complete workflow is validated; no blanket six-hour claim [S13].</w:t>
      </w:r>
    </w:p>
    <w:p>
      <w:pPr>
        <w:pStyle w:val="Heading3"/>
        <w:keepNext/>
        <w:keepLines/>
        <w:spacing w:before="240" w:after="120" w:line="269" w:lineRule="auto"/>
      </w:pPr>
      <w:r>
        <w:rPr>
          <w:color w:val="000000"/>
        </w:rPr>
        <w:t>Research capability set</w:t>
      </w:r>
    </w:p>
    <w:p>
      <w:pPr>
        <w:pStyle w:val="Normal"/>
        <w:spacing w:before="0" w:after="50" w:line="250" w:lineRule="auto"/>
        <w:rPr/>
      </w:pPr>
      <w:r>
        <w:rPr>
          <w:rFonts w:ascii="Calibri" w:hAnsi="Calibri"/>
          <w:color w:val="000000"/>
          <w:sz w:val="20"/>
        </w:rPr>
        <w:t>Time-lapse RGB phenomics and colony growth kinetics.</w:t>
      </w:r>
    </w:p>
    <w:p>
      <w:pPr>
        <w:pStyle w:val="Normal"/>
        <w:spacing w:before="0" w:after="50" w:line="250" w:lineRule="auto"/>
        <w:rPr/>
      </w:pPr>
      <w:r>
        <w:rPr>
          <w:rFonts w:ascii="Calibri" w:hAnsi="Calibri"/>
          <w:color w:val="000000"/>
          <w:sz w:val="20"/>
        </w:rPr>
        <w:t>940 nm NIR imaging under defined plate/lid/condensation conditions.</w:t>
      </w:r>
    </w:p>
    <w:p>
      <w:pPr>
        <w:pStyle w:val="Normal"/>
        <w:spacing w:before="0" w:after="50" w:line="250" w:lineRule="auto"/>
        <w:rPr/>
      </w:pPr>
      <w:r>
        <w:rPr>
          <w:rFonts w:ascii="Calibri" w:hAnsi="Calibri"/>
          <w:color w:val="000000"/>
          <w:sz w:val="20"/>
        </w:rPr>
        <w:t>Multi-channel fluorescence for reporter strains, dyes and experimental probes.</w:t>
      </w:r>
    </w:p>
    <w:p>
      <w:pPr>
        <w:pStyle w:val="Normal"/>
        <w:spacing w:before="0" w:after="50" w:line="250" w:lineRule="auto"/>
        <w:rPr/>
      </w:pPr>
      <w:r>
        <w:rPr>
          <w:rFonts w:ascii="Calibri" w:hAnsi="Calibri"/>
          <w:color w:val="000000"/>
          <w:sz w:val="20"/>
        </w:rPr>
        <w:t>Morphology, pigmentation, radial growth, swarming and interaction-zone analysis.</w:t>
      </w:r>
    </w:p>
    <w:p>
      <w:pPr>
        <w:pStyle w:val="Normal"/>
        <w:spacing w:before="0" w:after="50" w:line="250" w:lineRule="auto"/>
        <w:rPr/>
      </w:pPr>
      <w:r>
        <w:rPr>
          <w:rFonts w:ascii="Calibri" w:hAnsi="Calibri"/>
          <w:color w:val="000000"/>
          <w:sz w:val="20"/>
        </w:rPr>
        <w:t>Research-grade 3D profilometry for height, roughness and topography.</w:t>
      </w:r>
    </w:p>
    <w:p>
      <w:pPr>
        <w:pStyle w:val="Normal"/>
        <w:spacing w:before="0" w:after="50" w:line="250" w:lineRule="auto"/>
        <w:rPr/>
      </w:pPr>
      <w:r>
        <w:rPr>
          <w:rFonts w:ascii="Calibri" w:hAnsi="Calibri"/>
          <w:color w:val="000000"/>
          <w:sz w:val="20"/>
        </w:rPr>
        <w:t>Auxiliary VOC fingerprinting using controlled BME690 sampling.</w:t>
      </w:r>
    </w:p>
    <w:p>
      <w:pPr>
        <w:pStyle w:val="Normal"/>
        <w:spacing w:before="0" w:after="50" w:line="250" w:lineRule="auto"/>
        <w:rPr/>
      </w:pPr>
      <w:r>
        <w:rPr>
          <w:rFonts w:ascii="Calibri" w:hAnsi="Calibri"/>
          <w:color w:val="000000"/>
          <w:sz w:val="20"/>
        </w:rPr>
        <w:t>Programmable temperature, humidity, O2/CO2 and research atmospheres.</w:t>
      </w:r>
    </w:p>
    <w:p>
      <w:pPr>
        <w:pStyle w:val="Normal"/>
        <w:spacing w:before="0" w:after="50" w:line="250" w:lineRule="auto"/>
        <w:rPr/>
      </w:pPr>
      <w:r>
        <w:rPr>
          <w:rFonts w:ascii="Calibri" w:hAnsi="Calibri"/>
          <w:color w:val="000000"/>
          <w:sz w:val="20"/>
        </w:rPr>
        <w:t>Serial dilution, liquid dispensing, multi-plate scheduling and raw-data export.</w:t>
      </w:r>
    </w:p>
    <w:p>
      <w:pPr>
        <w:pStyle w:val="Normal"/>
        <w:spacing w:before="0" w:after="50" w:line="250" w:lineRule="auto"/>
        <w:rPr/>
      </w:pPr>
      <w:r>
        <w:rPr>
          <w:rFonts w:ascii="Calibri" w:hAnsi="Calibri"/>
          <w:color w:val="000000"/>
          <w:sz w:val="20"/>
        </w:rPr>
        <w:t>Custom models, APIs, experiment templates and reproducible digital notebooks.</w:t>
      </w:r>
    </w:p>
    <w:p>
      <w:pPr>
        <w:pStyle w:val="Heading3"/>
        <w:keepNext/>
        <w:keepLines/>
        <w:spacing w:before="240" w:after="120" w:line="269" w:lineRule="auto"/>
      </w:pPr>
      <w:r>
        <w:rPr>
          <w:color w:val="000000"/>
        </w:rPr>
        <w:t>Advanced R&amp;D features</w:t>
      </w:r>
    </w:p>
    <w:p>
      <w:pPr>
        <w:spacing w:before="0" w:after="50" w:line="250" w:lineRule="auto"/>
      </w:pPr>
      <w:r>
        <w:rPr>
          <w:rFonts w:ascii="Calibri" w:hAnsi="Calibri"/>
          <w:color w:val="000000"/>
          <w:sz w:val="20"/>
        </w:rPr>
        <w:t xml:space="preserve">Feature: Pheno-to-geno inference</w:t>
      </w:r>
    </w:p>
    <w:p>
      <w:pPr>
        <w:spacing w:before="0" w:after="50" w:line="250" w:lineRule="auto"/>
      </w:pPr>
      <w:r>
        <w:rPr>
          <w:rFonts w:ascii="Calibri" w:hAnsi="Calibri"/>
          <w:color w:val="000000"/>
          <w:sz w:val="20"/>
        </w:rPr>
        <w:t xml:space="preserve">Research question: Can phenotypic time-series prioritize likely resistance mechanisms?</w:t>
      </w:r>
    </w:p>
    <w:p>
      <w:pPr>
        <w:spacing w:before="0" w:after="50" w:line="250" w:lineRule="auto"/>
      </w:pPr>
      <w:r>
        <w:rPr>
          <w:rFonts w:ascii="Calibri" w:hAnsi="Calibri"/>
          <w:color w:val="000000"/>
          <w:sz w:val="20"/>
        </w:rPr>
        <w:t xml:space="preserve">Boundary before any claim: Research triage only; confirm with molecular/reference methods.</w:t>
      </w:r>
    </w:p>
    <w:p>
      <w:pPr>
        <w:spacing w:before="0" w:after="50" w:line="250" w:lineRule="auto"/>
      </w:pPr>
      <w:r>
        <w:rPr>
          <w:rFonts w:ascii="Calibri" w:hAnsi="Calibri"/>
          <w:color w:val="000000"/>
          <w:sz w:val="20"/>
        </w:rPr>
        <w:t xml:space="preserve">Feature: Zone-to-MIC modeling</w:t>
      </w:r>
    </w:p>
    <w:p>
      <w:pPr>
        <w:spacing w:before="0" w:after="50" w:line="250" w:lineRule="auto"/>
      </w:pPr>
      <w:r>
        <w:rPr>
          <w:rFonts w:ascii="Calibri" w:hAnsi="Calibri"/>
          <w:color w:val="000000"/>
          <w:sz w:val="20"/>
        </w:rPr>
        <w:t xml:space="preserve">Research question: Can paired datasets estimate MIC distributions from zone and kinetic features?</w:t>
      </w:r>
    </w:p>
    <w:p>
      <w:pPr>
        <w:spacing w:before="0" w:after="50" w:line="250" w:lineRule="auto"/>
      </w:pPr>
      <w:r>
        <w:rPr>
          <w:rFonts w:ascii="Calibri" w:hAnsi="Calibri"/>
          <w:color w:val="000000"/>
          <w:sz w:val="20"/>
        </w:rPr>
        <w:t xml:space="preserve">Boundary before any claim: Not a replacement for direct MIC; prospective external validation required.</w:t>
      </w:r>
    </w:p>
    <w:p>
      <w:pPr>
        <w:spacing w:before="0" w:after="50" w:line="250" w:lineRule="auto"/>
      </w:pPr>
      <w:r>
        <w:rPr>
          <w:rFonts w:ascii="Calibri" w:hAnsi="Calibri"/>
          <w:color w:val="000000"/>
          <w:sz w:val="20"/>
        </w:rPr>
        <w:t xml:space="preserve">Feature: Early AST / RAST assistance</w:t>
      </w:r>
    </w:p>
    <w:p>
      <w:pPr>
        <w:spacing w:before="0" w:after="50" w:line="250" w:lineRule="auto"/>
      </w:pPr>
      <w:r>
        <w:rPr>
          <w:rFonts w:ascii="Calibri" w:hAnsi="Calibri"/>
          <w:color w:val="000000"/>
          <w:sz w:val="20"/>
        </w:rPr>
        <w:t xml:space="preserve">Research question: Can imaging automate validated early reading windows?</w:t>
      </w:r>
    </w:p>
    <w:p>
      <w:pPr>
        <w:spacing w:before="0" w:after="50" w:line="250" w:lineRule="auto"/>
      </w:pPr>
      <w:r>
        <w:rPr>
          <w:rFonts w:ascii="Calibri" w:hAnsi="Calibri"/>
          <w:color w:val="000000"/>
          <w:sz w:val="20"/>
        </w:rPr>
        <w:t xml:space="preserve">Boundary before any claim: Use method-specific RAST rules and permitted organism/drug/time combinations [S13].</w:t>
      </w:r>
    </w:p>
    <w:p>
      <w:pPr>
        <w:spacing w:before="0" w:after="50" w:line="250" w:lineRule="auto"/>
      </w:pPr>
      <w:r>
        <w:rPr>
          <w:rFonts w:ascii="Calibri" w:hAnsi="Calibri"/>
          <w:color w:val="000000"/>
          <w:sz w:val="20"/>
        </w:rPr>
        <w:t xml:space="preserve">Feature: VOC-biological fusion</w:t>
      </w:r>
    </w:p>
    <w:p>
      <w:pPr>
        <w:spacing w:before="0" w:after="50" w:line="250" w:lineRule="auto"/>
      </w:pPr>
      <w:r>
        <w:rPr>
          <w:rFonts w:ascii="Calibri" w:hAnsi="Calibri"/>
          <w:color w:val="000000"/>
          <w:sz w:val="20"/>
        </w:rPr>
        <w:t xml:space="preserve">Research question: Do VOC patterns add predictive value beyond images and conditions?</w:t>
      </w:r>
    </w:p>
    <w:p>
      <w:pPr>
        <w:spacing w:before="0" w:after="50" w:line="250" w:lineRule="auto"/>
      </w:pPr>
      <w:r>
        <w:rPr>
          <w:rFonts w:ascii="Calibri" w:hAnsi="Calibri"/>
          <w:color w:val="000000"/>
          <w:sz w:val="20"/>
        </w:rPr>
        <w:t xml:space="preserve">Boundary before any claim: Application-specific controlled studies; no standalone species ID.</w:t>
      </w:r>
    </w:p>
    <w:p>
      <w:pPr>
        <w:spacing w:before="0" w:after="50" w:line="250" w:lineRule="auto"/>
      </w:pPr>
      <w:r>
        <w:rPr>
          <w:rFonts w:ascii="Calibri" w:hAnsi="Calibri"/>
          <w:color w:val="000000"/>
          <w:sz w:val="20"/>
        </w:rPr>
        <w:t xml:space="preserve">Feature: 3D phenotype models</w:t>
      </w:r>
    </w:p>
    <w:p>
      <w:pPr>
        <w:spacing w:before="0" w:after="50" w:line="250" w:lineRule="auto"/>
      </w:pPr>
      <w:r>
        <w:rPr>
          <w:rFonts w:ascii="Calibri" w:hAnsi="Calibri"/>
          <w:color w:val="000000"/>
          <w:sz w:val="20"/>
        </w:rPr>
        <w:t xml:space="preserve">Research question: Can surface topography quantify mucoidy, biofilm or stress response?</w:t>
      </w:r>
    </w:p>
    <w:p>
      <w:pPr>
        <w:spacing w:before="0" w:after="50" w:line="250" w:lineRule="auto"/>
      </w:pPr>
      <w:r>
        <w:rPr>
          <w:rFonts w:ascii="Calibri" w:hAnsi="Calibri"/>
          <w:color w:val="000000"/>
          <w:sz w:val="20"/>
        </w:rPr>
        <w:t xml:space="preserve">Boundary before any claim: Profilometer calibration and biological ground truth required.</w:t>
      </w:r>
    </w:p>
    <w:p>
      <w:pPr>
        <w:spacing w:before="0" w:after="50" w:line="250" w:lineRule="auto"/>
      </w:pPr>
      <w:r>
        <w:rPr>
          <w:rFonts w:ascii="Calibri" w:hAnsi="Calibri"/>
          <w:color w:val="000000"/>
          <w:sz w:val="20"/>
        </w:rPr>
        <w:t xml:space="preserve">Feature: Digital-twin prediction</w:t>
      </w:r>
    </w:p>
    <w:p>
      <w:pPr>
        <w:spacing w:before="0" w:after="50" w:line="250" w:lineRule="auto"/>
      </w:pPr>
      <w:r>
        <w:rPr>
          <w:rFonts w:ascii="Calibri" w:hAnsi="Calibri"/>
          <w:color w:val="000000"/>
          <w:sz w:val="20"/>
        </w:rPr>
        <w:t xml:space="preserve">Research question: Can early trajectories forecast later endpoints?</w:t>
      </w:r>
    </w:p>
    <w:p>
      <w:pPr>
        <w:spacing w:before="0" w:after="50" w:line="250" w:lineRule="auto"/>
      </w:pPr>
      <w:r>
        <w:rPr>
          <w:rFonts w:ascii="Calibri" w:hAnsi="Calibri"/>
          <w:color w:val="000000"/>
          <w:sz w:val="20"/>
        </w:rPr>
        <w:t xml:space="preserve">Boundary before any claim: Decision support only until locked, validated and regulated for a defined use.</w:t>
      </w:r>
    </w:p>
    <w:p>
      <w:pPr>
        <w:spacing w:before="0" w:after="50" w:line="250" w:lineRule="auto"/>
      </w:pPr>
      <w:r>
        <w:rPr>
          <w:rFonts w:ascii="Calibri" w:hAnsi="Calibri"/>
          <w:color w:val="000000"/>
          <w:sz w:val="20"/>
        </w:rPr>
        <w:t xml:space="preserve">Feature: Federated fleet learning</w:t>
      </w:r>
    </w:p>
    <w:p>
      <w:pPr>
        <w:spacing w:before="0" w:after="50" w:line="250" w:lineRule="auto"/>
      </w:pPr>
      <w:r>
        <w:rPr>
          <w:rFonts w:ascii="Calibri" w:hAnsi="Calibri"/>
          <w:color w:val="000000"/>
          <w:sz w:val="20"/>
        </w:rPr>
        <w:t xml:space="preserve">Research question: Can sites improve models without centralizing sensitive data?</w:t>
      </w:r>
    </w:p>
    <w:p>
      <w:pPr>
        <w:spacing w:before="0" w:after="50" w:line="250" w:lineRule="auto"/>
      </w:pPr>
      <w:r>
        <w:rPr>
          <w:rFonts w:ascii="Calibri" w:hAnsi="Calibri"/>
          <w:color w:val="000000"/>
          <w:sz w:val="20"/>
        </w:rPr>
        <w:t xml:space="preserve">Boundary before any claim: Governance, drift control, security, consent and independent validation.</w:t>
      </w:r>
    </w:p>
    <w:p>
      <w:pPr>
        <w:spacing w:before="0" w:after="50" w:line="250" w:lineRule="auto"/>
      </w:pPr>
      <w:r>
        <w:rPr>
          <w:rFonts w:ascii="Calibri" w:hAnsi="Calibri"/>
          <w:color w:val="000000"/>
          <w:sz w:val="20"/>
        </w:rPr>
        <w:t xml:space="preserve">Feature: Automated colony picking</w:t>
      </w:r>
    </w:p>
    <w:p>
      <w:pPr>
        <w:spacing w:before="0" w:after="50" w:line="250" w:lineRule="auto"/>
      </w:pPr>
      <w:r>
        <w:rPr>
          <w:rFonts w:ascii="Calibri" w:hAnsi="Calibri"/>
          <w:color w:val="000000"/>
          <w:sz w:val="20"/>
        </w:rPr>
        <w:t xml:space="preserve">Research question: Can coordinates guide safe, traceable downstream workup?</w:t>
      </w:r>
    </w:p>
    <w:p>
      <w:pPr>
        <w:spacing w:before="0" w:after="50" w:line="250" w:lineRule="auto"/>
      </w:pPr>
      <w:r>
        <w:rPr>
          <w:rFonts w:ascii="Calibri" w:hAnsi="Calibri"/>
          <w:color w:val="000000"/>
          <w:sz w:val="20"/>
        </w:rPr>
        <w:t xml:space="preserve">Boundary before any claim: Containment, purity, carryover and recovery validation; future robotics.</w:t>
      </w:r>
    </w:p>
    <w:p>
      <w:pPr>
        <w:pStyle w:val="Heading2"/>
        <w:keepNext/>
        <w:keepLines/>
        <w:spacing w:before="240" w:after="120" w:line="269" w:lineRule="auto"/>
      </w:pPr>
      <w:r>
        <w:rPr>
          <w:color w:val="000000"/>
        </w:rPr>
        <w:t>Modular product family</w:t>
      </w:r>
    </w:p>
    <w:p>
      <w:pPr>
        <w:spacing w:before="0" w:after="50" w:line="250" w:lineRule="auto"/>
      </w:pPr>
      <w:r>
        <w:rPr>
          <w:rFonts w:ascii="Calibri" w:hAnsi="Calibri"/>
          <w:color w:val="000000"/>
          <w:sz w:val="20"/>
        </w:rPr>
        <w:t xml:space="preserve">Tier: AMR-Eye Lite</w:t>
      </w:r>
    </w:p>
    <w:p>
      <w:pPr>
        <w:spacing w:before="0" w:after="50" w:line="250" w:lineRule="auto"/>
      </w:pPr>
      <w:r>
        <w:rPr>
          <w:rFonts w:ascii="Calibri" w:hAnsi="Calibri"/>
          <w:color w:val="000000"/>
          <w:sz w:val="20"/>
        </w:rPr>
        <w:t xml:space="preserve">Primary customer: Teaching, small labs, early pilots</w:t>
      </w:r>
    </w:p>
    <w:p>
      <w:pPr>
        <w:spacing w:before="0" w:after="50" w:line="250" w:lineRule="auto"/>
      </w:pPr>
      <w:r>
        <w:rPr>
          <w:rFonts w:ascii="Calibri" w:hAnsi="Calibri"/>
          <w:color w:val="000000"/>
          <w:sz w:val="20"/>
        </w:rPr>
        <w:t xml:space="preserve">Indicative capability boundary: Controlled capture, colony counting, disk/zone measurement, digital report</w:t>
      </w:r>
    </w:p>
    <w:p>
      <w:pPr>
        <w:spacing w:before="0" w:after="50" w:line="250" w:lineRule="auto"/>
      </w:pPr>
      <w:r>
        <w:rPr>
          <w:rFonts w:ascii="Calibri" w:hAnsi="Calibri"/>
          <w:color w:val="000000"/>
          <w:sz w:val="20"/>
        </w:rPr>
        <w:t xml:space="preserve">Why lower than APEX: No high-end telecentric path, Thor, robotics, gas, fluorescence or direct MIC</w:t>
      </w:r>
    </w:p>
    <w:p>
      <w:pPr>
        <w:spacing w:before="0" w:after="50" w:line="250" w:lineRule="auto"/>
      </w:pPr>
      <w:r>
        <w:rPr>
          <w:rFonts w:ascii="Calibri" w:hAnsi="Calibri"/>
          <w:color w:val="000000"/>
          <w:sz w:val="20"/>
        </w:rPr>
        <w:t xml:space="preserve">Tier: AMR-Eye Core</w:t>
      </w:r>
    </w:p>
    <w:p>
      <w:pPr>
        <w:spacing w:before="0" w:after="50" w:line="250" w:lineRule="auto"/>
      </w:pPr>
      <w:r>
        <w:rPr>
          <w:rFonts w:ascii="Calibri" w:hAnsi="Calibri"/>
          <w:color w:val="000000"/>
          <w:sz w:val="20"/>
        </w:rPr>
        <w:t xml:space="preserve">Primary customer: Research/diagnostic labs needing incubation</w:t>
      </w:r>
    </w:p>
    <w:p>
      <w:pPr>
        <w:spacing w:before="0" w:after="50" w:line="250" w:lineRule="auto"/>
      </w:pPr>
      <w:r>
        <w:rPr>
          <w:rFonts w:ascii="Calibri" w:hAnsi="Calibri"/>
          <w:color w:val="000000"/>
          <w:sz w:val="20"/>
        </w:rPr>
        <w:t xml:space="preserve">Indicative capability boundary: Lite + smart incubation, time-lapse, basic NIR and remote monitoring</w:t>
      </w:r>
    </w:p>
    <w:p>
      <w:pPr>
        <w:spacing w:before="0" w:after="50" w:line="250" w:lineRule="auto"/>
      </w:pPr>
      <w:r>
        <w:rPr>
          <w:rFonts w:ascii="Calibri" w:hAnsi="Calibri"/>
          <w:color w:val="000000"/>
          <w:sz w:val="20"/>
        </w:rPr>
        <w:t xml:space="preserve">Why lower than APEX: Single/few-plate workflow and right-sized compute</w:t>
      </w:r>
    </w:p>
    <w:p>
      <w:pPr>
        <w:spacing w:before="0" w:after="50" w:line="250" w:lineRule="auto"/>
      </w:pPr>
      <w:r>
        <w:rPr>
          <w:rFonts w:ascii="Calibri" w:hAnsi="Calibri"/>
          <w:color w:val="000000"/>
          <w:sz w:val="20"/>
        </w:rPr>
        <w:t xml:space="preserve">Tier: AMR-Eye Clinical</w:t>
      </w:r>
    </w:p>
    <w:p>
      <w:pPr>
        <w:spacing w:before="0" w:after="50" w:line="250" w:lineRule="auto"/>
      </w:pPr>
      <w:r>
        <w:rPr>
          <w:rFonts w:ascii="Calibri" w:hAnsi="Calibri"/>
          <w:color w:val="000000"/>
          <w:sz w:val="20"/>
        </w:rPr>
        <w:t xml:space="preserve">Primary customer: Validated clinical laboratories</w:t>
      </w:r>
    </w:p>
    <w:p>
      <w:pPr>
        <w:spacing w:before="0" w:after="50" w:line="250" w:lineRule="auto"/>
      </w:pPr>
      <w:r>
        <w:rPr>
          <w:rFonts w:ascii="Calibri" w:hAnsi="Calibri"/>
          <w:color w:val="000000"/>
          <w:sz w:val="20"/>
        </w:rPr>
        <w:t xml:space="preserve">Indicative capability boundary: Locked AST workflow, standards engine, QC, audit, integration; optional direct MIC</w:t>
      </w:r>
    </w:p>
    <w:p>
      <w:pPr>
        <w:spacing w:before="0" w:after="50" w:line="250" w:lineRule="auto"/>
      </w:pPr>
      <w:r>
        <w:rPr>
          <w:rFonts w:ascii="Calibri" w:hAnsi="Calibri"/>
          <w:color w:val="000000"/>
          <w:sz w:val="20"/>
        </w:rPr>
        <w:t xml:space="preserve">Why lower than APEX: Clinical scope is deliberately bounded to validated methods; research modules excluded</w:t>
      </w:r>
    </w:p>
    <w:p>
      <w:pPr>
        <w:spacing w:before="0" w:after="50" w:line="250" w:lineRule="auto"/>
      </w:pPr>
      <w:r>
        <w:rPr>
          <w:rFonts w:ascii="Calibri" w:hAnsi="Calibri"/>
          <w:color w:val="000000"/>
          <w:sz w:val="20"/>
        </w:rPr>
        <w:t xml:space="preserve">Tier: AMR-Eye Pro / Research</w:t>
      </w:r>
    </w:p>
    <w:p>
      <w:pPr>
        <w:spacing w:before="0" w:after="50" w:line="250" w:lineRule="auto"/>
      </w:pPr>
      <w:r>
        <w:rPr>
          <w:rFonts w:ascii="Calibri" w:hAnsi="Calibri"/>
          <w:color w:val="000000"/>
          <w:sz w:val="20"/>
        </w:rPr>
        <w:t xml:space="preserve">Primary customer: Academic, biotech and QC R&amp;D</w:t>
      </w:r>
    </w:p>
    <w:p>
      <w:pPr>
        <w:spacing w:before="0" w:after="50" w:line="250" w:lineRule="auto"/>
      </w:pPr>
      <w:r>
        <w:rPr>
          <w:rFonts w:ascii="Calibri" w:hAnsi="Calibri"/>
          <w:color w:val="000000"/>
          <w:sz w:val="20"/>
        </w:rPr>
        <w:t xml:space="preserve">Indicative capability boundary: Multi-plate imaging, phenomics, optional fluorescence and environmental modules</w:t>
      </w:r>
    </w:p>
    <w:p>
      <w:pPr>
        <w:spacing w:before="0" w:after="50" w:line="250" w:lineRule="auto"/>
      </w:pPr>
      <w:r>
        <w:rPr>
          <w:rFonts w:ascii="Calibri" w:hAnsi="Calibri"/>
          <w:color w:val="000000"/>
          <w:sz w:val="20"/>
        </w:rPr>
        <w:t xml:space="preserve">Why lower than APEX: May omit clinical metrology, liquid handling or enterprise robotics</w:t>
      </w:r>
    </w:p>
    <w:p>
      <w:pPr>
        <w:spacing w:before="0" w:after="50" w:line="250" w:lineRule="auto"/>
      </w:pPr>
      <w:r>
        <w:rPr>
          <w:rFonts w:ascii="Calibri" w:hAnsi="Calibri"/>
          <w:color w:val="000000"/>
          <w:sz w:val="20"/>
        </w:rPr>
        <w:t xml:space="preserve">Tier: AMR-Eye APEX XR</w:t>
      </w:r>
    </w:p>
    <w:p>
      <w:pPr>
        <w:spacing w:before="0" w:after="50" w:line="250" w:lineRule="auto"/>
      </w:pPr>
      <w:r>
        <w:rPr>
          <w:rFonts w:ascii="Calibri" w:hAnsi="Calibri"/>
          <w:color w:val="000000"/>
          <w:sz w:val="20"/>
        </w:rPr>
        <w:t xml:space="preserve">Primary customer: Reference labs, research centers, enterprise partners</w:t>
      </w:r>
    </w:p>
    <w:p>
      <w:pPr>
        <w:spacing w:before="0" w:after="50" w:line="250" w:lineRule="auto"/>
      </w:pPr>
      <w:r>
        <w:rPr>
          <w:rFonts w:ascii="Calibri" w:hAnsi="Calibri"/>
          <w:color w:val="000000"/>
          <w:sz w:val="20"/>
        </w:rPr>
        <w:t xml:space="preserve">Indicative capability boundary: Maximum clinical + research + direct MIC + gas + plate/liquid handling + BAHU</w:t>
      </w:r>
    </w:p>
    <w:p>
      <w:pPr>
        <w:spacing w:before="0" w:after="50" w:line="250" w:lineRule="auto"/>
      </w:pPr>
      <w:r>
        <w:rPr>
          <w:rFonts w:ascii="Calibri" w:hAnsi="Calibri"/>
          <w:color w:val="000000"/>
          <w:sz w:val="20"/>
        </w:rPr>
        <w:t xml:space="preserve">Why lower than APEX: Flagship absorbs expensive optics, compute, mechanics, validation overhead and service burden</w:t>
      </w:r>
    </w:p>
    <w:p>
      <w:pPr>
        <w:pStyle w:val="Heading2"/>
        <w:keepNext/>
        <w:keepLines/>
        <w:spacing w:before="240" w:after="120" w:line="269" w:lineRule="auto"/>
      </w:pPr>
      <w:r>
        <w:rPr>
          <w:color w:val="000000"/>
        </w:rPr>
        <w:t>Safety, validation and intended regulatory pathway</w:t>
      </w:r>
    </w:p>
    <w:p>
      <w:pPr>
        <w:pStyle w:val="Heading3"/>
        <w:keepNext/>
        <w:keepLines/>
        <w:spacing w:before="240" w:after="120" w:line="269" w:lineRule="auto"/>
      </w:pPr>
      <w:r>
        <w:rPr>
          <w:color w:val="000000"/>
        </w:rPr>
        <w:t>Safety architecture</w:t>
      </w:r>
    </w:p>
    <w:p>
      <w:pPr>
        <w:spacing w:before="0" w:after="50" w:line="250" w:lineRule="auto"/>
      </w:pPr>
      <w:r>
        <w:rPr>
          <w:rFonts w:ascii="Calibri" w:hAnsi="Calibri"/>
          <w:color w:val="000000"/>
          <w:sz w:val="20"/>
        </w:rPr>
        <w:t xml:space="preserve">Hazard family: Thermal</w:t>
      </w:r>
    </w:p>
    <w:p>
      <w:pPr>
        <w:spacing w:before="0" w:after="50" w:line="250" w:lineRule="auto"/>
      </w:pPr>
      <w:r>
        <w:rPr>
          <w:rFonts w:ascii="Calibri" w:hAnsi="Calibri"/>
          <w:color w:val="000000"/>
          <w:sz w:val="20"/>
        </w:rPr>
        <w:t xml:space="preserve">Representative controls: Independent limits, redundant sensing where justified, thermal fuses, watchdog shutdown, alarm and excursion log</w:t>
      </w:r>
    </w:p>
    <w:p>
      <w:pPr>
        <w:spacing w:before="0" w:after="50" w:line="250" w:lineRule="auto"/>
      </w:pPr>
      <w:r>
        <w:rPr>
          <w:rFonts w:ascii="Calibri" w:hAnsi="Calibri"/>
          <w:color w:val="000000"/>
          <w:sz w:val="20"/>
        </w:rPr>
        <w:t xml:space="preserve">Hazard family: Motion / robotics</w:t>
      </w:r>
    </w:p>
    <w:p>
      <w:pPr>
        <w:spacing w:before="0" w:after="50" w:line="250" w:lineRule="auto"/>
      </w:pPr>
      <w:r>
        <w:rPr>
          <w:rFonts w:ascii="Calibri" w:hAnsi="Calibri"/>
          <w:color w:val="000000"/>
          <w:sz w:val="20"/>
        </w:rPr>
        <w:t xml:space="preserve">Representative controls: Guarding, door interlocks, torque/current limits, homing checks, safe parking, recovery procedures and emergency stop</w:t>
      </w:r>
    </w:p>
    <w:p>
      <w:pPr>
        <w:spacing w:before="0" w:after="50" w:line="250" w:lineRule="auto"/>
      </w:pPr>
      <w:r>
        <w:rPr>
          <w:rFonts w:ascii="Calibri" w:hAnsi="Calibri"/>
          <w:color w:val="000000"/>
          <w:sz w:val="20"/>
        </w:rPr>
        <w:t xml:space="preserve">Hazard family: UV-C</w:t>
      </w:r>
    </w:p>
    <w:p>
      <w:pPr>
        <w:spacing w:before="0" w:after="50" w:line="250" w:lineRule="auto"/>
      </w:pPr>
      <w:r>
        <w:rPr>
          <w:rFonts w:ascii="Calibri" w:hAnsi="Calibri"/>
          <w:color w:val="000000"/>
          <w:sz w:val="20"/>
        </w:rPr>
        <w:t xml:space="preserve">Representative controls: Keyed/permissioned cycle, dual door interlock, independent timeout, warning indicators and dose validation</w:t>
      </w:r>
    </w:p>
    <w:p>
      <w:pPr>
        <w:spacing w:before="0" w:after="50" w:line="250" w:lineRule="auto"/>
      </w:pPr>
      <w:r>
        <w:rPr>
          <w:rFonts w:ascii="Calibri" w:hAnsi="Calibri"/>
          <w:color w:val="000000"/>
          <w:sz w:val="20"/>
        </w:rPr>
        <w:t xml:space="preserve">Hazard family: Electrical / battery</w:t>
      </w:r>
    </w:p>
    <w:p>
      <w:pPr>
        <w:spacing w:before="0" w:after="50" w:line="250" w:lineRule="auto"/>
      </w:pPr>
      <w:r>
        <w:rPr>
          <w:rFonts w:ascii="Calibri" w:hAnsi="Calibri"/>
          <w:color w:val="000000"/>
          <w:sz w:val="20"/>
        </w:rPr>
        <w:t xml:space="preserve">Representative controls: Certified PSU class, protective earth, overcurrent/overtemperature protection, BMS, leakage/EMC testing and controlled shutdown</w:t>
      </w:r>
    </w:p>
    <w:p>
      <w:pPr>
        <w:spacing w:before="0" w:after="50" w:line="250" w:lineRule="auto"/>
      </w:pPr>
      <w:r>
        <w:rPr>
          <w:rFonts w:ascii="Calibri" w:hAnsi="Calibri"/>
          <w:color w:val="000000"/>
          <w:sz w:val="20"/>
        </w:rPr>
        <w:t xml:space="preserve">Hazard family: Gas</w:t>
      </w:r>
    </w:p>
    <w:p>
      <w:pPr>
        <w:spacing w:before="0" w:after="50" w:line="250" w:lineRule="auto"/>
      </w:pPr>
      <w:r>
        <w:rPr>
          <w:rFonts w:ascii="Calibri" w:hAnsi="Calibri"/>
          <w:color w:val="000000"/>
          <w:sz w:val="20"/>
        </w:rPr>
        <w:t xml:space="preserve">Representative controls: Compatible fittings, pressure limits, leak detection, ventilation/exhaust review, cylinder/regulator safety and oxygen-displacement risk controls</w:t>
      </w:r>
    </w:p>
    <w:p>
      <w:pPr>
        <w:spacing w:before="0" w:after="50" w:line="250" w:lineRule="auto"/>
      </w:pPr>
      <w:r>
        <w:rPr>
          <w:rFonts w:ascii="Calibri" w:hAnsi="Calibri"/>
          <w:color w:val="000000"/>
          <w:sz w:val="20"/>
        </w:rPr>
        <w:t xml:space="preserve">Hazard family: Biological / contamination</w:t>
      </w:r>
    </w:p>
    <w:p>
      <w:pPr>
        <w:spacing w:before="0" w:after="50" w:line="250" w:lineRule="auto"/>
      </w:pPr>
      <w:r>
        <w:rPr>
          <w:rFonts w:ascii="Calibri" w:hAnsi="Calibri"/>
          <w:color w:val="000000"/>
          <w:sz w:val="20"/>
        </w:rPr>
        <w:t xml:space="preserve">Representative controls: Cleanable surfaces, removable liners, validated cleaning, spill containment, workflow separation and cross-contamination studies</w:t>
      </w:r>
    </w:p>
    <w:p>
      <w:pPr>
        <w:spacing w:before="0" w:after="50" w:line="250" w:lineRule="auto"/>
      </w:pPr>
      <w:r>
        <w:rPr>
          <w:rFonts w:ascii="Calibri" w:hAnsi="Calibri"/>
          <w:color w:val="000000"/>
          <w:sz w:val="20"/>
        </w:rPr>
        <w:t xml:space="preserve">Hazard family: Data / software</w:t>
      </w:r>
    </w:p>
    <w:p>
      <w:pPr>
        <w:spacing w:before="0" w:after="50" w:line="250" w:lineRule="auto"/>
      </w:pPr>
      <w:r>
        <w:rPr>
          <w:rFonts w:ascii="Calibri" w:hAnsi="Calibri"/>
          <w:color w:val="000000"/>
          <w:sz w:val="20"/>
        </w:rPr>
        <w:t xml:space="preserve">Representative controls: Identity checks, calibration locks, signed versions, audit trails, backup/restore, cybersecurity and human confirmation</w:t>
      </w:r>
    </w:p>
    <w:p>
      <w:pPr>
        <w:spacing w:before="0" w:after="50" w:line="250" w:lineRule="auto"/>
      </w:pPr>
      <w:r>
        <w:rPr>
          <w:rFonts w:ascii="Calibri" w:hAnsi="Calibri"/>
          <w:color w:val="000000"/>
          <w:sz w:val="20"/>
        </w:rPr>
        <w:t xml:space="preserve">CONTAINMENT BOUNDARY
APEX XR is not a biosafety cabinet and must not be marketed as replacing facility containment, PPE, aseptic technique, waste handling or the user's biosafety program.</w:t>
      </w:r>
    </w:p>
    <w:p>
      <w:pPr>
        <w:pStyle w:val="Heading3"/>
        <w:keepNext/>
        <w:keepLines/>
        <w:spacing w:before="240" w:after="120" w:line="269" w:lineRule="auto"/>
      </w:pPr>
      <w:r>
        <w:rPr>
          <w:color w:val="000000"/>
        </w:rPr>
        <w:t>Validation workstreams</w:t>
      </w:r>
    </w:p>
    <w:p>
      <w:pPr>
        <w:keepNext/>
        <w:spacing w:before="0" w:after="50" w:line="250" w:lineRule="auto"/>
      </w:pPr>
      <w:r>
        <w:rPr>
          <w:rFonts w:ascii="Calibri" w:hAnsi="Calibri"/>
          <w:color w:val="000000"/>
          <w:sz w:val="20"/>
        </w:rPr>
        <w:t xml:space="preserve">Workstream: Metrology</w:t>
      </w:r>
    </w:p>
    <w:p>
      <w:pPr>
        <w:spacing w:before="0" w:after="50" w:line="250" w:lineRule="auto"/>
      </w:pPr>
      <w:r>
        <w:rPr>
          <w:rFonts w:ascii="Calibri" w:hAnsi="Calibri"/>
          <w:color w:val="000000"/>
          <w:sz w:val="20"/>
        </w:rPr>
        <w:t xml:space="preserve">Minimum evidence themes: FOV coverage, distortion correction, repeatability/reproducibility, edge performance, plate/lid variation, uncertainty and drift</w:t>
      </w:r>
    </w:p>
    <w:p>
      <w:pPr>
        <w:keepNext/>
        <w:spacing w:before="0" w:after="50" w:line="250" w:lineRule="auto"/>
      </w:pPr>
      <w:r>
        <w:rPr>
          <w:rFonts w:ascii="Calibri" w:hAnsi="Calibri"/>
          <w:color w:val="000000"/>
          <w:sz w:val="20"/>
        </w:rPr>
        <w:t xml:space="preserve">Workstream: Imaging</w:t>
      </w:r>
    </w:p>
    <w:p>
      <w:pPr>
        <w:spacing w:before="0" w:after="50" w:line="250" w:lineRule="auto"/>
      </w:pPr>
      <w:r>
        <w:rPr>
          <w:rFonts w:ascii="Calibri" w:hAnsi="Calibri"/>
          <w:color w:val="000000"/>
          <w:sz w:val="20"/>
        </w:rPr>
        <w:t xml:space="preserve">Minimum evidence themes: Illumination uniformity, focus, exposure, color/NIR/fluorescence linearity, condensation robustness and image-quality rejection</w:t>
      </w:r>
    </w:p>
    <w:p>
      <w:pPr>
        <w:keepNext/>
        <w:spacing w:before="0" w:after="50" w:line="250" w:lineRule="auto"/>
      </w:pPr>
      <w:r>
        <w:rPr>
          <w:rFonts w:ascii="Calibri" w:hAnsi="Calibri"/>
          <w:color w:val="000000"/>
          <w:sz w:val="20"/>
        </w:rPr>
        <w:t xml:space="preserve">Workstream: Incubation</w:t>
      </w:r>
    </w:p>
    <w:p>
      <w:pPr>
        <w:spacing w:before="0" w:after="50" w:line="250" w:lineRule="auto"/>
      </w:pPr>
      <w:r>
        <w:rPr>
          <w:rFonts w:ascii="Calibri" w:hAnsi="Calibri"/>
          <w:color w:val="000000"/>
          <w:sz w:val="20"/>
        </w:rPr>
        <w:t xml:space="preserve">Minimum evidence themes: Spatial/temporal temperature and humidity mapping, recovery, loaded conditions, ambient extremes, alarms and power loss</w:t>
      </w:r>
    </w:p>
    <w:p>
      <w:pPr>
        <w:keepNext/>
        <w:spacing w:before="0" w:after="50" w:line="250" w:lineRule="auto"/>
      </w:pPr>
      <w:r>
        <w:rPr>
          <w:rFonts w:ascii="Calibri" w:hAnsi="Calibri"/>
          <w:color w:val="000000"/>
          <w:sz w:val="20"/>
        </w:rPr>
        <w:t xml:space="preserve">Workstream: AST</w:t>
      </w:r>
    </w:p>
    <w:p>
      <w:pPr>
        <w:spacing w:before="0" w:after="50" w:line="250" w:lineRule="auto"/>
      </w:pPr>
      <w:r>
        <w:rPr>
          <w:rFonts w:ascii="Calibri" w:hAnsi="Calibri"/>
          <w:color w:val="000000"/>
          <w:sz w:val="20"/>
        </w:rPr>
        <w:t xml:space="preserve">Minimum evidence themes: Organism/drug/media/disc scope, categorical/essential agreement where applicable, discrepant analysis, QC strains and reader comparison</w:t>
      </w:r>
    </w:p>
    <w:p>
      <w:pPr>
        <w:keepNext/>
        <w:spacing w:before="0" w:after="50" w:line="250" w:lineRule="auto"/>
      </w:pPr>
      <w:r>
        <w:rPr>
          <w:rFonts w:ascii="Calibri" w:hAnsi="Calibri"/>
          <w:color w:val="000000"/>
          <w:sz w:val="20"/>
        </w:rPr>
        <w:t xml:space="preserve">Workstream: MIC</w:t>
      </w:r>
    </w:p>
    <w:p>
      <w:pPr>
        <w:spacing w:before="0" w:after="50" w:line="250" w:lineRule="auto"/>
      </w:pPr>
      <w:r>
        <w:rPr>
          <w:rFonts w:ascii="Calibri" w:hAnsi="Calibri"/>
          <w:color w:val="000000"/>
          <w:sz w:val="20"/>
        </w:rPr>
        <w:t xml:space="preserve">Minimum evidence themes: Pipetting, concentration maps, growth detection, endpoint reading and reference broth microdilution concordance</w:t>
      </w:r>
    </w:p>
    <w:p>
      <w:pPr>
        <w:keepNext/>
        <w:spacing w:before="0" w:after="50" w:line="250" w:lineRule="auto"/>
      </w:pPr>
      <w:r>
        <w:rPr>
          <w:rFonts w:ascii="Calibri" w:hAnsi="Calibri"/>
          <w:color w:val="000000"/>
          <w:sz w:val="20"/>
        </w:rPr>
        <w:t xml:space="preserve">Workstream: Automation</w:t>
      </w:r>
    </w:p>
    <w:p>
      <w:pPr>
        <w:spacing w:before="0" w:after="50" w:line="250" w:lineRule="auto"/>
      </w:pPr>
      <w:r>
        <w:rPr>
          <w:rFonts w:ascii="Calibri" w:hAnsi="Calibri"/>
          <w:color w:val="000000"/>
          <w:sz w:val="20"/>
        </w:rPr>
        <w:t xml:space="preserve">Minimum evidence themes: Barcode integrity, misload detection, jams, recovery, carryover, throughput, maintenance and operator intervention</w:t>
      </w:r>
    </w:p>
    <w:p>
      <w:pPr>
        <w:keepNext/>
        <w:spacing w:before="0" w:after="50" w:line="250" w:lineRule="auto"/>
      </w:pPr>
      <w:r>
        <w:rPr>
          <w:rFonts w:ascii="Calibri" w:hAnsi="Calibri"/>
          <w:color w:val="000000"/>
          <w:sz w:val="20"/>
        </w:rPr>
        <w:t xml:space="preserve">Workstream: Software / AI</w:t>
      </w:r>
    </w:p>
    <w:p>
      <w:pPr>
        <w:spacing w:before="0" w:after="50" w:line="250" w:lineRule="auto"/>
      </w:pPr>
      <w:r>
        <w:rPr>
          <w:rFonts w:ascii="Calibri" w:hAnsi="Calibri"/>
          <w:color w:val="000000"/>
          <w:sz w:val="20"/>
        </w:rPr>
        <w:t xml:space="preserve">Minimum evidence themes: Locked requirements, traceability, unit/integration/system tests, dataset governance, external validation, drift and change control</w:t>
      </w:r>
    </w:p>
    <w:p>
      <w:pPr>
        <w:keepNext/>
        <w:spacing w:before="0" w:after="50" w:line="250" w:lineRule="auto"/>
      </w:pPr>
      <w:r>
        <w:rPr>
          <w:rFonts w:ascii="Calibri" w:hAnsi="Calibri"/>
          <w:color w:val="000000"/>
          <w:sz w:val="20"/>
        </w:rPr>
        <w:t xml:space="preserve">Workstream: Usability</w:t>
      </w:r>
    </w:p>
    <w:p>
      <w:pPr>
        <w:spacing w:before="0" w:after="50" w:line="250" w:lineRule="auto"/>
      </w:pPr>
      <w:r>
        <w:rPr>
          <w:rFonts w:ascii="Calibri" w:hAnsi="Calibri"/>
          <w:color w:val="000000"/>
          <w:sz w:val="20"/>
        </w:rPr>
        <w:t xml:space="preserve">Minimum evidence themes: Critical tasks, use errors, training, alarms, result review, cleaning and service workflows</w:t>
      </w:r>
    </w:p>
    <w:p>
      <w:pPr>
        <w:keepNext/>
        <w:spacing w:before="0" w:after="50" w:line="250" w:lineRule="auto"/>
      </w:pPr>
      <w:r>
        <w:rPr>
          <w:rFonts w:ascii="Calibri" w:hAnsi="Calibri"/>
          <w:color w:val="000000"/>
          <w:sz w:val="20"/>
        </w:rPr>
        <w:t xml:space="preserve">Workstream: Clinical</w:t>
      </w:r>
    </w:p>
    <w:p>
      <w:pPr>
        <w:spacing w:before="0" w:after="50" w:line="250" w:lineRule="auto"/>
      </w:pPr>
      <w:r>
        <w:rPr>
          <w:rFonts w:ascii="Calibri" w:hAnsi="Calibri"/>
          <w:color w:val="000000"/>
          <w:sz w:val="20"/>
        </w:rPr>
        <w:t xml:space="preserve">Minimum evidence themes: Prospective/retrospective study design appropriate to intended claims, sites, prevalence, comparators and statistical analysis</w:t>
      </w:r>
    </w:p>
    <w:p>
      <w:pPr>
        <w:keepNext/>
        <w:spacing w:before="0" w:after="50" w:line="250" w:lineRule="auto"/>
      </w:pPr>
      <w:r>
        <w:rPr>
          <w:rFonts w:ascii="Calibri" w:hAnsi="Calibri"/>
          <w:color w:val="000000"/>
          <w:sz w:val="20"/>
        </w:rPr>
        <w:t xml:space="preserve">Workstream: Integration</w:t>
      </w:r>
    </w:p>
    <w:p>
      <w:pPr>
        <w:spacing w:before="0" w:after="50" w:line="250" w:lineRule="auto"/>
      </w:pPr>
      <w:r>
        <w:rPr>
          <w:rFonts w:ascii="Calibri" w:hAnsi="Calibri"/>
          <w:color w:val="000000"/>
          <w:sz w:val="20"/>
        </w:rPr>
        <w:t xml:space="preserve">Minimum evidence themes: Message mapping, patient/sample identity, downtime, duplicates, corrections, acknowledgements and cybersecurity</w:t>
      </w:r>
    </w:p>
    <w:p>
      <w:pPr>
        <w:pStyle w:val="Heading3"/>
        <w:keepNext/>
        <w:keepLines/>
        <w:spacing w:before="240" w:after="120" w:line="269" w:lineRule="auto"/>
      </w:pPr>
      <w:r>
        <w:rPr>
          <w:color w:val="000000"/>
        </w:rPr>
        <w:t>Regulatory statement</w:t>
      </w:r>
    </w:p>
    <w:p>
      <w:pPr>
        <w:pStyle w:val="Normal"/>
        <w:spacing w:before="0" w:after="50" w:line="250" w:lineRule="auto"/>
        <w:rPr/>
      </w:pPr>
      <w:r>
        <w:rPr>
          <w:rFonts w:ascii="Calibri" w:hAnsi="Calibri"/>
          <w:color w:val="000000"/>
          <w:sz w:val="20"/>
        </w:rPr>
        <w:t>The intended clinical configuration is expected to fall within India's IVD regulatory framework. CDSCO states that IVD manufacture/import/clinical performance/sale are governed by the Medical Devices Rules, 2017, and classification depends on intended purpose and risk [S20]. A current CDSCO list includes an identification and antibiotic-susceptibility analyser entry, but the final classification of AMR-Eye - including software, accessories, claims and combined configurations - must be formally determined with regulatory counsel and the competent authority. The older project assertion of a fixed 'Class B' pathway should not be repeated as fact.</w:t>
      </w:r>
    </w:p>
    <w:p>
      <w:pPr>
        <w:pStyle w:val="Normal"/>
        <w:spacing w:before="0" w:after="50" w:line="250" w:lineRule="auto"/>
        <w:rPr/>
      </w:pPr>
      <w:r>
        <w:rPr>
          <w:rFonts w:ascii="Calibri" w:hAnsi="Calibri"/>
          <w:color w:val="000000"/>
          <w:sz w:val="20"/>
        </w:rPr>
        <w:t>Freeze the intended-use statement before classification strategy.</w:t>
      </w:r>
    </w:p>
    <w:p>
      <w:pPr>
        <w:pStyle w:val="Normal"/>
        <w:spacing w:before="0" w:after="50" w:line="250" w:lineRule="auto"/>
        <w:rPr/>
      </w:pPr>
      <w:r>
        <w:rPr>
          <w:rFonts w:ascii="Calibri" w:hAnsi="Calibri"/>
          <w:color w:val="000000"/>
          <w:sz w:val="20"/>
        </w:rPr>
        <w:t>Separate research-use-only modules from any clinical configuration and labeling.</w:t>
      </w:r>
    </w:p>
    <w:p>
      <w:pPr>
        <w:pStyle w:val="Normal"/>
        <w:spacing w:before="0" w:after="50" w:line="250" w:lineRule="auto"/>
        <w:rPr/>
      </w:pPr>
      <w:r>
        <w:rPr>
          <w:rFonts w:ascii="Calibri" w:hAnsi="Calibri"/>
          <w:color w:val="000000"/>
          <w:sz w:val="20"/>
        </w:rPr>
        <w:t>Establish design controls, risk management, software lifecycle, usability, cybersecurity, supplier control and post-market planning under the applicable quality framework.</w:t>
      </w:r>
    </w:p>
    <w:p>
      <w:pPr>
        <w:pStyle w:val="Normal"/>
        <w:spacing w:before="0" w:after="50" w:line="250" w:lineRule="auto"/>
        <w:rPr/>
      </w:pPr>
      <w:r>
        <w:rPr>
          <w:rFonts w:ascii="Calibri" w:hAnsi="Calibri"/>
          <w:color w:val="000000"/>
          <w:sz w:val="20"/>
        </w:rPr>
        <w:t>Treat clinical, research and OEM configurations as potentially different regulatory systems, not one universal approval.</w:t>
      </w:r>
    </w:p>
    <w:p>
      <w:pPr>
        <w:pStyle w:val="Heading3"/>
        <w:keepNext/>
        <w:keepLines/>
        <w:spacing w:before="240" w:after="120" w:line="269" w:lineRule="auto"/>
      </w:pPr>
      <w:r>
        <w:rPr>
          <w:color w:val="000000"/>
        </w:rPr>
        <w:t>Claims that must not appear without evidence</w:t>
      </w:r>
    </w:p>
    <w:p>
      <w:pPr>
        <w:pStyle w:val="Normal"/>
        <w:spacing w:before="0" w:after="50" w:line="250" w:lineRule="auto"/>
        <w:rPr/>
      </w:pPr>
      <w:r>
        <w:rPr>
          <w:rFonts w:ascii="Calibri" w:hAnsi="Calibri"/>
          <w:color w:val="000000"/>
          <w:sz w:val="20"/>
        </w:rPr>
        <w:t>Sub-micron whole-plate measurement accuracy.</w:t>
      </w:r>
    </w:p>
    <w:p>
      <w:pPr>
        <w:pStyle w:val="Normal"/>
        <w:spacing w:before="0" w:after="50" w:line="250" w:lineRule="auto"/>
        <w:rPr/>
      </w:pPr>
      <w:r>
        <w:rPr>
          <w:rFonts w:ascii="Calibri" w:hAnsi="Calibri"/>
          <w:color w:val="000000"/>
          <w:sz w:val="20"/>
        </w:rPr>
        <w:t>Standalone bacterial species identification from a BME690 or any VOC sensor.</w:t>
      </w:r>
    </w:p>
    <w:p>
      <w:pPr>
        <w:pStyle w:val="Normal"/>
        <w:spacing w:before="0" w:after="50" w:line="250" w:lineRule="auto"/>
        <w:rPr/>
      </w:pPr>
      <w:r>
        <w:rPr>
          <w:rFonts w:ascii="Calibri" w:hAnsi="Calibri"/>
          <w:color w:val="000000"/>
          <w:sz w:val="20"/>
        </w:rPr>
        <w:t>Research-grade colony height/topography from VL53L8CX.</w:t>
      </w:r>
    </w:p>
    <w:p>
      <w:pPr>
        <w:pStyle w:val="Normal"/>
        <w:spacing w:before="0" w:after="50" w:line="250" w:lineRule="auto"/>
        <w:rPr/>
      </w:pPr>
      <w:r>
        <w:rPr>
          <w:rFonts w:ascii="Calibri" w:hAnsi="Calibri"/>
          <w:color w:val="000000"/>
          <w:sz w:val="20"/>
        </w:rPr>
        <w:t>Microgram biomass measurement from an integrated load cell.</w:t>
      </w:r>
    </w:p>
    <w:p>
      <w:pPr>
        <w:pStyle w:val="Normal"/>
        <w:spacing w:before="0" w:after="50" w:line="250" w:lineRule="auto"/>
        <w:rPr/>
      </w:pPr>
      <w:r>
        <w:rPr>
          <w:rFonts w:ascii="Calibri" w:hAnsi="Calibri"/>
          <w:color w:val="000000"/>
          <w:sz w:val="20"/>
        </w:rPr>
        <w:t>Exact MIC calculated from a disk-diffusion zone.</w:t>
      </w:r>
    </w:p>
    <w:p>
      <w:pPr>
        <w:pStyle w:val="Normal"/>
        <w:spacing w:before="0" w:after="50" w:line="250" w:lineRule="auto"/>
        <w:rPr/>
      </w:pPr>
      <w:r>
        <w:rPr>
          <w:rFonts w:ascii="Calibri" w:hAnsi="Calibri"/>
          <w:color w:val="000000"/>
          <w:sz w:val="20"/>
        </w:rPr>
        <w:t>LLM-generated or automatically inferred CLSI/EUCAST breakpoints.</w:t>
      </w:r>
    </w:p>
    <w:p>
      <w:pPr>
        <w:pStyle w:val="Normal"/>
        <w:spacing w:before="0" w:after="50" w:line="250" w:lineRule="auto"/>
        <w:rPr/>
      </w:pPr>
      <w:r>
        <w:rPr>
          <w:rFonts w:ascii="Calibri" w:hAnsi="Calibri"/>
          <w:color w:val="000000"/>
          <w:sz w:val="20"/>
        </w:rPr>
        <w:t>Universal six-hour clinical AST turnaround.</w:t>
      </w:r>
    </w:p>
    <w:p>
      <w:pPr>
        <w:pStyle w:val="Normal"/>
        <w:spacing w:before="0" w:after="50" w:line="250" w:lineRule="auto"/>
        <w:rPr/>
      </w:pPr>
      <w:r>
        <w:rPr>
          <w:rFonts w:ascii="Calibri" w:hAnsi="Calibri"/>
          <w:color w:val="000000"/>
          <w:sz w:val="20"/>
        </w:rPr>
        <w:t>Clinical diagnosis or resistance-gene confirmation from morphology alone.</w:t>
      </w:r>
    </w:p>
    <w:p>
      <w:pPr>
        <w:pStyle w:val="Normal"/>
        <w:spacing w:before="0" w:after="50" w:line="250" w:lineRule="auto"/>
        <w:rPr/>
      </w:pPr>
      <w:r>
        <w:rPr>
          <w:rFonts w:ascii="Calibri" w:hAnsi="Calibri"/>
          <w:color w:val="000000"/>
          <w:sz w:val="20"/>
        </w:rPr>
        <w:t>A fixed regulatory class before formal intended-use assessment.</w:t>
      </w:r>
    </w:p>
    <w:p>
      <w:pPr>
        <w:pStyle w:val="Normal"/>
        <w:spacing w:before="0" w:after="50" w:line="250" w:lineRule="auto"/>
        <w:rPr/>
      </w:pPr>
      <w:r>
        <w:rPr>
          <w:rFonts w:ascii="Calibri" w:hAnsi="Calibri"/>
          <w:color w:val="000000"/>
          <w:sz w:val="20"/>
        </w:rPr>
        <w:t>Replacement of a biosafety cabinet or established laboratory containment.</w:t>
      </w:r>
    </w:p>
    <w:p>
      <w:pPr>
        <w:pStyle w:val="Heading2"/>
        <w:keepNext/>
        <w:keepLines/>
        <w:spacing w:before="240" w:after="120" w:line="269" w:lineRule="auto"/>
      </w:pPr>
      <w:r>
        <w:rPr>
          <w:color w:val="000000"/>
        </w:rPr>
        <w:t>Development and de-risking sequence</w:t>
      </w:r>
    </w:p>
    <w:p>
      <w:pPr>
        <w:pStyle w:val="Caption"/>
        <w:keepNext/>
      </w:pPr>
      <w:bookmarkStart w:id="97017" w:name="table_5"/>
      <w:r>
        <w:t>Table 5 Advanced configuration evidence gates</w:t>
      </w:r>
      <w:bookmarkEnd w:id="97017"/>
    </w:p>
    <w:tbl>
      <w:tblPr>
        <w:tblStyle w:val="TableGrid"/>
        <w:tblW w:w="10281" w:type="dxa"/>
        <w:jc w:val="center"/>
        <w:tblInd w:w="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start w:w="108" w:type="dxa"/>
          <w:bottom w:w="0" w:type="dxa"/>
          <w:end w:w="108" w:type="dxa"/>
        </w:tblCellMar>
        <w:tblLook w:val="04a0" w:noHBand="0" w:noVBand="1" w:firstColumn="1" w:lastRow="0" w:lastColumn="0" w:firstRow="1"/>
      </w:tblPr>
      <w:tblGrid>
        <w:gridCol w:w="3427"/>
        <w:gridCol w:w="3427"/>
        <w:gridCol w:w="3427"/>
      </w:tblGrid>
      <w:tr>
        <w:trPr>
          <w:cantSplit/>
          <w:tblHeader/>
        </w:trPr>
        <w:tc>
          <w:tcPr>
            <w:tcW w:w="3264"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Gate</w:t>
            </w:r>
          </w:p>
        </w:tc>
        <w:tc>
          <w:tcPr>
            <w:tcW w:w="3264"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Build focus</w:t>
            </w:r>
          </w:p>
        </w:tc>
        <w:tc>
          <w:tcPr>
            <w:tcW w:w="3264"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Exit evidence</w:t>
            </w:r>
          </w:p>
        </w:tc>
      </w:tr>
      <w:tr>
        <w:trPr>
          <w:cantSplit/>
        </w:trPr>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G0 - Requirements</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Intended uses, product tiers, sample formats, user roles, risks, interfaces and claims</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Approved requirements and claim-evidence matrix</w:t>
            </w:r>
          </w:p>
        </w:tc>
      </w:tr>
      <w:tr>
        <w:trPr>
          <w:cantSplit/>
        </w:trPr>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G1 - Metrology bench</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Camera/lens/lighting/mechanics and calibrated plate artifacts</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Repeatability, uncertainty and whole-field performance report</w:t>
            </w:r>
          </w:p>
        </w:tc>
      </w:tr>
      <w:tr>
        <w:trPr>
          <w:cantSplit/>
        </w:trPr>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G2 - Controlled chamber</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Loaded thermal/humidity performance, imaging cadence and condensation tests</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Environmental mapping, recovery and fault tests</w:t>
            </w:r>
          </w:p>
        </w:tc>
      </w:tr>
      <w:tr>
        <w:trPr>
          <w:cantSplit/>
        </w:trPr>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G3 - Digital AST prototype</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Disk/zone measurement, PIMS, rule engine and human review</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Locked dataset, external comparison and software verification</w:t>
            </w:r>
          </w:p>
        </w:tc>
      </w:tr>
      <w:tr>
        <w:trPr>
          <w:cantSplit/>
        </w:trPr>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G4 - Direct MIC</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Liquid handling, BMD deck and optical endpoints</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Reference-method concordance and process capability</w:t>
            </w:r>
          </w:p>
        </w:tc>
      </w:tr>
      <w:tr>
        <w:trPr>
          <w:cantSplit/>
        </w:trPr>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G5 - Automation</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Plate queue, barcode chain, recovery and service</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Endurance, misload, jam and cross-contamination evidence</w:t>
            </w:r>
          </w:p>
        </w:tc>
      </w:tr>
      <w:tr>
        <w:trPr>
          <w:cantSplit/>
        </w:trPr>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G6 - Research modules</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Fluorescence, gas, VOC and profilometry</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Assay-specific characterization; clear RUO labeling</w:t>
            </w:r>
          </w:p>
        </w:tc>
      </w:tr>
      <w:tr>
        <w:trPr>
          <w:cantSplit/>
        </w:trPr>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G7 - Clinical pilot</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Multi-site intended-use workflow under quality and regulatory plans</w:t>
            </w:r>
          </w:p>
        </w:tc>
        <w:tc>
          <w:tcPr>
            <w:tcW w:w="32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Clinical performance, usability and integration package</w:t>
            </w:r>
          </w:p>
        </w:tc>
      </w:tr>
      <w:tr>
        <w:trPr>
          <w:cantSplit/>
        </w:trPr>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G8 - Productization</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Production module/carrier, supplier qualification, DFM/DFA, service and cybersecurity</w:t>
            </w:r>
          </w:p>
        </w:tc>
        <w:tc>
          <w:tcPr>
            <w:tcW w:w="32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Design transfer, verified build and launch readiness</w:t>
            </w:r>
          </w:p>
        </w:tc>
      </w:tr>
    </w:tbl>
    <w:p/>
    <w:sectPr w:rsidR="00FC693F" w:rsidRPr="0006063C" w:rsidSect="00034616">
      <w:headerReference w:type="default" r:id="rId9"/>
      <w:footerReference w:type="default" r:id="rId10"/>
      <w:pgSz w:w="12240" w:h="20160"/>
      <w:pgMar w:top="720" w:right="720" w:bottom="72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AMREYE.AI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Development Roadmap and Advanced Architecture  |  Supporting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0" w:before="0" w:after="50"/>
      <w:jc w:val="start"/>
    </w:pPr>
    <w:rPr>
      <w:rFonts w:ascii="Calibri" w:hAnsi="Calibri" w:eastAsia="ＭＳ 明朝" w:cs="" w:cstheme="minorBidi" w:eastAsiaTheme="minorEastAsia"/>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Calibri" w:hAnsi="Calibri" w:eastAsia="ＭＳ ゴシック"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6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b/>
      <w:color w:val="000000"/>
      <w:sz w:val="21"/>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b/>
      <w:i/>
      <w:iCs/>
      <w:color w:val="000000"/>
      <w:sz w:val="2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Noto Sans CJK SC" w:cs="Lohit Devanagari"/>
      <w:color w:val="000000"/>
      <w:sz w:val="28"/>
      <w:szCs w:val="28"/>
    </w:rPr>
  </w:style>
  <w:style w:type="paragraph" w:styleId="BodyText">
    <w:name w:val="Body Text"/>
    <w:basedOn w:val="Normal"/>
    <w:link w:val="BodyTextChar"/>
    <w:uiPriority w:val="99"/>
    <w:unhideWhenUsed/>
    <w:rsid w:val="00aa1d8d"/>
    <w:pPr>
      <w:spacing w:before="0" w:after="100" w:line="269" w:lineRule="auto"/>
    </w:pPr>
    <w:rPr>
      <w:rFonts w:ascii="Calibri" w:hAnsi="Calibri"/>
      <w:color w:val="000000"/>
      <w:sz w:val="22"/>
    </w:rPr>
  </w:style>
  <w:style w:type="paragraph" w:styleId="List">
    <w:name w:val="List"/>
    <w:basedOn w:val="Normal"/>
    <w:uiPriority w:val="99"/>
    <w:unhideWhenUsed/>
    <w:rsid w:val="00aa1d8d"/>
    <w:pPr>
      <w:spacing w:before="0" w:after="6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keepNext/>
      <w:spacing w:lineRule="auto" w:line="240"/>
    </w:pPr>
    <w:rPr>
      <w:rFonts w:ascii="Calibri" w:hAnsi="Calibri"/>
      <w:b/>
      <w:bCs/>
      <w:color w:val="333333"/>
      <w:sz w:val="18"/>
      <w:szCs w:val="18"/>
    </w:rPr>
  </w:style>
  <w:style w:type="paragraph" w:styleId="Index">
    <w:name w:val="Index"/>
    <w:basedOn w:val="Normal"/>
    <w:qFormat/>
    <w:pPr>
      <w:suppressLineNumbers/>
    </w:pPr>
    <w:rPr>
      <w:rFonts w:cs="Lohit Devanagari" w:ascii="Calibri" w:hAnsi="Calibri"/>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bidi w:val="0"/>
      <w:spacing w:lineRule="auto" w:line="240" w:before="0" w:after="0"/>
      <w:jc w:val="start"/>
    </w:pPr>
    <w:rPr>
      <w:rFonts w:ascii="Calibri" w:hAnsi="Calibri" w:eastAsia="ＭＳ 明朝"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keepNext/>
      <w:pageBreakBefore w:val="0"/>
      <w:spacing w:lineRule="auto" w:line="240" w:before="0" w:after="200"/>
      <w:contextualSpacing/>
    </w:pPr>
    <w:rPr>
      <w:rFonts w:ascii="Calibri" w:hAnsi="Calibri" w:eastAsia="ＭＳ ゴシック"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00" w:line="269" w:lineRule="auto"/>
      <w:ind w:start="720"/>
      <w:contextualSpacing/>
    </w:pPr>
    <w:rPr>
      <w:rFonts w:ascii="Calibri" w:hAnsi="Calibri"/>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6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6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6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6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6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6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6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6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alibri" w:hAnsi="Calibri" w:eastAsia="ＭＳ 明朝"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OC1">
    <w:name w:val="toc 1"/>
    <w:basedOn w:val="Index"/>
    <w:pPr>
      <w:tabs>
        <w:tab w:val="clear" w:pos="720"/>
        <w:tab w:val="right" w:pos="10282" w:leader="dot"/>
      </w:tabs>
      <w:ind w:hanging="0" w:start="0"/>
    </w:pPr>
    <w:rPr>
      <w:rFonts w:ascii="Calibri" w:hAnsi="Calibri"/>
      <w:color w:val="000000"/>
    </w:rPr>
  </w:style>
  <w:style w:type="paragraph" w:styleId="TOC2">
    <w:name w:val="toc 2"/>
    <w:basedOn w:val="Index"/>
    <w:pPr>
      <w:tabs>
        <w:tab w:val="clear" w:pos="720"/>
        <w:tab w:val="right" w:pos="9999" w:leader="dot"/>
      </w:tabs>
      <w:ind w:hanging="0" w:start="283"/>
    </w:pPr>
    <w:rPr>
      <w:rFonts w:ascii="Calibri" w:hAnsi="Calibri"/>
      <w:color w:val="000000"/>
    </w:rPr>
  </w:style>
  <w:style w:type="paragraph" w:styleId="TOC3">
    <w:name w:val="toc 3"/>
    <w:basedOn w:val="Index"/>
    <w:pPr>
      <w:tabs>
        <w:tab w:val="clear" w:pos="720"/>
        <w:tab w:val="right" w:pos="9715" w:leader="dot"/>
      </w:tabs>
      <w:ind w:hanging="0" w:start="567"/>
    </w:pPr>
    <w:rPr>
      <w:rFonts w:ascii="Calibri" w:hAnsi="Calibri"/>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yuNv2ukKT3OJ6aUCe5bVRlqtTuc-rn50/view" TargetMode="External"/><Relationship Id="rId12" Type="http://schemas.openxmlformats.org/officeDocument/2006/relationships/hyperlink" Target="https://drive.google.com/file/d/1RTRqQsgskSywx2cf2YkpJOHzD_qNFfPv/view" TargetMode="External"/><Relationship Id="rId13" Type="http://schemas.openxmlformats.org/officeDocument/2006/relationships/image" Target="media/image1.png"/><Relationship Id="rId14" Type="http://schemas.openxmlformats.org/officeDocument/2006/relationships/hyperlink" Target="https://www.raspberrypi.com/documentation/accessories/ai-hat-plus.html" TargetMode="External"/><Relationship Id="rId15" Type="http://schemas.openxmlformats.org/officeDocument/2006/relationships/hyperlink" Target="https://www.raspberrypi.com/news/introducing-the-raspberry-pi-ai-hat-plus-2-generative-ai-on-raspberry-pi-5/" TargetMode="External"/><Relationship Id="rId16" Type="http://schemas.openxmlformats.org/officeDocument/2006/relationships/hyperlink" Target="https://developer.nvidia.com/embedded/lifecycle" TargetMode="External"/><Relationship Id="rId17" Type="http://schemas.openxmlformats.org/officeDocument/2006/relationships/hyperlink" Target="https://www.eucast.org/news-detail/the-quality-of-material-for-eucast-disk-diffusion/" TargetMode="External"/><Relationship Id="rId18" Type="http://schemas.openxmlformats.org/officeDocument/2006/relationships/hyperlink" Target="https://www.eucast.org/bacteria/methodology-and-instructions/disk-diffusion-and-quality-control/" TargetMode="External"/><Relationship Id="rId19" Type="http://schemas.openxmlformats.org/officeDocument/2006/relationships/hyperlink" Target="https://www.eucast.org/bacteria/methodology-and-instructions/media-preparation/" TargetMode="External"/><Relationship Id="rId20" Type="http://schemas.openxmlformats.org/officeDocument/2006/relationships/hyperlink" Target="https://clsi.org/shop/standards/m23s3/" TargetMode="External"/><Relationship Id="rId21" Type="http://schemas.openxmlformats.org/officeDocument/2006/relationships/hyperlink" Target="https://www.icmr.gov.in/icmrobject/uploads/Guidelines/1736941384_guidancedocument_amrdiagnostics_revised.pdf" TargetMode="External"/><Relationship Id="rId22" Type="http://schemas.openxmlformats.org/officeDocument/2006/relationships/hyperlink" Target="https://doi.org/10.25259/IJMR_214_2026" TargetMode="External"/><Relationship Id="rId23" Type="http://schemas.openxmlformats.org/officeDocument/2006/relationships/hyperlink" Target="https://www.iso.org/standard/79377.html" TargetMode="External"/><Relationship Id="rId24" Type="http://schemas.openxmlformats.org/officeDocument/2006/relationships/hyperlink" Target="https://www.eucast.org/news-detail/how-to-make-use-of-eucast-mic-and-zone-distributions/" TargetMode="External"/><Relationship Id="rId25" Type="http://schemas.openxmlformats.org/officeDocument/2006/relationships/hyperlink" Target="https://mic.eucast.org/" TargetMode="External"/><Relationship Id="rId26" Type="http://schemas.openxmlformats.org/officeDocument/2006/relationships/hyperlink" Target="https://clsi.org/resources/breakpoint-implementation-toolkit/" TargetMode="External"/><Relationship Id="rId27" Type="http://schemas.openxmlformats.org/officeDocument/2006/relationships/hyperlink" Target="https://www.eucast.org/bacteria/development-of-clinical-breakpoints-and-ecoffs/about-clinical-breakpoints/" TargetMode="External"/><Relationship Id="rId28" Type="http://schemas.openxmlformats.org/officeDocument/2006/relationships/hyperlink" Target="https://www.eucast.org/bacteria/document-archive/" TargetMode="External"/><Relationship Id="rId29" Type="http://schemas.openxmlformats.org/officeDocument/2006/relationships/hyperlink" Target="https://doi.org/10.1128/jcm.01606-24" TargetMode="External"/><Relationship Id="rId30" Type="http://schemas.openxmlformats.org/officeDocument/2006/relationships/hyperlink" Target="https://clsi.org/shop/standards/m02/" TargetMode="External"/><Relationship Id="rId31" Type="http://schemas.openxmlformats.org/officeDocument/2006/relationships/hyperlink" Target="https://clsi.org/shop/standards/m02qg/" TargetMode="External"/><Relationship Id="rId32" Type="http://schemas.openxmlformats.org/officeDocument/2006/relationships/hyperlink" Target="https://clsi.org/shop/standards/m100/" TargetMode="External"/><Relationship Id="rId33" Type="http://schemas.openxmlformats.org/officeDocument/2006/relationships/hyperlink" Target="https://www.eucast.org/bacteria/clinical-breakpoints-and-interpretation/clinical-breakpoint-tables/" TargetMode="External"/><Relationship Id="rId34" Type="http://schemas.openxmlformats.org/officeDocument/2006/relationships/hyperlink" Target="https://www.eucast.org/bacteria/rapid-ast-in-blood-culture/breakpoints-for-rapid-ast/" TargetMode="External"/><Relationship Id="rId35" Type="http://schemas.openxmlformats.org/officeDocument/2006/relationships/hyperlink" Target="https://www.eucast.org/bacteria/rapid-ast-in-blood-culture/methods-and-quality-control/" TargetMode="External"/><Relationship Id="rId36" Type="http://schemas.openxmlformats.org/officeDocument/2006/relationships/hyperlink" Target="https://www.cdsco.gov.in/opencms/export/sites/CDSCO_WEB/Pdf-documents/medical-device/IVD_classifiction25oc23.pdf" TargetMode="External"/><Relationship Id="rId37" Type="http://schemas.openxmlformats.org/officeDocument/2006/relationships/hyperlink" Target="https://www.cdsco.gov.in/opencms/export/sites/CDSCO_WEB/Pdf-documents/Guidance-document-on-Medical-Device-Software-under-MDR-2017.pdf" TargetMode="External"/><Relationship Id="rId38" Type="http://schemas.openxmlformats.org/officeDocument/2006/relationships/hyperlink" Target="https://www.accessdata.fda.gov/scripts/cdrh/cfdocs/cfPCD/classification.cfm?ID=LRG" TargetMode="External"/><Relationship Id="rId39" Type="http://schemas.openxmlformats.org/officeDocument/2006/relationships/hyperlink" Target="https://www.fda.gov/regulatory-information/search-fda-guidance-documents/antimicrobial-susceptibility-test-ast-system-devices-updating-breakpoints-device-labeling" TargetMode="External"/><Relationship Id="rId40" Type="http://schemas.openxmlformats.org/officeDocument/2006/relationships/hyperlink" Target="https://www.fda.gov/media/124382/download" TargetMode="External"/><Relationship Id="rId41" Type="http://schemas.openxmlformats.org/officeDocument/2006/relationships/hyperlink" Target="https://clsi.org/shop/standards/m52/" TargetMode="External"/><Relationship Id="rId42" Type="http://schemas.openxmlformats.org/officeDocument/2006/relationships/hyperlink" Target="https://health.ec.europa.eu/latest-updates/mdcg-2020-16-rev5-guidance-classification-rules-vitro-diagnostic-medical-devices-under-regulation-eu-2026-09-09_en" TargetMode="External"/><Relationship Id="rId43" Type="http://schemas.openxmlformats.org/officeDocument/2006/relationships/hyperlink" Target="https://health.ec.europa.eu/document/download/12f9756a-1e0d-4aed-9783-d948553f1705_en" TargetMode="External"/><Relationship Id="rId44" Type="http://schemas.openxmlformats.org/officeDocument/2006/relationships/hyperlink" Target="https://eur-lex.europa.eu/eli/reg/2017/746/oj" TargetMode="External"/><Relationship Id="rId45" Type="http://schemas.openxmlformats.org/officeDocument/2006/relationships/hyperlink" Target="https://www.meity.gov.in/documents/act-and-policies/digital-personal-data-protection-rules-2025-gDOxUjMtQWa?pageTitle=Digital-Personal-Data-Protection-Rules-2025" TargetMode="External"/><Relationship Id="rId46" Type="http://schemas.openxmlformats.org/officeDocument/2006/relationships/hyperlink" Target="https://www.meity.gov.in/static/uploads/2025/11/c56ceae6c383460ca69577428d36828b.pdf" TargetMode="External"/><Relationship Id="rId47" Type="http://schemas.openxmlformats.org/officeDocument/2006/relationships/hyperlink" Target="https://eur-lex.europa.eu/eli/reg/2016/679/oj/" TargetMode="External"/><Relationship Id="rId48" Type="http://schemas.openxmlformats.org/officeDocument/2006/relationships/hyperlink" Target="https://www.hhs.gov/hipaa/for-professionals/faq/2075/may-a-hipaa-covered-entity-or-business-associate-use-cloud-service-to-store-or-process-ephi/index.html" TargetMode="External"/><Relationship Id="rId49" Type="http://schemas.openxmlformats.org/officeDocument/2006/relationships/hyperlink" Target="https://www.cdsco.gov.in/opencms/export/sites/CDSCO_WEB/Pdf-documents/Addendum-Doc-No-CDSCOIVDFAQ-042022dated-13032026.pdf" TargetMode="External"/><Relationship Id="rId50" Type="http://schemas.openxmlformats.org/officeDocument/2006/relationships/hyperlink" Target="https://medtechmitra.icmr.org.in/" TargetMode="External"/><Relationship Id="rId51" Type="http://schemas.openxmlformats.org/officeDocument/2006/relationships/hyperlink" Target="https://www.cdsco.gov.in/opencms/export/sites/CDSCO_WEB/Pdf-documents/MedTech-Mitras-Innovator-Handbook-.pdf" TargetMode="External"/><Relationship Id="rId52" Type="http://schemas.openxmlformats.org/officeDocument/2006/relationships/hyperlink" Target="https://cdsco.gov.in/opencms/export/sites/CDSCO_WEB/Pdf-documents/Guidance-document-on-Medical-Device-Software-under-MDR-2017.pdf" TargetMode="External"/><Relationship Id="rId53" Type="http://schemas.openxmlformats.org/officeDocument/2006/relationships/hyperlink" Target="https://www.cdsco.gov.in/opencms/export/sites/CDSCO_WEB/Pdf-documents/Revised-PER-list-dated-29.06.2026.pdf" TargetMode="External"/><Relationship Id="rId54" Type="http://schemas.openxmlformats.org/officeDocument/2006/relationships/hyperlink" Target="https://www.cdsco.gov.in/opencms/export/sites/CDSCO_WEB/Pdf-documents/medical-device/List-of-labs-for-PE-of-IVD-Instruments-Analyser-Software-2022.pdf" TargetMode="External"/><Relationship Id="rId55" Type="http://schemas.openxmlformats.org/officeDocument/2006/relationships/hyperlink" Target="https://patents.google.com/patent/US5629169A/en" TargetMode="External"/><Relationship Id="rId56" Type="http://schemas.openxmlformats.org/officeDocument/2006/relationships/hyperlink" Target="https://patents.google.com/patent/US6665429B1/en" TargetMode="External"/><Relationship Id="rId57" Type="http://schemas.openxmlformats.org/officeDocument/2006/relationships/hyperlink" Target="https://patents.google.com/patent/WO2000032807A1/en" TargetMode="External"/><Relationship Id="rId58" Type="http://schemas.openxmlformats.org/officeDocument/2006/relationships/hyperlink" Target="https://patents.google.com/patent/WO2016055724A1/en" TargetMode="External"/><Relationship Id="rId59" Type="http://schemas.openxmlformats.org/officeDocument/2006/relationships/hyperlink" Target="https://patents.google.com/patent/US12529090B2/en" TargetMode="External"/><Relationship Id="rId60" Type="http://schemas.openxmlformats.org/officeDocument/2006/relationships/hyperlink" Target="https://www.copanusa.com/laboratory-automation/microbiology-laboratory-automation-ai/rad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AMREYE AI Development Roadmap and Advanced Architecture</dc:title>
  <dc:subject>Reader V1 development priorities, implementation planning, and proposed Bio-Vault and APEX XR configurations. Advanced specifications, interfaces and subsystem descriptions remain proposed architecture. Dates, durations and capability descriptions do</dc:subject>
  <dc:creator>AMREYE.AI</dc:creator>
  <cp:keywords/>
  <dc:description>Detailed source content redistributed from the canonical master; claims retain their original evidence status.</dc:description>
  <cp:lastModifiedBy/>
  <cp:revision>1</cp:revision>
  <dcterms:created xsi:type="dcterms:W3CDTF">2013-12-23T23:15:00Z</dcterms:created>
  <dcterms:modified xsi:type="dcterms:W3CDTF">2013-12-23T23:15:00Z</dcterms:modified>
  <cp:category/>
</cp:coreProperties>
</file>