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Hardware and Sensing Engineering</w:t>
      </w:r>
    </w:p>
    <w:p>
      <w:pPr>
        <w:spacing w:before="0" w:after="50" w:line="250" w:lineRule="auto"/>
      </w:pPr>
      <w:r>
        <w:rPr>
          <w:rFonts w:ascii="Calibri" w:hAnsi="Calibri"/>
          <w:sz w:val="20"/>
        </w:rPr>
        <w:t>Engineering reference for imaging, calibration, sensors and instrument configuration. The listed sensing options are design and research candidates; their inclusion does not establish an implemented instrument or a validated biological measurement.</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2_chapter_1">
        <w:r>
          <w:rPr>
            <w:color w:val="154F63"/>
            <w:u w:val="single"/>
          </w:rPr>
          <w:t>Sensing engineering and technical design</w:t>
        </w:r>
      </w:hyperlink>
    </w:p>
    <w:p>
      <w:pPr>
        <w:spacing w:before="0" w:after="50" w:line="250" w:lineRule="auto"/>
      </w:pPr>
      <w:hyperlink r:id="rId12">
        <w:r>
          <w:rPr>
            <w:color w:val="154F63"/>
            <w:u w:val="single"/>
          </w:rPr>
          <w:t>Full source catalogue</w:t>
        </w:r>
      </w:hyperlink>
    </w:p>
    <w:p>
      <w:pPr>
        <w:spacing w:before="0" w:after="50" w:line="250" w:lineRule="auto"/>
      </w:pPr>
    </w:p>
    <w:p>
      <w:pPr>
        <w:pStyle w:val="Heading1"/>
        <w:keepNext/>
        <w:keepLines/>
        <w:pageBreakBefore w:val="0"/>
      </w:pPr>
      <w:bookmarkStart w:id="200000" w:name="P2_chapter_1"/>
      <w:r>
        <w:rPr>
          <w:color w:val="000000"/>
        </w:rPr>
        <w:t>Sensing engineering and technical design</w:t>
      </w:r>
      <w:bookmarkStart w:id="95002" w:name="product_3"/>
      <w:bookmarkEnd w:id="95002"/>
      <w:bookmarkEnd w:id="200000"/>
    </w:p>
    <w:p>
      <w:pPr>
        <w:pStyle w:val="Heading3"/>
        <w:keepNext/>
        <w:keepLines/>
        <w:spacing w:before="240" w:after="120" w:line="269" w:lineRule="auto"/>
      </w:pPr>
      <w:r>
        <w:rPr>
          <w:color w:val="000000"/>
        </w:rPr>
        <w:t>Measurement architecture without a fixed enclosure</w:t>
      </w:r>
    </w:p>
    <w:p>
      <w:pPr>
        <w:pStyle w:val="Normal"/>
        <w:spacing w:before="0" w:after="50" w:line="250" w:lineRule="auto"/>
        <w:rPr/>
      </w:pPr>
      <w:r>
        <w:rPr>
          <w:rFonts w:ascii="Calibri" w:hAnsi="Calibri"/>
          <w:color w:val="000000"/>
          <w:sz w:val="20"/>
        </w:rPr>
        <w:t>The proposed platform architecture should be described through functions and interfaces before it is expressed as an enclosure. Observation, environmental management, physical control, computation, review and data storage have different timing, failure and service requirements. Their separation can be logical, electrical or physical; no single compartment arrangement is prescribed here.</w:t>
      </w:r>
    </w:p>
    <w:p>
      <w:pPr>
        <w:pStyle w:val="Heading3"/>
        <w:keepNext/>
        <w:keepLines/>
        <w:spacing w:before="240" w:after="120" w:line="269" w:lineRule="auto"/>
      </w:pPr>
      <w:r>
        <w:rPr>
          <w:color w:val="000000"/>
        </w:rPr>
        <w:t>Define what crosses a boundary</w:t>
      </w:r>
    </w:p>
    <w:p>
      <w:pPr>
        <w:pStyle w:val="Normal"/>
        <w:spacing w:before="0" w:after="50" w:line="250" w:lineRule="auto"/>
        <w:rPr/>
      </w:pPr>
      <w:r>
        <w:rPr>
          <w:rFonts w:ascii="Calibri" w:hAnsi="Calibri"/>
          <w:color w:val="000000"/>
          <w:sz w:val="20"/>
        </w:rPr>
        <w:t>An imaging subsystem should provide observations with configuration, timing and quality metadata. A control subsystem should expose permitted commands and confirmed states. An analysis subsystem should return derived values linked to exact inputs. These contracts let designers compare alternative mechanical layouts and computing arrangements without changing the meaning of a record.</w:t>
      </w:r>
    </w:p>
    <w:p>
      <w:pPr>
        <w:spacing w:before="0" w:after="50" w:line="250" w:lineRule="auto"/>
      </w:pPr>
      <w:r>
        <w:rPr>
          <w:rFonts w:ascii="Calibri" w:hAnsi="Calibri"/>
          <w:color w:val="000000"/>
          <w:sz w:val="20"/>
        </w:rPr>
        <w:t xml:space="preserve">Boundary: Optical to mechanical</w:t>
      </w:r>
    </w:p>
    <w:p>
      <w:pPr>
        <w:spacing w:before="0" w:after="50" w:line="250" w:lineRule="auto"/>
      </w:pPr>
      <w:r>
        <w:rPr>
          <w:rFonts w:ascii="Calibri" w:hAnsi="Calibri"/>
          <w:color w:val="000000"/>
          <w:sz w:val="20"/>
        </w:rPr>
        <w:t xml:space="preserve">Information or constraint to specify: Object plane, usable field, permitted pose, focus range and vibration sensitivity.</w:t>
      </w:r>
    </w:p>
    <w:p>
      <w:pPr>
        <w:spacing w:before="0" w:after="50" w:line="250" w:lineRule="auto"/>
      </w:pPr>
      <w:r>
        <w:rPr>
          <w:rFonts w:ascii="Calibri" w:hAnsi="Calibri"/>
          <w:color w:val="000000"/>
          <w:sz w:val="20"/>
        </w:rPr>
        <w:t xml:space="preserve">Boundary: Mechanical to control</w:t>
      </w:r>
    </w:p>
    <w:p>
      <w:pPr>
        <w:spacing w:before="0" w:after="50" w:line="250" w:lineRule="auto"/>
      </w:pPr>
      <w:r>
        <w:rPr>
          <w:rFonts w:ascii="Calibri" w:hAnsi="Calibri"/>
          <w:color w:val="000000"/>
          <w:sz w:val="20"/>
        </w:rPr>
        <w:t xml:space="preserve">Information or constraint to specify: Motion limits, position feedback, interlocks and uncertain-state behaviour.</w:t>
      </w:r>
    </w:p>
    <w:p>
      <w:pPr>
        <w:spacing w:before="0" w:after="50" w:line="250" w:lineRule="auto"/>
      </w:pPr>
      <w:r>
        <w:rPr>
          <w:rFonts w:ascii="Calibri" w:hAnsi="Calibri"/>
          <w:color w:val="000000"/>
          <w:sz w:val="20"/>
        </w:rPr>
        <w:t xml:space="preserve">Boundary: Acquisition to analysis</w:t>
      </w:r>
    </w:p>
    <w:p>
      <w:pPr>
        <w:spacing w:before="0" w:after="50" w:line="250" w:lineRule="auto"/>
      </w:pPr>
      <w:r>
        <w:rPr>
          <w:rFonts w:ascii="Calibri" w:hAnsi="Calibri"/>
          <w:color w:val="000000"/>
          <w:sz w:val="20"/>
        </w:rPr>
        <w:t xml:space="preserve">Information or constraint to specify: Original data, exposure state, timestamps, calibration and quality flags.</w:t>
      </w:r>
    </w:p>
    <w:p>
      <w:pPr>
        <w:spacing w:before="0" w:after="50" w:line="250" w:lineRule="auto"/>
      </w:pPr>
      <w:r>
        <w:rPr>
          <w:rFonts w:ascii="Calibri" w:hAnsi="Calibri"/>
          <w:color w:val="000000"/>
          <w:sz w:val="20"/>
        </w:rPr>
        <w:t xml:space="preserve">Boundary: Analysis to review</w:t>
      </w:r>
    </w:p>
    <w:p>
      <w:pPr>
        <w:spacing w:before="0" w:after="50" w:line="250" w:lineRule="auto"/>
      </w:pPr>
      <w:r>
        <w:rPr>
          <w:rFonts w:ascii="Calibri" w:hAnsi="Calibri"/>
          <w:color w:val="000000"/>
          <w:sz w:val="20"/>
        </w:rPr>
        <w:t xml:space="preserve">Information or constraint to specify: Quantity, units, uncertainty, eligible context and evidence overlay.</w:t>
      </w:r>
    </w:p>
    <w:p>
      <w:pPr>
        <w:spacing w:before="0" w:after="50" w:line="250" w:lineRule="auto"/>
      </w:pPr>
      <w:r>
        <w:rPr>
          <w:rFonts w:ascii="Calibri" w:hAnsi="Calibri"/>
          <w:color w:val="000000"/>
          <w:sz w:val="20"/>
        </w:rPr>
        <w:t xml:space="preserve">Boundary: Local to remote</w:t>
      </w:r>
    </w:p>
    <w:p>
      <w:pPr>
        <w:spacing w:before="0" w:after="50" w:line="250" w:lineRule="auto"/>
      </w:pPr>
      <w:r>
        <w:rPr>
          <w:rFonts w:ascii="Calibri" w:hAnsi="Calibri"/>
          <w:color w:val="000000"/>
          <w:sz w:val="20"/>
        </w:rPr>
        <w:t xml:space="preserve">Information or constraint to specify: Data purpose, authorization, synchronization state and offline behaviour.</w:t>
      </w:r>
    </w:p>
    <w:p>
      <w:pPr>
        <w:pStyle w:val="Heading3"/>
        <w:keepNext/>
        <w:keepLines/>
        <w:spacing w:before="240" w:after="120" w:line="269" w:lineRule="auto"/>
      </w:pPr>
      <w:r>
        <w:rPr>
          <w:color w:val="000000"/>
        </w:rPr>
        <w:t>Design for coupling that cannot be eliminated</w:t>
      </w:r>
    </w:p>
    <w:p>
      <w:pPr>
        <w:pStyle w:val="Normal"/>
        <w:spacing w:before="0" w:after="50" w:line="250" w:lineRule="auto"/>
        <w:rPr/>
      </w:pPr>
      <w:r>
        <w:rPr>
          <w:rFonts w:ascii="Calibri" w:hAnsi="Calibri"/>
          <w:color w:val="000000"/>
          <w:sz w:val="20"/>
        </w:rPr>
        <w:t>Heat from computation can change an optical assembly. A fan can introduce vibration. An illumination change can alter both image contrast and sample heating. Treating modules as separate boxes in a diagram does not remove these interactions. Integration testing should identify and quantify the couplings that matter to the selected measurement.</w:t>
      </w:r>
    </w:p>
    <w:p>
      <w:pPr>
        <w:pStyle w:val="Normal"/>
        <w:spacing w:before="0" w:after="50" w:line="250" w:lineRule="auto"/>
        <w:rPr/>
      </w:pPr>
      <w:r>
        <w:rPr>
          <w:rFonts w:ascii="Calibri" w:hAnsi="Calibri"/>
          <w:color w:val="000000"/>
          <w:sz w:val="20"/>
        </w:rPr>
        <w:t>A candidate layout should therefore be assessed against measurement quality, access for service, contamination management, power, thermal behaviour and recovery. The strongest arrangement is the one that meets the chosen requirements with evidence. It need not be the most compact, the most sensor-rich or the one containing the newest processor.</w:t>
      </w:r>
    </w:p>
    <w:p>
      <w:pPr>
        <w:pStyle w:val="Heading3"/>
        <w:keepNext/>
        <w:keepLines/>
        <w:spacing w:before="240" w:after="120" w:line="269" w:lineRule="auto"/>
      </w:pPr>
      <w:r>
        <w:rPr>
          <w:color w:val="000000"/>
        </w:rPr>
        <w:t>Optical geometry and spatial calibration</w:t>
      </w:r>
    </w:p>
    <w:p>
      <w:pPr>
        <w:pStyle w:val="Normal"/>
        <w:spacing w:before="0" w:after="50" w:line="250" w:lineRule="auto"/>
        <w:rPr/>
      </w:pPr>
      <w:r>
        <w:rPr>
          <w:rFonts w:ascii="Calibri" w:hAnsi="Calibri"/>
          <w:color w:val="000000"/>
          <w:sz w:val="20"/>
        </w:rPr>
        <w:t>An imaging instrument measures a physical object through an optical projection. A zone diameter expressed in pixels becomes a length only when the relationship between the image and the relevant plate plane is established. Resolution, repeatability and accuracy describe different properties; a dense pixel array cannot substitute for a calibrated measurement chain.</w:t>
      </w:r>
    </w:p>
    <w:p>
      <w:pPr>
        <w:pStyle w:val="Heading3"/>
        <w:keepNext/>
        <w:keepLines/>
        <w:spacing w:before="240" w:after="120" w:line="269" w:lineRule="auto"/>
      </w:pPr>
      <w:r>
        <w:rPr>
          <w:color w:val="000000"/>
        </w:rPr>
        <w:t>Define the measurement plane</w:t>
      </w:r>
    </w:p>
    <w:p>
      <w:pPr>
        <w:pStyle w:val="Normal"/>
        <w:spacing w:before="0" w:after="50" w:line="250" w:lineRule="auto"/>
        <w:rPr/>
      </w:pPr>
      <w:r>
        <w:rPr>
          <w:rFonts w:ascii="Calibri" w:hAnsi="Calibri"/>
          <w:color w:val="000000"/>
          <w:sz w:val="20"/>
        </w:rPr>
        <w:t xml:space="preserve">The proposed reader should reference the plane at which zone boundaries are interpreted. A ruler attached to a raised lid can have a different scale from the agar surface under perspective imaging. Calibration therefore needs a traceable target at the intended plane, a declared working range and a check for local distortion across the field. Telecentric optics are a candidate for reducing magnification changes with depth, but their benefits must be weighed against field size, working distance and integration cost. </w:t>
      </w:r>
    </w:p>
    <w:p>
      <w:pPr>
        <w:pStyle w:val="Heading3"/>
        <w:keepNext/>
        <w:keepLines/>
        <w:spacing w:before="240" w:after="120" w:line="269" w:lineRule="auto"/>
      </w:pPr>
      <w:r>
        <w:rPr>
          <w:color w:val="000000"/>
        </w:rPr>
        <w:t>Carry geometry into uncertainty</w:t>
      </w:r>
    </w:p>
    <w:p>
      <w:pPr>
        <w:pStyle w:val="Normal"/>
        <w:spacing w:before="0" w:after="50" w:line="250" w:lineRule="auto"/>
        <w:rPr/>
      </w:pPr>
      <w:r>
        <w:rPr>
          <w:rFonts w:ascii="Calibri" w:hAnsi="Calibri"/>
          <w:color w:val="000000"/>
          <w:sz w:val="20"/>
        </w:rPr>
        <w:t xml:space="preserve">For an ideal uniform scale, diameter d equals pixel span p multiplied by scale s in millimetres per pixel. A first order independent uncertainty approximation is u(d)² = s²u(p)² + p²u(s)². Correlated terms must be included when the same images or reference features influence both quantities. This approximation does not cover all lens distortion or ambiguous biological edges. </w:t>
      </w:r>
    </w:p>
    <w:p>
      <w:pPr>
        <w:spacing w:before="0" w:after="50" w:line="250" w:lineRule="auto"/>
      </w:pPr>
      <w:r>
        <w:rPr>
          <w:rFonts w:ascii="Calibri" w:hAnsi="Calibri"/>
          <w:color w:val="000000"/>
          <w:sz w:val="20"/>
        </w:rPr>
        <w:t xml:space="preserve">Source of uncertainty: Scale target uncertainty</w:t>
      </w:r>
    </w:p>
    <w:p>
      <w:pPr>
        <w:spacing w:before="0" w:after="50" w:line="250" w:lineRule="auto"/>
      </w:pPr>
      <w:r>
        <w:rPr>
          <w:rFonts w:ascii="Calibri" w:hAnsi="Calibri"/>
          <w:color w:val="000000"/>
          <w:sz w:val="20"/>
        </w:rPr>
        <w:t xml:space="preserve">Proposed engineering treatment: Store target identity, certificate or verification basis, and calibration date.</w:t>
      </w:r>
    </w:p>
    <w:p>
      <w:pPr>
        <w:spacing w:before="0" w:after="50" w:line="250" w:lineRule="auto"/>
      </w:pPr>
      <w:r>
        <w:rPr>
          <w:rFonts w:ascii="Calibri" w:hAnsi="Calibri"/>
          <w:color w:val="000000"/>
          <w:sz w:val="20"/>
        </w:rPr>
        <w:t xml:space="preserve">Source of uncertainty: Position dependent distortion</w:t>
      </w:r>
    </w:p>
    <w:p>
      <w:pPr>
        <w:spacing w:before="0" w:after="50" w:line="250" w:lineRule="auto"/>
      </w:pPr>
      <w:r>
        <w:rPr>
          <w:rFonts w:ascii="Calibri" w:hAnsi="Calibri"/>
          <w:color w:val="000000"/>
          <w:sz w:val="20"/>
        </w:rPr>
        <w:t xml:space="preserve">Proposed engineering treatment: Compare residuals across the usable field; restrict the valid region when necessary.</w:t>
      </w:r>
    </w:p>
    <w:p>
      <w:pPr>
        <w:spacing w:before="0" w:after="50" w:line="250" w:lineRule="auto"/>
      </w:pPr>
      <w:r>
        <w:rPr>
          <w:rFonts w:ascii="Calibri" w:hAnsi="Calibri"/>
          <w:color w:val="000000"/>
          <w:sz w:val="20"/>
        </w:rPr>
        <w:t xml:space="preserve">Source of uncertainty: Plate height and tilt</w:t>
      </w:r>
    </w:p>
    <w:p>
      <w:pPr>
        <w:spacing w:before="0" w:after="50" w:line="250" w:lineRule="auto"/>
      </w:pPr>
      <w:r>
        <w:rPr>
          <w:rFonts w:ascii="Calibri" w:hAnsi="Calibri"/>
          <w:color w:val="000000"/>
          <w:sz w:val="20"/>
        </w:rPr>
        <w:t xml:space="preserve">Proposed engineering treatment: Measure or constrain the permitted pose and verify the resulting scale error.</w:t>
      </w:r>
    </w:p>
    <w:p>
      <w:pPr>
        <w:spacing w:before="0" w:after="50" w:line="250" w:lineRule="auto"/>
      </w:pPr>
      <w:r>
        <w:rPr>
          <w:rFonts w:ascii="Calibri" w:hAnsi="Calibri"/>
          <w:color w:val="000000"/>
          <w:sz w:val="20"/>
        </w:rPr>
        <w:t xml:space="preserve">Source of uncertainty: Zone edge ambiguity</w:t>
      </w:r>
    </w:p>
    <w:p>
      <w:pPr>
        <w:spacing w:before="0" w:after="50" w:line="250" w:lineRule="auto"/>
      </w:pPr>
      <w:r>
        <w:rPr>
          <w:rFonts w:ascii="Calibri" w:hAnsi="Calibri"/>
          <w:color w:val="000000"/>
          <w:sz w:val="20"/>
        </w:rPr>
        <w:t xml:space="preserve">Proposed engineering treatment: Preserve boundary confidence and reviewer edits rather than hiding them in a single rounded number.</w:t>
      </w:r>
    </w:p>
    <w:p>
      <w:pPr>
        <w:spacing w:before="0" w:after="50" w:line="250" w:lineRule="auto"/>
      </w:pPr>
      <w:r>
        <w:rPr>
          <w:rFonts w:ascii="Calibri" w:hAnsi="Calibri"/>
          <w:color w:val="000000"/>
          <w:sz w:val="20"/>
        </w:rPr>
        <w:t xml:space="preserve">Source of uncertainty: Configuration changes</w:t>
      </w:r>
    </w:p>
    <w:p>
      <w:pPr>
        <w:spacing w:before="0" w:after="50" w:line="250" w:lineRule="auto"/>
      </w:pPr>
      <w:r>
        <w:rPr>
          <w:rFonts w:ascii="Calibri" w:hAnsi="Calibri"/>
          <w:color w:val="000000"/>
          <w:sz w:val="20"/>
        </w:rPr>
        <w:t xml:space="preserve">Proposed engineering treatment: Invalidate or requalify calibration after lens, focus, mount or image pipeline changes.</w:t>
      </w:r>
    </w:p>
    <w:p>
      <w:pPr>
        <w:pStyle w:val="Normal"/>
        <w:spacing w:before="0" w:after="50" w:line="250" w:lineRule="auto"/>
        <w:rPr/>
      </w:pPr>
      <w:r>
        <w:rPr>
          <w:rFonts w:ascii="Calibri" w:hAnsi="Calibri"/>
          <w:color w:val="000000"/>
          <w:sz w:val="20"/>
        </w:rPr>
        <w:t>The acceptance decision should use a measurement uncertainty budget and independent target checks. A successful camera self-test establishes instrument readiness; biological agreement still requires a separate study against the appropriate reference workflow.</w:t>
      </w:r>
    </w:p>
    <w:p>
      <w:pPr>
        <w:pStyle w:val="Heading3"/>
        <w:keepNext/>
        <w:keepLines/>
        <w:spacing w:before="240" w:after="120" w:line="269" w:lineRule="auto"/>
      </w:pPr>
      <w:r>
        <w:rPr>
          <w:color w:val="000000"/>
        </w:rPr>
        <w:t>Illumination and image formation</w:t>
      </w:r>
    </w:p>
    <w:p>
      <w:pPr>
        <w:pStyle w:val="Normal"/>
        <w:spacing w:before="0" w:after="50" w:line="250" w:lineRule="auto"/>
        <w:rPr/>
      </w:pPr>
      <w:r>
        <w:rPr>
          <w:rFonts w:ascii="Calibri" w:hAnsi="Calibri"/>
          <w:color w:val="000000"/>
          <w:sz w:val="20"/>
        </w:rPr>
        <w:t>Illumination is part of the measurement chain. A plate image records the combined effects of the light source, optical path, specimen, lens, sensor and processing pipeline. Changes in any of these can alter apparent contrast even when the underlying biological object is unchanged.</w:t>
      </w:r>
    </w:p>
    <w:p>
      <w:pPr>
        <w:pStyle w:val="Heading3"/>
        <w:keepNext/>
        <w:keepLines/>
        <w:spacing w:before="240" w:after="120" w:line="269" w:lineRule="auto"/>
      </w:pPr>
      <w:r>
        <w:rPr>
          <w:color w:val="000000"/>
        </w:rPr>
        <w:t>Control the useful dimensions of light</w:t>
      </w:r>
    </w:p>
    <w:p>
      <w:pPr>
        <w:pStyle w:val="Normal"/>
        <w:spacing w:before="0" w:after="50" w:line="250" w:lineRule="auto"/>
        <w:rPr/>
      </w:pPr>
      <w:r>
        <w:rPr>
          <w:rFonts w:ascii="Calibri" w:hAnsi="Calibri"/>
          <w:color w:val="000000"/>
          <w:sz w:val="20"/>
        </w:rPr>
        <w:t>The proposed reader should qualify source geometry, intensity stability, spectral content and spatial uniformity. Reflected and transmitted light can answer different questions. Oblique illumination may reveal texture while making a boundary appear different from its appearance under a standard reading geometry. A multimode acquisition should therefore identify the mode in each observation rather than merge images without provenance.</w:t>
      </w:r>
    </w:p>
    <w:p>
      <w:pPr>
        <w:spacing w:before="0" w:after="50" w:line="250" w:lineRule="auto"/>
      </w:pPr>
      <w:r>
        <w:rPr>
          <w:rFonts w:ascii="Calibri" w:hAnsi="Calibri"/>
          <w:color w:val="000000"/>
          <w:sz w:val="20"/>
        </w:rPr>
        <w:t xml:space="preserve">Lighting property: Spatial nonuniformity</w:t>
      </w:r>
    </w:p>
    <w:p>
      <w:pPr>
        <w:spacing w:before="0" w:after="50" w:line="250" w:lineRule="auto"/>
      </w:pPr>
      <w:r>
        <w:rPr>
          <w:rFonts w:ascii="Calibri" w:hAnsi="Calibri"/>
          <w:color w:val="000000"/>
          <w:sz w:val="20"/>
        </w:rPr>
        <w:t xml:space="preserve">Measurement consequence: Position-dependent brightness can bias threshold-based segmentation.</w:t>
      </w:r>
    </w:p>
    <w:p>
      <w:pPr>
        <w:spacing w:before="0" w:after="50" w:line="250" w:lineRule="auto"/>
      </w:pPr>
      <w:r>
        <w:rPr>
          <w:rFonts w:ascii="Calibri" w:hAnsi="Calibri"/>
          <w:color w:val="000000"/>
          <w:sz w:val="20"/>
        </w:rPr>
        <w:t xml:space="preserve">Lighting property: Temporal modulation</w:t>
      </w:r>
    </w:p>
    <w:p>
      <w:pPr>
        <w:spacing w:before="0" w:after="50" w:line="250" w:lineRule="auto"/>
      </w:pPr>
      <w:r>
        <w:rPr>
          <w:rFonts w:ascii="Calibri" w:hAnsi="Calibri"/>
          <w:color w:val="000000"/>
          <w:sz w:val="20"/>
        </w:rPr>
        <w:t xml:space="preserve">Measurement consequence: Exposure timing can interact with flicker and create variable intensities.</w:t>
      </w:r>
    </w:p>
    <w:p>
      <w:pPr>
        <w:spacing w:before="0" w:after="50" w:line="250" w:lineRule="auto"/>
      </w:pPr>
      <w:r>
        <w:rPr>
          <w:rFonts w:ascii="Calibri" w:hAnsi="Calibri"/>
          <w:color w:val="000000"/>
          <w:sz w:val="20"/>
        </w:rPr>
        <w:t xml:space="preserve">Lighting property: Spectral change</w:t>
      </w:r>
    </w:p>
    <w:p>
      <w:pPr>
        <w:spacing w:before="0" w:after="50" w:line="250" w:lineRule="auto"/>
      </w:pPr>
      <w:r>
        <w:rPr>
          <w:rFonts w:ascii="Calibri" w:hAnsi="Calibri"/>
          <w:color w:val="000000"/>
          <w:sz w:val="20"/>
        </w:rPr>
        <w:t xml:space="preserve">Measurement consequence: Pigment, medium and sensor responses can shift differently.</w:t>
      </w:r>
    </w:p>
    <w:p>
      <w:pPr>
        <w:spacing w:before="0" w:after="50" w:line="250" w:lineRule="auto"/>
      </w:pPr>
      <w:r>
        <w:rPr>
          <w:rFonts w:ascii="Calibri" w:hAnsi="Calibri"/>
          <w:color w:val="000000"/>
          <w:sz w:val="20"/>
        </w:rPr>
        <w:t xml:space="preserve">Lighting property: Specular reflection</w:t>
      </w:r>
    </w:p>
    <w:p>
      <w:pPr>
        <w:spacing w:before="0" w:after="50" w:line="250" w:lineRule="auto"/>
      </w:pPr>
      <w:r>
        <w:rPr>
          <w:rFonts w:ascii="Calibri" w:hAnsi="Calibri"/>
          <w:color w:val="000000"/>
          <w:sz w:val="20"/>
        </w:rPr>
        <w:t xml:space="preserve">Measurement consequence: Glare can erase visible boundaries or create false bright features.</w:t>
      </w:r>
    </w:p>
    <w:p>
      <w:pPr>
        <w:spacing w:before="0" w:after="50" w:line="250" w:lineRule="auto"/>
      </w:pPr>
      <w:r>
        <w:rPr>
          <w:rFonts w:ascii="Calibri" w:hAnsi="Calibri"/>
          <w:color w:val="000000"/>
          <w:sz w:val="20"/>
        </w:rPr>
        <w:t xml:space="preserve">Lighting property: Stray ambient light</w:t>
      </w:r>
    </w:p>
    <w:p>
      <w:pPr>
        <w:spacing w:before="0" w:after="50" w:line="250" w:lineRule="auto"/>
      </w:pPr>
      <w:r>
        <w:rPr>
          <w:rFonts w:ascii="Calibri" w:hAnsi="Calibri"/>
          <w:color w:val="000000"/>
          <w:sz w:val="20"/>
        </w:rPr>
        <w:t xml:space="preserve">Measurement consequence: An apparently identical setting can produce a different image between sites.</w:t>
      </w:r>
    </w:p>
    <w:p>
      <w:pPr>
        <w:pStyle w:val="Heading3"/>
        <w:keepNext/>
        <w:keepLines/>
        <w:spacing w:before="240" w:after="120" w:line="269" w:lineRule="auto"/>
      </w:pPr>
      <w:r>
        <w:rPr>
          <w:color w:val="000000"/>
        </w:rPr>
        <w:t>Preserve linearity where it matters</w:t>
      </w:r>
    </w:p>
    <w:p>
      <w:pPr>
        <w:pStyle w:val="Normal"/>
        <w:spacing w:before="0" w:after="50" w:line="250" w:lineRule="auto"/>
        <w:rPr/>
      </w:pPr>
      <w:r>
        <w:rPr>
          <w:rFonts w:ascii="Calibri" w:hAnsi="Calibri"/>
          <w:color w:val="000000"/>
          <w:sz w:val="20"/>
        </w:rPr>
        <w:t xml:space="preserve">Automatic enhancement, tone mapping and local contrast processing can improve appearance while changing quantitative relationships. A measurement pipeline should declare which processing stages are permitted and retain enough original data to investigate their effect. Camera characterization methods can help quantify noise, response and dynamic range, but the complete illuminated object still requires application-specific evaluation. </w:t>
      </w:r>
    </w:p>
    <w:p>
      <w:pPr>
        <w:pStyle w:val="Normal"/>
        <w:spacing w:before="0" w:after="50" w:line="250" w:lineRule="auto"/>
        <w:rPr/>
      </w:pPr>
      <w:r>
        <w:rPr>
          <w:rFonts w:ascii="Calibri" w:hAnsi="Calibri"/>
          <w:color w:val="000000"/>
          <w:sz w:val="20"/>
        </w:rPr>
        <w:t>The preferred illumination arrangement should be selected through comparisons on representative non-biological targets and appropriate plate images. Evaluate not only whether a feature becomes more visible, but whether the resulting measurement remains stable across location, exposure and the permitted range of plate appearance.</w:t>
      </w:r>
    </w:p>
    <w:p>
      <w:pPr>
        <w:pStyle w:val="Heading3"/>
        <w:keepNext/>
        <w:keepLines/>
        <w:spacing w:before="240" w:after="120" w:line="269" w:lineRule="auto"/>
      </w:pPr>
      <w:r>
        <w:rPr>
          <w:color w:val="000000"/>
        </w:rPr>
        <w:t>Environmental and mechanical stability</w:t>
      </w:r>
    </w:p>
    <w:p>
      <w:pPr>
        <w:pStyle w:val="Normal"/>
        <w:spacing w:before="0" w:after="50" w:line="250" w:lineRule="auto"/>
        <w:rPr/>
      </w:pPr>
      <w:r>
        <w:rPr>
          <w:rFonts w:ascii="Calibri" w:hAnsi="Calibri"/>
          <w:color w:val="000000"/>
          <w:sz w:val="20"/>
        </w:rPr>
        <w:t>Mechanical and environmental stability determine whether an instrument can reproduce its measurement geometry over time. A stable image requires more than a rigid camera mount: the plate support, focus mechanism, lighting fixture and surrounding thermal conditions can all affect the acquired signal.</w:t>
      </w:r>
    </w:p>
    <w:p>
      <w:pPr>
        <w:pStyle w:val="Heading3"/>
        <w:keepNext/>
        <w:keepLines/>
        <w:spacing w:before="240" w:after="120" w:line="269" w:lineRule="auto"/>
      </w:pPr>
      <w:r>
        <w:rPr>
          <w:color w:val="000000"/>
        </w:rPr>
        <w:t>Identify slow and fast disturbances</w:t>
      </w:r>
    </w:p>
    <w:p>
      <w:pPr>
        <w:pStyle w:val="Normal"/>
        <w:spacing w:before="0" w:after="50" w:line="250" w:lineRule="auto"/>
        <w:rPr/>
      </w:pPr>
      <w:r>
        <w:rPr>
          <w:rFonts w:ascii="Calibri" w:hAnsi="Calibri"/>
          <w:color w:val="000000"/>
          <w:sz w:val="20"/>
        </w:rPr>
        <w:t>Slow drift may follow temperature changes, material relaxation or repeated loading. Fast disturbances may arise from fans, motion stages, nearby equipment or contact with the bench. Their signatures differ, so the instrument should not rely on a single generic stability indicator.</w:t>
      </w:r>
    </w:p>
    <w:p>
      <w:pPr>
        <w:spacing w:before="0" w:after="50" w:line="250" w:lineRule="auto"/>
      </w:pPr>
      <w:r>
        <w:rPr>
          <w:rFonts w:ascii="Calibri" w:hAnsi="Calibri"/>
          <w:color w:val="000000"/>
          <w:sz w:val="20"/>
        </w:rPr>
        <w:t xml:space="preserve">Disturbance: Plate tilt or height variation</w:t>
      </w:r>
    </w:p>
    <w:p>
      <w:pPr>
        <w:spacing w:before="0" w:after="50" w:line="250" w:lineRule="auto"/>
      </w:pPr>
      <w:r>
        <w:rPr>
          <w:rFonts w:ascii="Calibri" w:hAnsi="Calibri"/>
          <w:color w:val="000000"/>
          <w:sz w:val="20"/>
        </w:rPr>
        <w:t xml:space="preserve">Proposed observation or control: Verify pose against the permitted geometry and assess scale sensitivity.</w:t>
      </w:r>
    </w:p>
    <w:p>
      <w:pPr>
        <w:spacing w:before="0" w:after="50" w:line="250" w:lineRule="auto"/>
      </w:pPr>
      <w:r>
        <w:rPr>
          <w:rFonts w:ascii="Calibri" w:hAnsi="Calibri"/>
          <w:color w:val="000000"/>
          <w:sz w:val="20"/>
        </w:rPr>
        <w:t xml:space="preserve">Disturbance: Focus drift</w:t>
      </w:r>
    </w:p>
    <w:p>
      <w:pPr>
        <w:spacing w:before="0" w:after="50" w:line="250" w:lineRule="auto"/>
      </w:pPr>
      <w:r>
        <w:rPr>
          <w:rFonts w:ascii="Calibri" w:hAnsi="Calibri"/>
          <w:color w:val="000000"/>
          <w:sz w:val="20"/>
        </w:rPr>
        <w:t xml:space="preserve">Proposed observation or control: Track image quality on a stable reference and control adjustment history.</w:t>
      </w:r>
    </w:p>
    <w:p>
      <w:pPr>
        <w:spacing w:before="0" w:after="50" w:line="250" w:lineRule="auto"/>
      </w:pPr>
      <w:r>
        <w:rPr>
          <w:rFonts w:ascii="Calibri" w:hAnsi="Calibri"/>
          <w:color w:val="000000"/>
          <w:sz w:val="20"/>
        </w:rPr>
        <w:t xml:space="preserve">Disturbance: Vibration during exposure</w:t>
      </w:r>
    </w:p>
    <w:p>
      <w:pPr>
        <w:spacing w:before="0" w:after="50" w:line="250" w:lineRule="auto"/>
      </w:pPr>
      <w:r>
        <w:rPr>
          <w:rFonts w:ascii="Calibri" w:hAnsi="Calibri"/>
          <w:color w:val="000000"/>
          <w:sz w:val="20"/>
        </w:rPr>
        <w:t xml:space="preserve">Proposed observation or control: Compare inertial or image-based evidence with blur and motion artifacts.</w:t>
      </w:r>
    </w:p>
    <w:p>
      <w:pPr>
        <w:spacing w:before="0" w:after="50" w:line="250" w:lineRule="auto"/>
      </w:pPr>
      <w:r>
        <w:rPr>
          <w:rFonts w:ascii="Calibri" w:hAnsi="Calibri"/>
          <w:color w:val="000000"/>
          <w:sz w:val="20"/>
        </w:rPr>
        <w:t xml:space="preserve">Disturbance: Thermal expansion</w:t>
      </w:r>
    </w:p>
    <w:p>
      <w:pPr>
        <w:spacing w:before="0" w:after="50" w:line="250" w:lineRule="auto"/>
      </w:pPr>
      <w:r>
        <w:rPr>
          <w:rFonts w:ascii="Calibri" w:hAnsi="Calibri"/>
          <w:color w:val="000000"/>
          <w:sz w:val="20"/>
        </w:rPr>
        <w:t xml:space="preserve">Proposed observation or control: Characterize measurement residuals across the intended ambient range.</w:t>
      </w:r>
    </w:p>
    <w:p>
      <w:pPr>
        <w:spacing w:before="0" w:after="50" w:line="250" w:lineRule="auto"/>
      </w:pPr>
      <w:r>
        <w:rPr>
          <w:rFonts w:ascii="Calibri" w:hAnsi="Calibri"/>
          <w:color w:val="000000"/>
          <w:sz w:val="20"/>
        </w:rPr>
        <w:t xml:space="preserve">Disturbance: Condensation</w:t>
      </w:r>
    </w:p>
    <w:p>
      <w:pPr>
        <w:spacing w:before="0" w:after="50" w:line="250" w:lineRule="auto"/>
      </w:pPr>
      <w:r>
        <w:rPr>
          <w:rFonts w:ascii="Calibri" w:hAnsi="Calibri"/>
          <w:color w:val="000000"/>
          <w:sz w:val="20"/>
        </w:rPr>
        <w:t xml:space="preserve">Proposed observation or control: Record optical obstruction and assess readability instead of assuming a corrective mode works.</w:t>
      </w:r>
    </w:p>
    <w:p>
      <w:pPr>
        <w:spacing w:before="0" w:after="50" w:line="250" w:lineRule="auto"/>
      </w:pPr>
      <w:r>
        <w:rPr>
          <w:rFonts w:ascii="Calibri" w:hAnsi="Calibri"/>
          <w:color w:val="000000"/>
          <w:sz w:val="20"/>
        </w:rPr>
        <w:t xml:space="preserve">Disturbance: Airflow disturbance</w:t>
      </w:r>
    </w:p>
    <w:p>
      <w:pPr>
        <w:spacing w:before="0" w:after="50" w:line="250" w:lineRule="auto"/>
      </w:pPr>
      <w:r>
        <w:rPr>
          <w:rFonts w:ascii="Calibri" w:hAnsi="Calibri"/>
          <w:color w:val="000000"/>
          <w:sz w:val="20"/>
        </w:rPr>
        <w:t xml:space="preserve">Proposed observation or control: Separate electronics cooling requirements from the observation environment.</w:t>
      </w:r>
    </w:p>
    <w:p>
      <w:pPr>
        <w:pStyle w:val="Heading3"/>
        <w:keepNext/>
        <w:keepLines/>
        <w:spacing w:before="240" w:after="120" w:line="269" w:lineRule="auto"/>
      </w:pPr>
      <w:r>
        <w:rPr>
          <w:color w:val="000000"/>
        </w:rPr>
        <w:t>Qualify the assembled instrument</w:t>
      </w:r>
    </w:p>
    <w:p>
      <w:pPr>
        <w:pStyle w:val="Normal"/>
        <w:spacing w:before="0" w:after="50" w:line="250" w:lineRule="auto"/>
        <w:rPr/>
      </w:pPr>
      <w:r>
        <w:rPr>
          <w:rFonts w:ascii="Calibri" w:hAnsi="Calibri"/>
          <w:color w:val="000000"/>
          <w:sz w:val="20"/>
        </w:rPr>
        <w:t>Component specifications do not fully describe the behaviour of the assembly. A low-noise camera mounted on a vibrating structure can still produce unreliable images. A stable temperature sensor at one location does not prove uniform conditions throughout a chamber.</w:t>
      </w:r>
    </w:p>
    <w:p>
      <w:pPr>
        <w:pStyle w:val="Normal"/>
        <w:spacing w:before="0" w:after="50" w:line="250" w:lineRule="auto"/>
        <w:rPr/>
      </w:pPr>
      <w:r>
        <w:rPr>
          <w:rFonts w:ascii="Calibri" w:hAnsi="Calibri"/>
          <w:color w:val="000000"/>
          <w:sz w:val="20"/>
        </w:rPr>
        <w:t>The engineering programme should measure the relationship between disturbances and the quantities that matter to the workflow. If a disturbance has no material effect within the accepted range, it may need only monitoring. If it can invalidate measurement, the response should be explicit: prevent capture, flag affected observations or require requalification. The decision should follow measured sensitivity rather than the mere presence of a sensor.</w:t>
      </w:r>
    </w:p>
    <w:p>
      <w:pPr>
        <w:pStyle w:val="Heading3"/>
        <w:keepNext/>
        <w:keepLines/>
        <w:spacing w:before="240" w:after="120" w:line="269" w:lineRule="auto"/>
      </w:pPr>
      <w:r>
        <w:rPr>
          <w:color w:val="000000"/>
        </w:rPr>
        <w:t>Timing synchronization and acquisition control</w:t>
      </w:r>
    </w:p>
    <w:p>
      <w:pPr>
        <w:pStyle w:val="Normal"/>
        <w:spacing w:before="0" w:after="50" w:line="250" w:lineRule="auto"/>
        <w:rPr/>
      </w:pPr>
      <w:r>
        <w:rPr>
          <w:rFonts w:ascii="Calibri" w:hAnsi="Calibri"/>
          <w:color w:val="000000"/>
          <w:sz w:val="20"/>
        </w:rPr>
        <w:t>Time is an essential coordinate in any repeated observation system. The instrument must distinguish the biological event used as a time origin, the start and end of an exposure, the arrival of data and the completion of analysis. These timestamps can differ substantially and should not be collapsed into one “result time.”</w:t>
      </w:r>
    </w:p>
    <w:p>
      <w:pPr>
        <w:pStyle w:val="Heading3"/>
        <w:keepNext/>
        <w:keepLines/>
        <w:spacing w:before="240" w:after="120" w:line="269" w:lineRule="auto"/>
      </w:pPr>
      <w:r>
        <w:rPr>
          <w:color w:val="000000"/>
        </w:rPr>
        <w:t>Synchronize the events that need comparison</w:t>
      </w:r>
    </w:p>
    <w:p>
      <w:pPr>
        <w:pStyle w:val="Normal"/>
        <w:spacing w:before="0" w:after="50" w:line="250" w:lineRule="auto"/>
        <w:rPr/>
      </w:pPr>
      <w:r>
        <w:rPr>
          <w:rFonts w:ascii="Calibri" w:hAnsi="Calibri"/>
          <w:color w:val="000000"/>
          <w:sz w:val="20"/>
        </w:rPr>
        <w:t>For multimodal analysis, each observation should identify the interval over which it was measured. A gas sensor may average over seconds while a camera integrates light over milliseconds. Assigning both the same timestamp can create a false impression of simultaneity. Where sensor clocks differ, the synchronization method and estimated timing uncertainty should be recorded.</w:t>
      </w:r>
    </w:p>
    <w:p>
      <w:pPr>
        <w:spacing w:before="0" w:after="50" w:line="250" w:lineRule="auto"/>
      </w:pPr>
      <w:r>
        <w:rPr>
          <w:rFonts w:ascii="Calibri" w:hAnsi="Calibri"/>
          <w:color w:val="000000"/>
          <w:sz w:val="20"/>
        </w:rPr>
        <w:t xml:space="preserve">Time field: Biological origin</w:t>
      </w:r>
    </w:p>
    <w:p>
      <w:pPr>
        <w:spacing w:before="0" w:after="50" w:line="250" w:lineRule="auto"/>
      </w:pPr>
      <w:r>
        <w:rPr>
          <w:rFonts w:ascii="Calibri" w:hAnsi="Calibri"/>
          <w:color w:val="000000"/>
          <w:sz w:val="20"/>
        </w:rPr>
        <w:t xml:space="preserve">Proposed meaning: Declared assay event from which biological age is calculated.</w:t>
      </w:r>
    </w:p>
    <w:p>
      <w:pPr>
        <w:spacing w:before="0" w:after="50" w:line="250" w:lineRule="auto"/>
      </w:pPr>
      <w:r>
        <w:rPr>
          <w:rFonts w:ascii="Calibri" w:hAnsi="Calibri"/>
          <w:color w:val="000000"/>
          <w:sz w:val="20"/>
        </w:rPr>
        <w:t xml:space="preserve">Time field: Observation interval</w:t>
      </w:r>
    </w:p>
    <w:p>
      <w:pPr>
        <w:spacing w:before="0" w:after="50" w:line="250" w:lineRule="auto"/>
      </w:pPr>
      <w:r>
        <w:rPr>
          <w:rFonts w:ascii="Calibri" w:hAnsi="Calibri"/>
          <w:color w:val="000000"/>
          <w:sz w:val="20"/>
        </w:rPr>
        <w:t xml:space="preserve">Proposed meaning: Start and end of the actual measurement or exposure.</w:t>
      </w:r>
    </w:p>
    <w:p>
      <w:pPr>
        <w:spacing w:before="0" w:after="50" w:line="250" w:lineRule="auto"/>
      </w:pPr>
      <w:r>
        <w:rPr>
          <w:rFonts w:ascii="Calibri" w:hAnsi="Calibri"/>
          <w:color w:val="000000"/>
          <w:sz w:val="20"/>
        </w:rPr>
        <w:t xml:space="preserve">Time field: Receipt time</w:t>
      </w:r>
    </w:p>
    <w:p>
      <w:pPr>
        <w:spacing w:before="0" w:after="50" w:line="250" w:lineRule="auto"/>
      </w:pPr>
      <w:r>
        <w:rPr>
          <w:rFonts w:ascii="Calibri" w:hAnsi="Calibri"/>
          <w:color w:val="000000"/>
          <w:sz w:val="20"/>
        </w:rPr>
        <w:t xml:space="preserve">Proposed meaning: Time the record reached the acquisition or storage service.</w:t>
      </w:r>
    </w:p>
    <w:p>
      <w:pPr>
        <w:spacing w:before="0" w:after="50" w:line="250" w:lineRule="auto"/>
      </w:pPr>
      <w:r>
        <w:rPr>
          <w:rFonts w:ascii="Calibri" w:hAnsi="Calibri"/>
          <w:color w:val="000000"/>
          <w:sz w:val="20"/>
        </w:rPr>
        <w:t xml:space="preserve">Time field: Analysis time</w:t>
      </w:r>
    </w:p>
    <w:p>
      <w:pPr>
        <w:spacing w:before="0" w:after="50" w:line="250" w:lineRule="auto"/>
      </w:pPr>
      <w:r>
        <w:rPr>
          <w:rFonts w:ascii="Calibri" w:hAnsi="Calibri"/>
          <w:color w:val="000000"/>
          <w:sz w:val="20"/>
        </w:rPr>
        <w:t xml:space="preserve">Proposed meaning: Time the specified computation completed.</w:t>
      </w:r>
    </w:p>
    <w:p>
      <w:pPr>
        <w:spacing w:before="0" w:after="50" w:line="250" w:lineRule="auto"/>
      </w:pPr>
      <w:r>
        <w:rPr>
          <w:rFonts w:ascii="Calibri" w:hAnsi="Calibri"/>
          <w:color w:val="000000"/>
          <w:sz w:val="20"/>
        </w:rPr>
        <w:t xml:space="preserve">Time field: Review time</w:t>
      </w:r>
    </w:p>
    <w:p>
      <w:pPr>
        <w:spacing w:before="0" w:after="50" w:line="250" w:lineRule="auto"/>
      </w:pPr>
      <w:r>
        <w:rPr>
          <w:rFonts w:ascii="Calibri" w:hAnsi="Calibri"/>
          <w:color w:val="000000"/>
          <w:sz w:val="20"/>
        </w:rPr>
        <w:t xml:space="preserve">Proposed meaning: Time the authorized reviewer made the recorded decision.</w:t>
      </w:r>
    </w:p>
    <w:p>
      <w:pPr>
        <w:pStyle w:val="Heading3"/>
        <w:keepNext/>
        <w:keepLines/>
        <w:spacing w:before="240" w:after="120" w:line="269" w:lineRule="auto"/>
      </w:pPr>
      <w:r>
        <w:rPr>
          <w:color w:val="000000"/>
        </w:rPr>
        <w:t>Handle clock faults explicitly</w:t>
      </w:r>
    </w:p>
    <w:p>
      <w:pPr>
        <w:pStyle w:val="Normal"/>
        <w:spacing w:before="0" w:after="50" w:line="250" w:lineRule="auto"/>
        <w:rPr/>
      </w:pPr>
      <w:r>
        <w:rPr>
          <w:rFonts w:ascii="Calibri" w:hAnsi="Calibri"/>
          <w:color w:val="000000"/>
          <w:sz w:val="20"/>
        </w:rPr>
        <w:t>A system restart, manual clock correction or loss of synchronization can disrupt ordering. Monotonic counters can help preserve local event sequence, while UTC timestamps support comparison across systems. Both may be useful, but neither should conceal an uncertain biological start time.</w:t>
      </w:r>
    </w:p>
    <w:p>
      <w:pPr>
        <w:pStyle w:val="Normal"/>
        <w:spacing w:before="0" w:after="50" w:line="250" w:lineRule="auto"/>
        <w:rPr/>
      </w:pPr>
      <w:r>
        <w:rPr>
          <w:rFonts w:ascii="Calibri" w:hAnsi="Calibri"/>
          <w:color w:val="000000"/>
          <w:sz w:val="20"/>
        </w:rPr>
        <w:t>Acquisition scheduling should prioritize the observations required by the selected workflow. A missed scheduled image is a missing observation, not an invitation to substitute a generated image into the measured series. Later analysis can model the gap, provided that its status and uncertainty remain explicit. Timing integrity is therefore both an engineering requirement and a condition for credible growth modelling.</w:t>
      </w:r>
    </w:p>
    <w:p>
      <w:pPr>
        <w:pStyle w:val="Heading3"/>
        <w:keepNext/>
        <w:keepLines/>
        <w:spacing w:before="240" w:after="120" w:line="269" w:lineRule="auto"/>
      </w:pPr>
      <w:r>
        <w:rPr>
          <w:color w:val="000000"/>
        </w:rPr>
        <w:t>Sensor selection and information value</w:t>
      </w:r>
    </w:p>
    <w:p>
      <w:pPr>
        <w:pStyle w:val="Normal"/>
        <w:spacing w:before="0" w:after="50" w:line="250" w:lineRule="auto"/>
        <w:rPr/>
      </w:pPr>
      <w:r>
        <w:rPr>
          <w:rFonts w:ascii="Calibri" w:hAnsi="Calibri"/>
          <w:color w:val="000000"/>
          <w:sz w:val="20"/>
        </w:rPr>
        <w:t>Sensor selection should begin with a question that the existing observations cannot answer adequately. The relevant comparison is the information gained after accounting for calibration, confounding, maintenance, power and integration. A sensor count is not a measure of diagnostic reliability.</w:t>
      </w:r>
    </w:p>
    <w:p>
      <w:pPr>
        <w:pStyle w:val="Heading3"/>
        <w:keepNext/>
        <w:keepLines/>
        <w:spacing w:before="240" w:after="120" w:line="269" w:lineRule="auto"/>
      </w:pPr>
      <w:r>
        <w:rPr>
          <w:color w:val="000000"/>
        </w:rPr>
        <w:t>Compare incremental value</w:t>
      </w:r>
    </w:p>
    <w:p>
      <w:pPr>
        <w:pStyle w:val="Normal"/>
        <w:spacing w:before="0" w:after="50" w:line="250" w:lineRule="auto"/>
        <w:rPr/>
      </w:pPr>
      <w:r>
        <w:rPr>
          <w:rFonts w:ascii="Calibri" w:hAnsi="Calibri"/>
          <w:color w:val="000000"/>
          <w:sz w:val="20"/>
        </w:rPr>
        <w:t>A candidate channel should be assessed against the current baseline using the same records and a prespecified outcome. If it improves a model only because it identifies the acquisition site or experimental batch, it may fail when deployed elsewhere. Its value should persist under tests that separate the intended biological signal from instrument and workflow context.</w:t>
      </w:r>
    </w:p>
    <w:p>
      <w:pPr>
        <w:spacing w:before="0" w:after="50" w:line="250" w:lineRule="auto"/>
      </w:pPr>
      <w:r>
        <w:rPr>
          <w:rFonts w:ascii="Calibri" w:hAnsi="Calibri"/>
          <w:color w:val="000000"/>
          <w:sz w:val="20"/>
        </w:rPr>
        <w:t xml:space="preserve">Selection criterion: Signal relevance</w:t>
      </w:r>
    </w:p>
    <w:p>
      <w:pPr>
        <w:spacing w:before="0" w:after="50" w:line="250" w:lineRule="auto"/>
      </w:pPr>
      <w:r>
        <w:rPr>
          <w:rFonts w:ascii="Calibri" w:hAnsi="Calibri"/>
          <w:color w:val="000000"/>
          <w:sz w:val="20"/>
        </w:rPr>
        <w:t xml:space="preserve">Question for the design review: Is the measured quantity plausibly connected to the intended question?</w:t>
      </w:r>
    </w:p>
    <w:p>
      <w:pPr>
        <w:spacing w:before="0" w:after="50" w:line="250" w:lineRule="auto"/>
      </w:pPr>
      <w:r>
        <w:rPr>
          <w:rFonts w:ascii="Calibri" w:hAnsi="Calibri"/>
          <w:color w:val="000000"/>
          <w:sz w:val="20"/>
        </w:rPr>
        <w:t xml:space="preserve">Selection criterion: Sensitivity and range</w:t>
      </w:r>
    </w:p>
    <w:p>
      <w:pPr>
        <w:spacing w:before="0" w:after="50" w:line="250" w:lineRule="auto"/>
      </w:pPr>
      <w:r>
        <w:rPr>
          <w:rFonts w:ascii="Calibri" w:hAnsi="Calibri"/>
          <w:color w:val="000000"/>
          <w:sz w:val="20"/>
        </w:rPr>
        <w:t xml:space="preserve">Question for the design review: Can the channel resolve useful variation within the permitted operating conditions?</w:t>
      </w:r>
    </w:p>
    <w:p>
      <w:pPr>
        <w:spacing w:before="0" w:after="50" w:line="250" w:lineRule="auto"/>
      </w:pPr>
      <w:r>
        <w:rPr>
          <w:rFonts w:ascii="Calibri" w:hAnsi="Calibri"/>
          <w:color w:val="000000"/>
          <w:sz w:val="20"/>
        </w:rPr>
        <w:t xml:space="preserve">Selection criterion: Independence</w:t>
      </w:r>
    </w:p>
    <w:p>
      <w:pPr>
        <w:spacing w:before="0" w:after="50" w:line="250" w:lineRule="auto"/>
      </w:pPr>
      <w:r>
        <w:rPr>
          <w:rFonts w:ascii="Calibri" w:hAnsi="Calibri"/>
          <w:color w:val="000000"/>
          <w:sz w:val="20"/>
        </w:rPr>
        <w:t xml:space="preserve">Question for the design review: Does it add information or repeat the same failure mechanism?</w:t>
      </w:r>
    </w:p>
    <w:p>
      <w:pPr>
        <w:spacing w:before="0" w:after="50" w:line="250" w:lineRule="auto"/>
      </w:pPr>
      <w:r>
        <w:rPr>
          <w:rFonts w:ascii="Calibri" w:hAnsi="Calibri"/>
          <w:color w:val="000000"/>
          <w:sz w:val="20"/>
        </w:rPr>
        <w:t xml:space="preserve">Selection criterion: Calibration burden</w:t>
      </w:r>
    </w:p>
    <w:p>
      <w:pPr>
        <w:spacing w:before="0" w:after="50" w:line="250" w:lineRule="auto"/>
      </w:pPr>
      <w:r>
        <w:rPr>
          <w:rFonts w:ascii="Calibri" w:hAnsi="Calibri"/>
          <w:color w:val="000000"/>
          <w:sz w:val="20"/>
        </w:rPr>
        <w:t xml:space="preserve">Question for the design review: Can its response be verified and maintained in the deployment setting?</w:t>
      </w:r>
    </w:p>
    <w:p>
      <w:pPr>
        <w:spacing w:before="0" w:after="50" w:line="250" w:lineRule="auto"/>
      </w:pPr>
      <w:r>
        <w:rPr>
          <w:rFonts w:ascii="Calibri" w:hAnsi="Calibri"/>
          <w:color w:val="000000"/>
          <w:sz w:val="20"/>
        </w:rPr>
        <w:t xml:space="preserve">Selection criterion: Integration burden</w:t>
      </w:r>
    </w:p>
    <w:p>
      <w:pPr>
        <w:spacing w:before="0" w:after="50" w:line="250" w:lineRule="auto"/>
      </w:pPr>
      <w:r>
        <w:rPr>
          <w:rFonts w:ascii="Calibri" w:hAnsi="Calibri"/>
          <w:color w:val="000000"/>
          <w:sz w:val="20"/>
        </w:rPr>
        <w:t xml:space="preserve">Question for the design review: Does it disturb the sample, optical path, atmosphere or operator workflow?</w:t>
      </w:r>
    </w:p>
    <w:p>
      <w:pPr>
        <w:spacing w:before="0" w:after="50" w:line="250" w:lineRule="auto"/>
      </w:pPr>
      <w:r>
        <w:rPr>
          <w:rFonts w:ascii="Calibri" w:hAnsi="Calibri"/>
          <w:color w:val="000000"/>
          <w:sz w:val="20"/>
        </w:rPr>
        <w:t xml:space="preserve">Selection criterion: Service and supply</w:t>
      </w:r>
    </w:p>
    <w:p>
      <w:pPr>
        <w:spacing w:before="0" w:after="50" w:line="250" w:lineRule="auto"/>
      </w:pPr>
      <w:r>
        <w:rPr>
          <w:rFonts w:ascii="Calibri" w:hAnsi="Calibri"/>
          <w:color w:val="000000"/>
          <w:sz w:val="20"/>
        </w:rPr>
        <w:t xml:space="preserve">Question for the design review: Can equivalent parts and reference materials remain available?</w:t>
      </w:r>
    </w:p>
    <w:p>
      <w:pPr>
        <w:pStyle w:val="Heading3"/>
        <w:keepNext/>
        <w:keepLines/>
        <w:spacing w:before="240" w:after="120" w:line="269" w:lineRule="auto"/>
      </w:pPr>
      <w:r>
        <w:rPr>
          <w:color w:val="000000"/>
        </w:rPr>
        <w:t>Use staged experiments</w:t>
      </w:r>
    </w:p>
    <w:p>
      <w:pPr>
        <w:pStyle w:val="Normal"/>
        <w:spacing w:before="0" w:after="50" w:line="250" w:lineRule="auto"/>
        <w:rPr/>
      </w:pPr>
      <w:r>
        <w:rPr>
          <w:rFonts w:ascii="Calibri" w:hAnsi="Calibri"/>
          <w:color w:val="000000"/>
          <w:sz w:val="20"/>
        </w:rPr>
        <w:t>Begin with instrument characterization and non-biological controls where possible. Then test the assay-specific relationship using suitable reference observations. Finally, evaluate whether the channel improves the complete decision process, including cases in which it is missing or disagrees with other inputs.</w:t>
      </w:r>
    </w:p>
    <w:p>
      <w:pPr>
        <w:pStyle w:val="Normal"/>
        <w:spacing w:before="0" w:after="50" w:line="250" w:lineRule="auto"/>
        <w:rPr/>
      </w:pPr>
      <w:r>
        <w:rPr>
          <w:rFonts w:ascii="Calibri" w:hAnsi="Calibri"/>
          <w:color w:val="000000"/>
          <w:sz w:val="20"/>
        </w:rPr>
        <w:t>The outcome may be to select the sensor, restrict it to research, use it only for instrument quality checks or reject it. A channel that reliably detects a lighting fault may be highly valuable even if it contains no biological information. Conversely, an attractive biological correlation may not justify product integration if it cannot be calibrated or transferred reliably.</w:t>
      </w:r>
    </w:p>
    <w:p>
      <w:pPr>
        <w:pStyle w:val="Heading3"/>
        <w:keepNext/>
        <w:keepLines/>
        <w:spacing w:before="240" w:after="120" w:line="269" w:lineRule="auto"/>
      </w:pPr>
      <w:r>
        <w:rPr>
          <w:color w:val="000000"/>
        </w:rPr>
        <w:t>Combining modalities without counting votes</w:t>
      </w:r>
    </w:p>
    <w:p>
      <w:pPr>
        <w:pStyle w:val="Normal"/>
        <w:spacing w:before="0" w:after="50" w:line="250" w:lineRule="auto"/>
        <w:rPr/>
      </w:pPr>
      <w:r>
        <w:rPr>
          <w:rFonts w:ascii="Calibri" w:hAnsi="Calibri"/>
          <w:color w:val="000000"/>
          <w:sz w:val="20"/>
        </w:rPr>
        <w:t>Multiple sensors can improve observability, but they do not guarantee independent evidence. Two cameras can share the same glare, two temperature sensors can share the same poor placement and several learned models can inherit the same biased training labels. Agreement is useful only when the reasons for possible agreement are understood.</w:t>
      </w:r>
    </w:p>
    <w:p>
      <w:pPr>
        <w:pStyle w:val="Heading3"/>
        <w:keepNext/>
        <w:keepLines/>
        <w:spacing w:before="240" w:after="120" w:line="269" w:lineRule="auto"/>
      </w:pPr>
      <w:r>
        <w:rPr>
          <w:color w:val="000000"/>
        </w:rPr>
        <w:t>Model disagreement as information</w:t>
      </w:r>
    </w:p>
    <w:p>
      <w:pPr>
        <w:pStyle w:val="Normal"/>
        <w:spacing w:before="0" w:after="50" w:line="250" w:lineRule="auto"/>
        <w:rPr/>
      </w:pPr>
      <w:r>
        <w:rPr>
          <w:rFonts w:ascii="Calibri" w:hAnsi="Calibri"/>
          <w:color w:val="000000"/>
          <w:sz w:val="20"/>
        </w:rPr>
        <w:t>The proposed fusion system should preserve each channel’s quality state and uncertainty before combining outputs. A disagreement may indicate a sensor fault, timing mismatch, domain shift or a real difference between the quantities being observed. The correct response depends on which of these explanations remains plausible.</w:t>
      </w:r>
    </w:p>
    <w:p>
      <w:pPr>
        <w:pStyle w:val="Normal"/>
        <w:spacing w:before="0" w:after="50" w:line="250" w:lineRule="auto"/>
        <w:rPr/>
      </w:pPr>
      <w:r>
        <w:rPr>
          <w:rFonts w:ascii="Calibri" w:hAnsi="Calibri"/>
          <w:color w:val="000000"/>
          <w:sz w:val="20"/>
        </w:rPr>
        <w:t>A channel that fails its own quality check should be excluded from eligible fusion while its failure record remains. Different quantities require an explicit relationship model, not numerical voting. Independent disagreement should trigger checks of timing, calibration and assumptions. Shared disturbances require common-cause tests and independent references. A missing required channel permits only a separately evaluated degraded mode; otherwise the system should decline the result.</w:t>
      </w:r>
    </w:p>
    <w:p>
      <w:pPr>
        <w:pStyle w:val="Caption"/>
        <w:keepNext/>
      </w:pPr>
      <w:bookmarkStart w:id="97002" w:name="figure_3"/>
      <w:r>
        <w:t>Figure 3 Multimodal quality and fusion boundaries</w:t>
      </w:r>
      <w:bookmarkEnd w:id="97002"/>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1878330"/>
            <wp:effectExtent l="0" t="0" r="0" b="0"/>
            <wp:docPr id="14" name="Picture 14"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4" name="Picture 14" descr="" title=""/>
                    <pic:cNvPicPr>
                      <a:picLocks noChangeAspect="1" noChangeArrowheads="1"/>
                    </pic:cNvPicPr>
                  </pic:nvPicPr>
                  <pic:blipFill>
                    <a:blip r:embed="rId13"/>
                    <a:stretch>
                      <a:fillRect/>
                    </a:stretch>
                  </pic:blipFill>
                  <pic:spPr bwMode="auto">
                    <a:xfrm>
                      <a:off x="0" y="0"/>
                      <a:ext cx="5904230" cy="1878330"/>
                    </a:xfrm>
                    <a:prstGeom prst="rect">
                      <a:avLst/>
                    </a:prstGeom>
                    <a:noFill/>
                  </pic:spPr>
                </pic:pic>
              </a:graphicData>
            </a:graphic>
          </wp:inline>
        </w:drawing>
      </w:r>
    </w:p>
    <w:p>
      <w:pPr>
        <w:pStyle w:val="Heading3"/>
        <w:keepNext/>
        <w:keepLines/>
        <w:spacing w:before="240" w:after="120" w:line="269" w:lineRule="auto"/>
      </w:pPr>
      <w:r>
        <w:rPr>
          <w:color w:val="000000"/>
        </w:rPr>
        <w:t>A simple uncertainty example</w:t>
      </w:r>
    </w:p>
    <w:p>
      <w:pPr>
        <w:pStyle w:val="Normal"/>
        <w:spacing w:before="0" w:after="50" w:line="250" w:lineRule="auto"/>
        <w:rPr/>
      </w:pPr>
      <w:r>
        <w:rPr>
          <w:rFonts w:ascii="Calibri" w:hAnsi="Calibri"/>
          <w:color w:val="000000"/>
          <w:sz w:val="20"/>
        </w:rPr>
        <w:t>For two equally precise estimates with variance σ² and correlation ρ, the variance of their average is σ²(1 + ρ)/2. With zero correlation, averaging can reduce variance. With perfect positive correlation, it does not. This mathematical example concerns uncertainty in comparable estimates; it is not a diagnostic accuracy claim.</w:t>
      </w:r>
    </w:p>
    <w:p>
      <w:pPr>
        <w:pStyle w:val="Normal"/>
        <w:spacing w:before="0" w:after="50" w:line="250" w:lineRule="auto"/>
        <w:rPr/>
      </w:pPr>
      <w:r>
        <w:rPr>
          <w:rFonts w:ascii="Calibri" w:hAnsi="Calibri"/>
          <w:color w:val="000000"/>
          <w:sz w:val="20"/>
        </w:rPr>
        <w:t>The zero-error ambition should therefore become measurable requirements for disagreement detection, fault containment, abstention and recovery. Evaluation should include failures that affect several channels together. The product should be able to explain why a combined result is eligible, which observations contributed and which conditions would invalidate the inference.</w:t>
      </w:r>
    </w:p>
    <w:p>
      <w:pPr>
        <w:pStyle w:val="Heading3"/>
        <w:keepNext/>
        <w:keepLines/>
        <w:spacing w:before="240" w:after="120" w:line="269" w:lineRule="auto"/>
      </w:pPr>
      <w:r>
        <w:rPr>
          <w:color w:val="000000"/>
        </w:rPr>
        <w:t>Using the candidate technology catalogue</w:t>
      </w:r>
    </w:p>
    <w:p>
      <w:pPr>
        <w:pStyle w:val="Normal"/>
        <w:spacing w:before="0" w:after="50" w:line="250" w:lineRule="auto"/>
        <w:rPr/>
      </w:pPr>
      <w:r>
        <w:rPr>
          <w:rFonts w:ascii="Calibri" w:hAnsi="Calibri"/>
          <w:color w:val="000000"/>
          <w:sz w:val="20"/>
        </w:rPr>
        <w:t>The following forty entries form a candidate technology catalogue across the platform. They are not an installed sensor list. Some entries describe biological observation methods, some monitor the environment and others assess instrument readiness or control. Several optical entries are related acquisition modes; the catalogue also spans distinct thermal, electrical, chemical, acoustic, mechanical and magnetic principles.</w:t>
      </w:r>
    </w:p>
    <w:p>
      <w:pPr>
        <w:pStyle w:val="Heading3"/>
        <w:keepNext/>
        <w:keepLines/>
        <w:spacing w:before="240" w:after="120" w:line="269" w:lineRule="auto"/>
      </w:pPr>
      <w:r>
        <w:rPr>
          <w:color w:val="000000"/>
        </w:rPr>
        <w:t>Read each entry as a selection argument</w:t>
      </w:r>
    </w:p>
    <w:p>
      <w:pPr>
        <w:pStyle w:val="Normal"/>
        <w:spacing w:before="0" w:after="50" w:line="250" w:lineRule="auto"/>
        <w:rPr/>
      </w:pPr>
      <w:r>
        <w:rPr>
          <w:rFonts w:ascii="Calibri" w:hAnsi="Calibri"/>
          <w:color w:val="000000"/>
          <w:sz w:val="20"/>
        </w:rPr>
        <w:t>Each entry identifies the measurable signal, useful question, calibration needs, confounders, integration burden and evidence boundary. A candidate can be well established for measuring a physical quantity while remaining unproven for an AMReye.AI biological application.</w:t>
      </w:r>
    </w:p>
    <w:p>
      <w:pPr>
        <w:spacing w:before="0" w:after="50" w:line="250" w:lineRule="auto"/>
      </w:pPr>
      <w:r>
        <w:rPr>
          <w:rFonts w:ascii="Calibri" w:hAnsi="Calibri"/>
          <w:color w:val="000000"/>
          <w:sz w:val="20"/>
        </w:rPr>
        <w:t xml:space="preserve">Catalogue range: S01 to S18</w:t>
      </w:r>
    </w:p>
    <w:p>
      <w:pPr>
        <w:spacing w:before="0" w:after="50" w:line="250" w:lineRule="auto"/>
      </w:pPr>
      <w:r>
        <w:rPr>
          <w:rFonts w:ascii="Calibri" w:hAnsi="Calibri"/>
          <w:color w:val="000000"/>
          <w:sz w:val="20"/>
        </w:rPr>
        <w:t xml:space="preserve">Principal role: Optical imaging, spectroscopy and radiometric observations.</w:t>
      </w:r>
    </w:p>
    <w:p>
      <w:pPr>
        <w:spacing w:before="0" w:after="50" w:line="250" w:lineRule="auto"/>
      </w:pPr>
      <w:r>
        <w:rPr>
          <w:rFonts w:ascii="Calibri" w:hAnsi="Calibri"/>
          <w:color w:val="000000"/>
          <w:sz w:val="20"/>
        </w:rPr>
        <w:t xml:space="preserve">Catalogue range: S19 to S30</w:t>
      </w:r>
    </w:p>
    <w:p>
      <w:pPr>
        <w:spacing w:before="0" w:after="50" w:line="250" w:lineRule="auto"/>
      </w:pPr>
      <w:r>
        <w:rPr>
          <w:rFonts w:ascii="Calibri" w:hAnsi="Calibri"/>
          <w:color w:val="000000"/>
          <w:sz w:val="20"/>
        </w:rPr>
        <w:t xml:space="preserve">Principal role: Thermal, electrical, chemical and acoustic research measurements.</w:t>
      </w:r>
    </w:p>
    <w:p>
      <w:pPr>
        <w:spacing w:before="0" w:after="50" w:line="250" w:lineRule="auto"/>
      </w:pPr>
      <w:r>
        <w:rPr>
          <w:rFonts w:ascii="Calibri" w:hAnsi="Calibri"/>
          <w:color w:val="000000"/>
          <w:sz w:val="20"/>
        </w:rPr>
        <w:t xml:space="preserve">Catalogue range: S31 to S35</w:t>
      </w:r>
    </w:p>
    <w:p>
      <w:pPr>
        <w:spacing w:before="0" w:after="50" w:line="250" w:lineRule="auto"/>
      </w:pPr>
      <w:r>
        <w:rPr>
          <w:rFonts w:ascii="Calibri" w:hAnsi="Calibri"/>
          <w:color w:val="000000"/>
          <w:sz w:val="20"/>
        </w:rPr>
        <w:t xml:space="preserve">Principal role: Environmental and mechanical monitoring.</w:t>
      </w:r>
    </w:p>
    <w:p>
      <w:pPr>
        <w:spacing w:before="0" w:after="50" w:line="250" w:lineRule="auto"/>
      </w:pPr>
      <w:r>
        <w:rPr>
          <w:rFonts w:ascii="Calibri" w:hAnsi="Calibri"/>
          <w:color w:val="000000"/>
          <w:sz w:val="20"/>
        </w:rPr>
        <w:t xml:space="preserve">Catalogue range: S36 to S40</w:t>
      </w:r>
    </w:p>
    <w:p>
      <w:pPr>
        <w:spacing w:before="0" w:after="50" w:line="250" w:lineRule="auto"/>
      </w:pPr>
      <w:r>
        <w:rPr>
          <w:rFonts w:ascii="Calibri" w:hAnsi="Calibri"/>
          <w:color w:val="000000"/>
          <w:sz w:val="20"/>
        </w:rPr>
        <w:t xml:space="preserve">Principal role: Position, vibration, power and optical reference checks.</w:t>
      </w:r>
    </w:p>
    <w:p>
      <w:pPr>
        <w:pStyle w:val="Heading3"/>
        <w:keepNext/>
        <w:keepLines/>
        <w:spacing w:before="240" w:after="120" w:line="269" w:lineRule="auto"/>
      </w:pPr>
      <w:r>
        <w:rPr>
          <w:color w:val="000000"/>
        </w:rPr>
        <w:t>Use the catalogue to narrow choices</w:t>
      </w:r>
    </w:p>
    <w:p>
      <w:pPr>
        <w:pStyle w:val="Normal"/>
        <w:spacing w:before="0" w:after="50" w:line="250" w:lineRule="auto"/>
        <w:rPr/>
      </w:pPr>
      <w:r>
        <w:rPr>
          <w:rFonts w:ascii="Calibri" w:hAnsi="Calibri"/>
          <w:color w:val="000000"/>
          <w:sz w:val="20"/>
        </w:rPr>
        <w:t>Selection should start with the intended assay and the unresolved measurement problem. An environmental channel may help identify an invalid observation without contributing directly to a biological model. A sophisticated spectroscopic channel may require a different sample format and belong in a research instrument rather than Reader V1.</w:t>
      </w:r>
    </w:p>
    <w:p>
      <w:pPr>
        <w:pStyle w:val="Normal"/>
        <w:spacing w:before="0" w:after="50" w:line="250" w:lineRule="auto"/>
        <w:rPr/>
      </w:pPr>
      <w:r>
        <w:rPr>
          <w:rFonts w:ascii="Calibri" w:hAnsi="Calibri"/>
          <w:color w:val="000000"/>
          <w:sz w:val="20"/>
        </w:rPr>
        <w:t>The catalogue deliberately avoids current sensor model names and component generations. The concluding BOM identifies exact candidates for one Reader V1 configuration. That configuration uses only the components needed for its defined endpoint measurement workflow and does not attempt to implement the complete catalogue.</w:t>
      </w:r>
    </w:p>
    <w:p>
      <w:pPr>
        <w:pStyle w:val="Normal"/>
        <w:spacing w:before="0" w:after="50" w:line="250" w:lineRule="auto"/>
        <w:rPr/>
      </w:pPr>
      <w:r>
        <w:rPr>
          <w:rFonts w:ascii="Calibri" w:hAnsi="Calibri"/>
          <w:color w:val="000000"/>
          <w:sz w:val="20"/>
        </w:rPr>
        <w:t>All application proposals require suitable qualification. A literature demonstration is cited where it supports a relevant principle or research precedent; it should not be read as evidence that the proposed AMReye.AI integration has achieved the same result.</w:t>
      </w:r>
    </w:p>
    <w:p>
      <w:pPr>
        <w:pStyle w:val="Heading3"/>
        <w:keepNext/>
        <w:keepLines/>
        <w:spacing w:before="240" w:after="120" w:line="269" w:lineRule="auto"/>
      </w:pPr>
      <w:r>
        <w:rPr>
          <w:color w:val="000000"/>
        </w:rPr>
        <w:t>S01 Visible reflectance imaging</w:t>
      </w:r>
    </w:p>
    <w:p>
      <w:pPr>
        <w:pStyle w:val="Normal"/>
        <w:keepNext/>
        <w:spacing w:before="0" w:after="50" w:line="250" w:lineRule="auto"/>
        <w:rPr/>
      </w:pPr>
      <w:r>
        <w:rPr>
          <w:rFonts w:ascii="Calibri" w:hAnsi="Calibri"/>
          <w:b/>
          <w:color w:val="000000"/>
          <w:sz w:val="20"/>
        </w:rPr>
        <w:t>S01 · Biological observation candidate · Core imaging pathway</w:t>
      </w:r>
    </w:p>
    <w:p>
      <w:pPr>
        <w:pStyle w:val="Normal"/>
        <w:spacing w:before="0" w:after="50" w:line="250" w:lineRule="auto"/>
        <w:rPr/>
      </w:pPr>
      <w:r>
        <w:rPr>
          <w:rFonts w:ascii="Calibri" w:hAnsi="Calibri"/>
          <w:color w:val="000000"/>
          <w:sz w:val="20"/>
        </w:rPr>
        <w:t>Visible reflectance imaging measures light returned from the plate, medium, disks and growth under a defined illumination geometry. A colour sensor samples spectral bands rather than measuring a complete reflectance spectrum. Exposure, illumination spectrum and image processing influence the recorded values alongside the object itself.</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 xml:space="preserve">The primary signal is pixel intensity in digital counts. Calibrated spatial features can be expressed in millimetres, while colour or texture features require their own definitions. This pathway supports plate overview, disk localization, zone review and selected morphology research. Camera characterization can inform response and noise assessment. </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Spatial target at the measurement plane; dark and uniform-field checks; colour reference when colour is analysed.</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Glare, medium colour, condensation, automatic white balance, lid markings and uneven lawn appearance.</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Stable optics and lighting, clean optical access, controlled focus and sufficient data storage.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Reliable contrast and spatial measurement across the intended plate domain, not maximum megapixel count.</w:t>
      </w:r>
    </w:p>
    <w:p>
      <w:pPr>
        <w:pStyle w:val="Heading3"/>
        <w:keepNext/>
        <w:keepLines/>
        <w:spacing w:before="240" w:after="120" w:line="269" w:lineRule="auto"/>
      </w:pPr>
      <w:r>
        <w:rPr>
          <w:color w:val="000000"/>
        </w:rPr>
        <w:t>What the channel can support</w:t>
      </w:r>
    </w:p>
    <w:p>
      <w:pPr>
        <w:pStyle w:val="Normal"/>
        <w:spacing w:before="0" w:after="50" w:line="250" w:lineRule="auto"/>
        <w:rPr/>
      </w:pPr>
      <w:r>
        <w:rPr>
          <w:rFonts w:ascii="Calibri" w:hAnsi="Calibri"/>
          <w:color w:val="000000"/>
          <w:sz w:val="20"/>
        </w:rPr>
        <w:t>The observation can support a reviewed geometrical measurement when the image and calibration are eligible. It cannot independently establish organism identity, a resistance mechanism or a quantitative MIC. Those outputs require a suitable assay or separately validated inference.</w:t>
      </w:r>
    </w:p>
    <w:p>
      <w:pPr>
        <w:pStyle w:val="Normal"/>
        <w:spacing w:before="0" w:after="50" w:line="250" w:lineRule="auto"/>
        <w:rPr/>
      </w:pPr>
      <w:r>
        <w:rPr>
          <w:rFonts w:ascii="Calibri" w:hAnsi="Calibri"/>
          <w:color w:val="000000"/>
          <w:sz w:val="20"/>
        </w:rPr>
        <w:t>The proposed evaluation should compare measurements across plate positions, lighting drift and repeated loading. Preserve original images so that a reviewer can distinguish an algorithmic boundary error from a limitation in the acquired evidence. A failed reflectance image should remain a failed observation even if another mode later provides a usable view.</w:t>
      </w:r>
    </w:p>
    <w:p>
      <w:pPr>
        <w:pStyle w:val="Heading3"/>
        <w:keepNext/>
        <w:keepLines/>
        <w:spacing w:before="240" w:after="120" w:line="269" w:lineRule="auto"/>
      </w:pPr>
      <w:r>
        <w:rPr>
          <w:color w:val="000000"/>
        </w:rPr>
        <w:t>S02 Transmitted light imaging</w:t>
      </w:r>
    </w:p>
    <w:p>
      <w:pPr>
        <w:pStyle w:val="Normal"/>
        <w:keepNext/>
        <w:spacing w:before="0" w:after="50" w:line="250" w:lineRule="auto"/>
        <w:rPr/>
      </w:pPr>
      <w:r>
        <w:rPr>
          <w:rFonts w:ascii="Calibri" w:hAnsi="Calibri"/>
          <w:b/>
          <w:color w:val="000000"/>
          <w:sz w:val="20"/>
        </w:rPr>
        <w:t>S02 · Biological observation candidate · Alternative optical geometry</w:t>
      </w:r>
    </w:p>
    <w:p>
      <w:pPr>
        <w:pStyle w:val="Normal"/>
        <w:spacing w:before="0" w:after="50" w:line="250" w:lineRule="auto"/>
        <w:rPr/>
      </w:pPr>
      <w:r>
        <w:rPr>
          <w:rFonts w:ascii="Calibri" w:hAnsi="Calibri"/>
          <w:color w:val="000000"/>
          <w:sz w:val="20"/>
        </w:rPr>
        <w:t>Transmitted-light imaging observes light that passes through the plate and its contents. Attenuation depends on absorption, scattering, thickness and optical path. It can provide contrast different from reflected light, particularly where the medium and vessel permit a useful transmission path.</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 xml:space="preserve">The camera records transmitted intensity in digital counts. A normalized transmission ratio is dimensionless when a suitable reference is available. The useful question is whether this geometry makes a relevant boundary or distribution more reproducible for the selected workflow. It should not be assumed to be interchangeable with the geometry specified by a standard reading method. </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Uniform backlight reference, dark response and spatial calibration through the complete vessel path.</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Agar thickness, opaque media, bubbles, plate base curvature, labels and stray light.</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Optical access below the plate, repeatable support and separation of direct from scattered light.</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Measurable improvement in the intended feature without unacceptable position or medium dependence.</w:t>
      </w:r>
    </w:p>
    <w:p>
      <w:pPr>
        <w:pStyle w:val="Heading3"/>
        <w:keepNext/>
        <w:keepLines/>
        <w:spacing w:before="240" w:after="120" w:line="269" w:lineRule="auto"/>
      </w:pPr>
      <w:r>
        <w:rPr>
          <w:color w:val="000000"/>
        </w:rPr>
        <w:t>Interpretation boundary</w:t>
      </w:r>
    </w:p>
    <w:p>
      <w:pPr>
        <w:pStyle w:val="Normal"/>
        <w:spacing w:before="0" w:after="50" w:line="250" w:lineRule="auto"/>
        <w:rPr/>
      </w:pPr>
      <w:r>
        <w:rPr>
          <w:rFonts w:ascii="Calibri" w:hAnsi="Calibri"/>
          <w:color w:val="000000"/>
          <w:sz w:val="20"/>
        </w:rPr>
        <w:t>A darker region may reflect greater thickness or scattering rather than a proportional increase in biomass. Converting intensity into a biological quantity therefore requires an assay-specific calibration and a declared operating range.</w:t>
      </w:r>
    </w:p>
    <w:p>
      <w:pPr>
        <w:pStyle w:val="Normal"/>
        <w:spacing w:before="0" w:after="50" w:line="250" w:lineRule="auto"/>
        <w:rPr/>
      </w:pPr>
      <w:r>
        <w:rPr>
          <w:rFonts w:ascii="Calibri" w:hAnsi="Calibri"/>
          <w:color w:val="000000"/>
          <w:sz w:val="20"/>
        </w:rPr>
        <w:t>A useful bench comparison would hold the object and camera geometry stable while examining how known optical disturbances affect the image. Subsequent plate evaluation should determine whether the transmitted view assists measurement or quality review. The software should retain mode identity so that a model cannot silently treat a transmitted image as a reflected one.</w:t>
      </w:r>
    </w:p>
    <w:p>
      <w:pPr>
        <w:pStyle w:val="Heading3"/>
        <w:keepNext/>
        <w:keepLines/>
        <w:spacing w:before="240" w:after="120" w:line="269" w:lineRule="auto"/>
      </w:pPr>
      <w:r>
        <w:rPr>
          <w:color w:val="000000"/>
        </w:rPr>
        <w:t>S03 Oblique dark field imaging</w:t>
      </w:r>
    </w:p>
    <w:p>
      <w:pPr>
        <w:pStyle w:val="Normal"/>
        <w:keepNext/>
        <w:spacing w:before="0" w:after="50" w:line="250" w:lineRule="auto"/>
        <w:rPr/>
      </w:pPr>
      <w:r>
        <w:rPr>
          <w:rFonts w:ascii="Calibri" w:hAnsi="Calibri"/>
          <w:b/>
          <w:color w:val="000000"/>
          <w:sz w:val="20"/>
        </w:rPr>
        <w:t>S03 · Biological observation candidate · Surface and scattering contrast</w:t>
      </w:r>
    </w:p>
    <w:p>
      <w:pPr>
        <w:pStyle w:val="Normal"/>
        <w:spacing w:before="0" w:after="50" w:line="250" w:lineRule="auto"/>
        <w:rPr/>
      </w:pPr>
      <w:r>
        <w:rPr>
          <w:rFonts w:ascii="Calibri" w:hAnsi="Calibri"/>
          <w:color w:val="000000"/>
          <w:sz w:val="20"/>
        </w:rPr>
        <w:t>Oblique and dark-field arrangements reduce direct light reaching the detector and emphasize light scattered by the object. They can make edges, texture and small surface features conspicuous. The resulting contrast is strongly dependent on illumination angle, collection geometry and the object’s scattering behaviour.</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measured signal is spatial intensity in digital counts, often interpreted through normalized contrast or texture descriptors. Candidate questions include whether an unusual surface feature is present and whether a boundary remains visible when conventional illumination is ambiguous. Such images should be treated as complementary observations rather than automatically preferred measurements.</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Fixed illumination geometry, repeatable reference texture and field uniformity assessment.</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Scratches, dust, meniscus edges, lid defects, plate tilt and specular reflections.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Additional lighting positions, optical baffling and mode-specific acquisition control.</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Incremental detectability with manageable false feature rates across vessel conditions.</w:t>
      </w:r>
    </w:p>
    <w:p>
      <w:pPr>
        <w:pStyle w:val="Heading3"/>
        <w:keepNext/>
        <w:keepLines/>
        <w:spacing w:before="240" w:after="120" w:line="269" w:lineRule="auto"/>
      </w:pPr>
      <w:r>
        <w:rPr>
          <w:color w:val="000000"/>
        </w:rPr>
        <w:t>Avoid a visibility trap</w:t>
      </w:r>
    </w:p>
    <w:p>
      <w:pPr>
        <w:pStyle w:val="Normal"/>
        <w:spacing w:before="0" w:after="50" w:line="250" w:lineRule="auto"/>
        <w:rPr/>
      </w:pPr>
      <w:r>
        <w:rPr>
          <w:rFonts w:ascii="Calibri" w:hAnsi="Calibri"/>
          <w:color w:val="000000"/>
          <w:sz w:val="20"/>
        </w:rPr>
        <w:t>A bright feature in dark field is evidence of scattering, not proof of a colony or a resistant subpopulation. A scratch can be optically prominent while biologically irrelevant. The review workflow should retain the corresponding conventional image and the feature’s location.</w:t>
      </w:r>
    </w:p>
    <w:p>
      <w:pPr>
        <w:pStyle w:val="Normal"/>
        <w:spacing w:before="0" w:after="50" w:line="250" w:lineRule="auto"/>
        <w:rPr/>
      </w:pPr>
      <w:r>
        <w:rPr>
          <w:rFonts w:ascii="Calibri" w:hAnsi="Calibri"/>
          <w:color w:val="000000"/>
          <w:sz w:val="20"/>
        </w:rPr>
        <w:t>Qualification should include objects that challenge specificity: clean vessel surfaces, known surface defects and representative permitted plates. If the mode changes the apparent zone boundary, the effect must be evaluated against the selected measurement definition. Its most appropriate initial role may be research annotation or artifact review rather than the sole source of a reported diameter.</w:t>
      </w:r>
    </w:p>
    <w:p>
      <w:pPr>
        <w:pStyle w:val="Heading3"/>
        <w:keepNext/>
        <w:keepLines/>
        <w:spacing w:before="240" w:after="120" w:line="269" w:lineRule="auto"/>
      </w:pPr>
      <w:r>
        <w:rPr>
          <w:color w:val="000000"/>
        </w:rPr>
        <w:t>S04 Polarization resolved imaging</w:t>
      </w:r>
    </w:p>
    <w:p>
      <w:pPr>
        <w:pStyle w:val="Normal"/>
        <w:keepNext/>
        <w:spacing w:before="0" w:after="50" w:line="250" w:lineRule="auto"/>
        <w:rPr/>
      </w:pPr>
      <w:r>
        <w:rPr>
          <w:rFonts w:ascii="Calibri" w:hAnsi="Calibri"/>
          <w:b/>
          <w:color w:val="000000"/>
          <w:sz w:val="20"/>
        </w:rPr>
        <w:t>S04 · Biological observation candidate · Polarization contrast</w:t>
      </w:r>
    </w:p>
    <w:p>
      <w:pPr>
        <w:pStyle w:val="Normal"/>
        <w:spacing w:before="0" w:after="50" w:line="250" w:lineRule="auto"/>
        <w:rPr/>
      </w:pPr>
      <w:r>
        <w:rPr>
          <w:rFonts w:ascii="Calibri" w:hAnsi="Calibri"/>
          <w:color w:val="000000"/>
          <w:sz w:val="20"/>
        </w:rPr>
        <w:t>Polarization-resolved imaging changes or measures the orientation state of light. Polarizers can suppress some specular reflections, while polarization-dependent signals may reveal optical structure. The benefit depends on the source, object, vessel and geometry; cross-polarization does not remove every reflection or scattering artifact.</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Candidate outputs include intensity at declared polarizer angles and dimensionless polarization contrast. More complete measurements can estimate polarization state under a calibrated instrument model. The near-term question is whether the approach improves readability or artifact discrimination for a specified plate and lid material.</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Polarizer orientation, extinction behaviour, illumination stability and channel registration.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Stress birefringence in plastics, depolarizing scattering, scratches, angle changes and reduced light throughput.</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Additional optical elements, repeatable rotation or channel switching, exposure compensation.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Better usable-image coverage without biasing the feature being measured.</w:t>
      </w:r>
    </w:p>
    <w:p>
      <w:pPr>
        <w:pStyle w:val="Heading3"/>
        <w:keepNext/>
        <w:keepLines/>
        <w:spacing w:before="240" w:after="120" w:line="269" w:lineRule="auto"/>
      </w:pPr>
      <w:r>
        <w:rPr>
          <w:color w:val="000000"/>
        </w:rPr>
        <w:t>Preserve the comparison</w:t>
      </w:r>
    </w:p>
    <w:p>
      <w:pPr>
        <w:pStyle w:val="Normal"/>
        <w:spacing w:before="0" w:after="50" w:line="250" w:lineRule="auto"/>
        <w:rPr/>
      </w:pPr>
      <w:r>
        <w:rPr>
          <w:rFonts w:ascii="Calibri" w:hAnsi="Calibri"/>
          <w:color w:val="000000"/>
          <w:sz w:val="20"/>
        </w:rPr>
        <w:t>The same region should be examined with and without the polarization arrangement so that a gain in readability can be distinguished from a change in appearance. A detector trained on one vessel material may learn its polarization artifacts and fail on another.</w:t>
      </w:r>
    </w:p>
    <w:p>
      <w:pPr>
        <w:pStyle w:val="Normal"/>
        <w:spacing w:before="0" w:after="50" w:line="250" w:lineRule="auto"/>
        <w:rPr/>
      </w:pPr>
      <w:r>
        <w:rPr>
          <w:rFonts w:ascii="Calibri" w:hAnsi="Calibri"/>
          <w:color w:val="000000"/>
          <w:sz w:val="20"/>
        </w:rPr>
        <w:t>This candidate should begin as an optical quality improvement investigation. It is not a direct measurement of antimicrobial response. If selected, the configuration and angle state belong in the capture record, and any calibration affected by the added optics must be requalified. A nominally sharper image is insufficient evidence unless the intended measurement becomes more reliable.</w:t>
      </w:r>
    </w:p>
    <w:p>
      <w:pPr>
        <w:pStyle w:val="Heading3"/>
        <w:keepNext/>
        <w:keepLines/>
        <w:spacing w:before="240" w:after="120" w:line="269" w:lineRule="auto"/>
      </w:pPr>
      <w:r>
        <w:rPr>
          <w:color w:val="000000"/>
        </w:rPr>
        <w:t>S05 Near infrared imaging</w:t>
      </w:r>
    </w:p>
    <w:p>
      <w:pPr>
        <w:pStyle w:val="Normal"/>
        <w:keepNext/>
        <w:spacing w:before="0" w:after="50" w:line="250" w:lineRule="auto"/>
        <w:rPr/>
      </w:pPr>
      <w:r>
        <w:rPr>
          <w:rFonts w:ascii="Calibri" w:hAnsi="Calibri"/>
          <w:b/>
          <w:color w:val="000000"/>
          <w:sz w:val="20"/>
        </w:rPr>
        <w:t>S05 · Biological observation candidate · Experimental spectral mode</w:t>
      </w:r>
    </w:p>
    <w:p>
      <w:pPr>
        <w:pStyle w:val="Normal"/>
        <w:spacing w:before="0" w:after="50" w:line="250" w:lineRule="auto"/>
        <w:rPr/>
      </w:pPr>
      <w:r>
        <w:rPr>
          <w:rFonts w:ascii="Calibri" w:hAnsi="Calibri"/>
          <w:color w:val="000000"/>
          <w:sz w:val="20"/>
        </w:rPr>
        <w:t>Near-infrared imaging uses wavelengths beyond the main visible band, with a compatible detector and optical path. Absorption and scattering can differ from visible-light behaviour, so a feature may gain or lose contrast. Those differences do not imply that near-infrared light will reliably see through condensation or every plate material.</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recorded signal is wavelength-band-dependent image intensity. Spatial measurements remain in millimetres only after suitable calibration. The relevant research question is whether a defined near-infrared mode improves usable observation under particular media, lids or condensation conditions.</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Spectral response, source stability, dark response, focus and spatial calibration in the selected band.</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Water absorption, vessel transmission, focus shift, detector sensitivity and differences in medium contrast.</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Compatible illumination, optics and filtering; assessment of optical exposure and heating.</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Verified improvement over visible controls across the declared disturbance range.</w:t>
      </w:r>
    </w:p>
    <w:p>
      <w:pPr>
        <w:pStyle w:val="Heading3"/>
        <w:keepNext/>
        <w:keepLines/>
        <w:spacing w:before="240" w:after="120" w:line="269" w:lineRule="auto"/>
      </w:pPr>
      <w:r>
        <w:rPr>
          <w:color w:val="000000"/>
        </w:rPr>
        <w:t>Test the claim directly</w:t>
      </w:r>
    </w:p>
    <w:p>
      <w:pPr>
        <w:pStyle w:val="Normal"/>
        <w:spacing w:before="0" w:after="50" w:line="250" w:lineRule="auto"/>
        <w:rPr/>
      </w:pPr>
      <w:r>
        <w:rPr>
          <w:rFonts w:ascii="Calibri" w:hAnsi="Calibri"/>
          <w:color w:val="000000"/>
          <w:sz w:val="20"/>
        </w:rPr>
        <w:t>The evaluation should preserve paired visible and near-infrared observations and independently assess the disturbance being addressed. Improved appearance in a few images is insufficient to establish a general “fog vision” capability. The comparison should include failure cases in which the added mode makes an edge less visible or creates misleading contrast.</w:t>
      </w:r>
    </w:p>
    <w:p>
      <w:pPr>
        <w:pStyle w:val="Normal"/>
        <w:spacing w:before="0" w:after="50" w:line="250" w:lineRule="auto"/>
        <w:rPr/>
      </w:pPr>
      <w:r>
        <w:rPr>
          <w:rFonts w:ascii="Calibri" w:hAnsi="Calibri"/>
          <w:color w:val="000000"/>
          <w:sz w:val="20"/>
        </w:rPr>
        <w:t>Near-infrared imaging remains a proposed research pathway. It should not supply a biological ground truth or replace a missing standard observation automatically. The software should identify the spectral mode and require a separately qualified analysis route before using it for a reported measurement.</w:t>
      </w:r>
    </w:p>
    <w:p>
      <w:pPr>
        <w:pStyle w:val="Heading3"/>
        <w:keepNext/>
        <w:keepLines/>
        <w:spacing w:before="240" w:after="120" w:line="269" w:lineRule="auto"/>
      </w:pPr>
      <w:r>
        <w:rPr>
          <w:color w:val="000000"/>
        </w:rPr>
        <w:t>S06 Ultraviolet excited autofluorescence</w:t>
      </w:r>
    </w:p>
    <w:p>
      <w:pPr>
        <w:pStyle w:val="Normal"/>
        <w:keepNext/>
        <w:spacing w:before="0" w:after="50" w:line="250" w:lineRule="auto"/>
        <w:rPr/>
      </w:pPr>
      <w:r>
        <w:rPr>
          <w:rFonts w:ascii="Calibri" w:hAnsi="Calibri"/>
          <w:b/>
          <w:color w:val="000000"/>
          <w:sz w:val="20"/>
        </w:rPr>
        <w:t>S06 · Biological observation candidate · Fluorescence research</w:t>
      </w:r>
    </w:p>
    <w:p>
      <w:pPr>
        <w:pStyle w:val="Normal"/>
        <w:spacing w:before="0" w:after="50" w:line="250" w:lineRule="auto"/>
        <w:rPr/>
      </w:pPr>
      <w:r>
        <w:rPr>
          <w:rFonts w:ascii="Calibri" w:hAnsi="Calibri"/>
          <w:color w:val="000000"/>
          <w:sz w:val="20"/>
        </w:rPr>
        <w:t>Ultraviolet-excited autofluorescence observes light emitted after endogenous materials absorb excitation energy. The emitted signal can reflect several molecular and environmental contributions. The measured fluorescence is not a unique identifier of an organism or resistance state without an appropriately validated assay and analysis.</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detector measures emission intensity within declared wavelength bands, usually in counts or normalized relative units unless radiometrically calibrated. Candidate questions concern whether a reproducible fluorescence contrast exists and whether it adds information beyond ordinary imaging in a defined research workflow.</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Excitation intensity, emission filters, detector response, background and reference fluorescence stability.</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Medium fluorescence, vessel fluorescence, photobleaching, exposure history and spectral overlap.</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Filtered optical paths, excitation containment, suitable materials and exposure assessment.</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Reproducible signal separation with a credible control for non-biological background.</w:t>
      </w:r>
    </w:p>
    <w:p>
      <w:pPr>
        <w:pStyle w:val="Heading3"/>
        <w:keepNext/>
        <w:keepLines/>
        <w:spacing w:before="240" w:after="120" w:line="269" w:lineRule="auto"/>
      </w:pPr>
      <w:r>
        <w:rPr>
          <w:color w:val="000000"/>
        </w:rPr>
        <w:t>Treat the exposure as part of the experiment</w:t>
      </w:r>
    </w:p>
    <w:p>
      <w:pPr>
        <w:pStyle w:val="Normal"/>
        <w:spacing w:before="0" w:after="50" w:line="250" w:lineRule="auto"/>
        <w:rPr/>
      </w:pPr>
      <w:r>
        <w:rPr>
          <w:rFonts w:ascii="Calibri" w:hAnsi="Calibri"/>
          <w:color w:val="000000"/>
          <w:sz w:val="20"/>
        </w:rPr>
        <w:t>Excitation can affect the specimen as well as reveal it. The research design should assess whether repeated observation changes the process being measured. The acquisition record should therefore retain exposure conditions and sequence history.</w:t>
      </w:r>
    </w:p>
    <w:p>
      <w:pPr>
        <w:pStyle w:val="Normal"/>
        <w:spacing w:before="0" w:after="50" w:line="250" w:lineRule="auto"/>
        <w:rPr/>
      </w:pPr>
      <w:r>
        <w:rPr>
          <w:rFonts w:ascii="Calibri" w:hAnsi="Calibri"/>
          <w:color w:val="000000"/>
          <w:sz w:val="20"/>
        </w:rPr>
        <w:t>Initial use should focus on optical characterization and bounded research questions. Fluorescent reporters or added probes would constitute separate assay choices with their own validation and handling requirements. The product should not imply that a general fluorescence channel provides direct susceptibility, species identification or a clinically meaningful metabolic measurement merely because it produces a distinctive image.</w:t>
      </w:r>
    </w:p>
    <w:p>
      <w:pPr>
        <w:pStyle w:val="Heading3"/>
        <w:keepNext/>
        <w:keepLines/>
        <w:spacing w:before="240" w:after="120" w:line="269" w:lineRule="auto"/>
      </w:pPr>
      <w:r>
        <w:rPr>
          <w:color w:val="000000"/>
        </w:rPr>
        <w:t>S07 Fluorescence lifetime sensing</w:t>
      </w:r>
    </w:p>
    <w:p>
      <w:pPr>
        <w:pStyle w:val="Normal"/>
        <w:keepNext/>
        <w:spacing w:before="0" w:after="50" w:line="250" w:lineRule="auto"/>
        <w:rPr/>
      </w:pPr>
      <w:r>
        <w:rPr>
          <w:rFonts w:ascii="Calibri" w:hAnsi="Calibri"/>
          <w:b/>
          <w:color w:val="000000"/>
          <w:sz w:val="20"/>
        </w:rPr>
        <w:t>S07 · Biological observation candidate · Time-resolved fluorescence research</w:t>
      </w:r>
    </w:p>
    <w:p>
      <w:pPr>
        <w:pStyle w:val="Normal"/>
        <w:spacing w:before="0" w:after="50" w:line="250" w:lineRule="auto"/>
        <w:rPr/>
      </w:pPr>
      <w:r>
        <w:rPr>
          <w:rFonts w:ascii="Calibri" w:hAnsi="Calibri"/>
          <w:color w:val="000000"/>
          <w:sz w:val="20"/>
        </w:rPr>
        <w:t xml:space="preserve">Fluorescence lifetime sensing measures the temporal decay of emission after excitation rather than relying only on brightness. A decay parameter can be influenced by the molecular environment and by mixtures of emitting species. The instrument response and analysis model are essential parts of the measurement.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Candidate outputs include photon arrival distributions, phase shifts or fitted decay times, commonly expressed in nanoseconds for relevant fluorophores. The proposed question is whether a stable time-resolved feature provides useful research information that intensity alone cannot supply.</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Timing response, reference lifetime material, background and detector temporal behaviour.</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Mixed emitters, low photon counts, scattering, photobleaching and model-dependent fitting.</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Pulsed or modulated excitation, suitable detection, timing electronics and substantial analysis complexity.</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Identifiable and reproducible decay parameters with an incremental benefit over simpler fluorescence measurements.</w:t>
      </w:r>
    </w:p>
    <w:p>
      <w:pPr>
        <w:pStyle w:val="Heading3"/>
        <w:keepNext/>
        <w:keepLines/>
        <w:spacing w:before="240" w:after="120" w:line="269" w:lineRule="auto"/>
      </w:pPr>
      <w:r>
        <w:rPr>
          <w:color w:val="000000"/>
        </w:rPr>
        <w:t>Do not overinterpret a fitted lifetime</w:t>
      </w:r>
    </w:p>
    <w:p>
      <w:pPr>
        <w:pStyle w:val="Normal"/>
        <w:spacing w:before="0" w:after="50" w:line="250" w:lineRule="auto"/>
        <w:rPr/>
      </w:pPr>
      <w:r>
        <w:rPr>
          <w:rFonts w:ascii="Calibri" w:hAnsi="Calibri"/>
          <w:color w:val="000000"/>
          <w:sz w:val="20"/>
        </w:rPr>
        <w:t>A single fitted number can conceal a mixture of signals or an inadequate decay model. The research record should retain fitting assumptions, residuals and uncertainty. Comparisons across instruments require evidence that their timing responses and analysis methods produce comparable quantities.</w:t>
      </w:r>
    </w:p>
    <w:p>
      <w:pPr>
        <w:pStyle w:val="Normal"/>
        <w:spacing w:before="0" w:after="50" w:line="250" w:lineRule="auto"/>
        <w:rPr/>
      </w:pPr>
      <w:r>
        <w:rPr>
          <w:rFonts w:ascii="Calibri" w:hAnsi="Calibri"/>
          <w:color w:val="000000"/>
          <w:sz w:val="20"/>
        </w:rPr>
        <w:t>This is an exploratory platform candidate, not a Reader V1 requirement. Its biological interpretation would need assay-specific studies and suitable controls. A technically successful lifetime measurement establishes that a temporal optical signal was measured; it does not establish that the signal identifies a pathogen, resistance mechanism or antimicrobial response. Selection should depend on a research question sufficiently important to justify the added optical and computational burden.</w:t>
      </w:r>
    </w:p>
    <w:p>
      <w:pPr>
        <w:pStyle w:val="Heading3"/>
        <w:keepNext/>
        <w:keepLines/>
        <w:spacing w:before="240" w:after="120" w:line="269" w:lineRule="auto"/>
      </w:pPr>
      <w:r>
        <w:rPr>
          <w:color w:val="000000"/>
        </w:rPr>
        <w:t>S08 Multispectral imaging</w:t>
      </w:r>
    </w:p>
    <w:p>
      <w:pPr>
        <w:pStyle w:val="Normal"/>
        <w:keepNext/>
        <w:spacing w:before="0" w:after="50" w:line="250" w:lineRule="auto"/>
        <w:rPr/>
      </w:pPr>
      <w:r>
        <w:rPr>
          <w:rFonts w:ascii="Calibri" w:hAnsi="Calibri"/>
          <w:b/>
          <w:color w:val="000000"/>
          <w:sz w:val="20"/>
        </w:rPr>
        <w:t>S08 · Biological observation candidate · Selected spectral bands</w:t>
      </w:r>
    </w:p>
    <w:p>
      <w:pPr>
        <w:pStyle w:val="Normal"/>
        <w:spacing w:before="0" w:after="50" w:line="250" w:lineRule="auto"/>
        <w:rPr/>
      </w:pPr>
      <w:r>
        <w:rPr>
          <w:rFonts w:ascii="Calibri" w:hAnsi="Calibri"/>
          <w:color w:val="000000"/>
          <w:sz w:val="20"/>
        </w:rPr>
        <w:t xml:space="preserve">Multispectral imaging records a limited set of spectral bands chosen for a particular measurement question. The bands may be acquired sequentially or through parallel optical paths. Unlike a colour photograph, the acquisition can be designed around specific spectral regions, but its usefulness still depends on the sample, illumination and detector response.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output is an image stack indexed by band, with calibrated or normalized intensity values. Ratios between bands are dimensionless but remain sensitive to how their signals were acquired. Candidate questions include whether spectral contrast improves artifact discrimination or characterizes a reproducible research phenotype.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Band transmission, source spectrum, flat-field response and spatial registration.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Motion between bands, exposure differences, spectral leakage, medium variation and detector drift.</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Filters or multiple sources, synchronized switching, more data and a band-aware analysis pipeline.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Each retained band adds reproducible information on held-out observations.</w:t>
      </w:r>
    </w:p>
    <w:p>
      <w:pPr>
        <w:pStyle w:val="Heading3"/>
        <w:keepNext/>
        <w:keepLines/>
        <w:spacing w:before="240" w:after="120" w:line="269" w:lineRule="auto"/>
      </w:pPr>
      <w:r>
        <w:rPr>
          <w:color w:val="000000"/>
        </w:rPr>
        <w:t>Select bands through evidence</w:t>
      </w:r>
    </w:p>
    <w:p>
      <w:pPr>
        <w:pStyle w:val="Normal"/>
        <w:spacing w:before="0" w:after="50" w:line="250" w:lineRule="auto"/>
        <w:rPr/>
      </w:pPr>
      <w:r>
        <w:rPr>
          <w:rFonts w:ascii="Calibri" w:hAnsi="Calibri"/>
          <w:color w:val="000000"/>
          <w:sz w:val="20"/>
        </w:rPr>
        <w:t>Adding bands increases the number of possible correlations a model can learn. A band that appears predictive within one batch may encode lighting or medium differences. Selection should therefore be evaluated under site, batch and time separation, with a conventional baseline and an ablation analysis.</w:t>
      </w:r>
    </w:p>
    <w:p>
      <w:pPr>
        <w:pStyle w:val="Normal"/>
        <w:spacing w:before="0" w:after="50" w:line="250" w:lineRule="auto"/>
        <w:rPr/>
      </w:pPr>
      <w:r>
        <w:rPr>
          <w:rFonts w:ascii="Calibri" w:hAnsi="Calibri"/>
          <w:color w:val="000000"/>
          <w:sz w:val="20"/>
        </w:rPr>
        <w:t>The resulting image stack is a richer observation, not a direct biological conclusion. The capture record should identify all band settings and mark incomplete stacks explicitly. If a required band fails, the system should use a separately evaluated reduced-band route or decline the inference rather than silently synthesize the missing measurement.</w:t>
      </w:r>
    </w:p>
    <w:p>
      <w:pPr>
        <w:pStyle w:val="Heading3"/>
        <w:keepNext/>
        <w:keepLines/>
        <w:spacing w:before="240" w:after="120" w:line="269" w:lineRule="auto"/>
      </w:pPr>
      <w:r>
        <w:rPr>
          <w:color w:val="000000"/>
        </w:rPr>
        <w:t>S09 Hyperspectral imaging</w:t>
      </w:r>
    </w:p>
    <w:p>
      <w:pPr>
        <w:pStyle w:val="Normal"/>
        <w:keepNext/>
        <w:spacing w:before="0" w:after="50" w:line="250" w:lineRule="auto"/>
        <w:rPr/>
      </w:pPr>
      <w:r>
        <w:rPr>
          <w:rFonts w:ascii="Calibri" w:hAnsi="Calibri"/>
          <w:b/>
          <w:color w:val="000000"/>
          <w:sz w:val="20"/>
        </w:rPr>
        <w:t>S09 · Biological observation candidate · Spectral research</w:t>
      </w:r>
    </w:p>
    <w:p>
      <w:pPr>
        <w:pStyle w:val="Normal"/>
        <w:spacing w:before="0" w:after="50" w:line="250" w:lineRule="auto"/>
        <w:rPr/>
      </w:pPr>
      <w:r>
        <w:rPr>
          <w:rFonts w:ascii="Calibri" w:hAnsi="Calibri"/>
          <w:color w:val="000000"/>
          <w:sz w:val="20"/>
        </w:rPr>
        <w:t xml:space="preserve">Hyperspectral imaging samples a densely resolved spectral dimension together with spatial information. The result is a data cube whose coordinates describe position and wavelength. Acquisition may involve spatial or spectral scanning, so the cube may represent a sequence of observations rather than one instantaneous view.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signal is intensity or calibrated reflectance as a function of wavelength and position. Spectral features can be described through band ratios, absorption features or learned representations. The research question is whether these features explain variation that a smaller set of selected bands cannot capture reliably.</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Wavelength accuracy, spectral response, dark reference, spatial registration and illumination reference.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Spectral mixing, sample movement, stray light, medium composition and preprocessing choices.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Specialized optics, longer or more complex acquisition, large datasets and spectral quality control.</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Reproducible incremental information relative to multispectral and ordinary imaging baselines.</w:t>
      </w:r>
    </w:p>
    <w:p>
      <w:pPr>
        <w:pStyle w:val="Heading3"/>
        <w:keepNext/>
        <w:keepLines/>
        <w:spacing w:before="240" w:after="120" w:line="269" w:lineRule="auto"/>
      </w:pPr>
      <w:r>
        <w:rPr>
          <w:color w:val="000000"/>
        </w:rPr>
        <w:t>Control dimensionality and leakage</w:t>
      </w:r>
    </w:p>
    <w:p>
      <w:pPr>
        <w:pStyle w:val="Normal"/>
        <w:spacing w:before="0" w:after="50" w:line="250" w:lineRule="auto"/>
        <w:rPr/>
      </w:pPr>
      <w:r>
        <w:rPr>
          <w:rFonts w:ascii="Calibri" w:hAnsi="Calibri"/>
          <w:color w:val="000000"/>
          <w:sz w:val="20"/>
        </w:rPr>
        <w:t>Many correlated spectral channels can make a small dataset appear highly separable. Model evaluation should therefore separate sites, batches and acquisition sessions, and feature selection must occur within the training process. A spectrum from one region should not be allowed to reveal the identity of the same plate in a test set.</w:t>
      </w:r>
    </w:p>
    <w:p>
      <w:pPr>
        <w:pStyle w:val="Normal"/>
        <w:spacing w:before="0" w:after="50" w:line="250" w:lineRule="auto"/>
        <w:rPr/>
      </w:pPr>
      <w:r>
        <w:rPr>
          <w:rFonts w:ascii="Calibri" w:hAnsi="Calibri"/>
          <w:color w:val="000000"/>
          <w:sz w:val="20"/>
        </w:rPr>
        <w:t>Hyperspectral observation is an exploratory research option. A useful result could be a justified reduction to a few robust bands rather than a permanent requirement for a full spectral instrument. Biological interpretation and any susceptibility claim would need independent assay-specific evidence; a visually distinctive spectral map is not sufficient.</w:t>
      </w:r>
    </w:p>
    <w:p>
      <w:pPr>
        <w:pStyle w:val="Heading3"/>
        <w:keepNext/>
        <w:keepLines/>
        <w:spacing w:before="240" w:after="120" w:line="269" w:lineRule="auto"/>
      </w:pPr>
      <w:r>
        <w:rPr>
          <w:color w:val="000000"/>
        </w:rPr>
        <w:t>S10 Raman spectroscopy</w:t>
      </w:r>
    </w:p>
    <w:p>
      <w:pPr>
        <w:pStyle w:val="Normal"/>
        <w:keepNext/>
        <w:spacing w:before="0" w:after="50" w:line="250" w:lineRule="auto"/>
        <w:rPr/>
      </w:pPr>
      <w:r>
        <w:rPr>
          <w:rFonts w:ascii="Calibri" w:hAnsi="Calibri"/>
          <w:b/>
          <w:color w:val="000000"/>
          <w:sz w:val="20"/>
        </w:rPr>
        <w:t>S10 · Biological observation candidate · Vibrational spectroscopy</w:t>
      </w:r>
    </w:p>
    <w:p>
      <w:pPr>
        <w:pStyle w:val="Normal"/>
        <w:spacing w:before="0" w:after="50" w:line="250" w:lineRule="auto"/>
        <w:rPr/>
      </w:pPr>
      <w:r>
        <w:rPr>
          <w:rFonts w:ascii="Calibri" w:hAnsi="Calibri"/>
          <w:color w:val="000000"/>
          <w:sz w:val="20"/>
        </w:rPr>
        <w:t>Raman spectroscopy measures inelastically scattered light whose frequency shift relates to molecular vibrational behaviour. Biological spectra can contain overlapping contributions from many constituents. The measured fingerprint depends on the optical system, sample state and background, as well as on biological composition.</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 xml:space="preserve">The output is intensity against Raman shift, conventionally expressed in inverse centimetres. Candidate research questions include whether spectra provide reproducible phenotypic information and whether an assay-specific response can be detected. Published work has investigated Raman observations with machine learning for microbial identification and susceptibility research; its results do not validate this proposed integration. </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Wavenumber reference, spectral response, optical alignment and background characterization.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Fluorescence, substrate signal, medium residues, sample heterogeneity and laser-induced changes.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Spectrometer, stable excitation, optical containment, sensitive detection and often local sampling.</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Reproducible biological information after controlling substrate and acquisition effects.</w:t>
      </w:r>
    </w:p>
    <w:p>
      <w:pPr>
        <w:pStyle w:val="Heading3"/>
        <w:keepNext/>
        <w:keepLines/>
        <w:spacing w:before="240" w:after="120" w:line="269" w:lineRule="auto"/>
      </w:pPr>
      <w:r>
        <w:rPr>
          <w:color w:val="000000"/>
        </w:rPr>
        <w:t>Preserve what was actually measured</w:t>
      </w:r>
    </w:p>
    <w:p>
      <w:pPr>
        <w:pStyle w:val="Normal"/>
        <w:spacing w:before="0" w:after="50" w:line="250" w:lineRule="auto"/>
        <w:rPr/>
      </w:pPr>
      <w:r>
        <w:rPr>
          <w:rFonts w:ascii="Calibri" w:hAnsi="Calibri"/>
          <w:color w:val="000000"/>
          <w:sz w:val="20"/>
        </w:rPr>
        <w:t>A spectrum taken from a selected microscopic region does not automatically represent the whole plate. The record should retain sampling location, selection method and any preparation required. A model should not report a measured gene merely because a spectral pattern correlates with a genotype in its training set.</w:t>
      </w:r>
    </w:p>
    <w:p>
      <w:pPr>
        <w:pStyle w:val="Normal"/>
        <w:spacing w:before="0" w:after="50" w:line="250" w:lineRule="auto"/>
        <w:rPr/>
      </w:pPr>
      <w:r>
        <w:rPr>
          <w:rFonts w:ascii="Calibri" w:hAnsi="Calibri"/>
          <w:color w:val="000000"/>
          <w:sz w:val="20"/>
        </w:rPr>
        <w:t>This candidate belongs to a dedicated research track. The first decision is whether the intended question requires molecularly sensitive information and whether Raman provides it more usefully than a simpler method. Assay transfer, representative sampling and independent validation are likely to matter as much as spectral resolution.</w:t>
      </w:r>
    </w:p>
    <w:p>
      <w:pPr>
        <w:pStyle w:val="Heading3"/>
        <w:keepNext/>
        <w:keepLines/>
        <w:spacing w:before="240" w:after="120" w:line="269" w:lineRule="auto"/>
      </w:pPr>
      <w:r>
        <w:rPr>
          <w:color w:val="000000"/>
        </w:rPr>
        <w:t>S11 Infrared absorption spectroscopy</w:t>
      </w:r>
    </w:p>
    <w:p>
      <w:pPr>
        <w:pStyle w:val="Normal"/>
        <w:keepNext/>
        <w:spacing w:before="0" w:after="50" w:line="250" w:lineRule="auto"/>
        <w:rPr/>
      </w:pPr>
      <w:r>
        <w:rPr>
          <w:rFonts w:ascii="Calibri" w:hAnsi="Calibri"/>
          <w:b/>
          <w:color w:val="000000"/>
          <w:sz w:val="20"/>
        </w:rPr>
        <w:t>S11 · Biological observation candidate · Infrared spectroscopy</w:t>
      </w:r>
    </w:p>
    <w:p>
      <w:pPr>
        <w:pStyle w:val="Normal"/>
        <w:spacing w:before="0" w:after="50" w:line="250" w:lineRule="auto"/>
        <w:rPr/>
      </w:pPr>
      <w:r>
        <w:rPr>
          <w:rFonts w:ascii="Calibri" w:hAnsi="Calibri"/>
          <w:color w:val="000000"/>
          <w:sz w:val="20"/>
        </w:rPr>
        <w:t>Infrared absorption spectroscopy measures wavelength-dependent attenuation associated with molecular vibrations. A spectrum can reveal chemical composition and changes in a sample, but the optical path and measurement format strongly influence the signal. Water and substrate contributions can dominate biologically interesting features.</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output is absorbance or transmittance against wavenumber, commonly in inverse centimetres. Candidate questions concern whether a reproducible chemical pattern can be measured in a permitted sample format and whether it relates to a defined research phenotype. It should not be assumed that an ordinary closed culture plate offers a suitable infrared transmission path.</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Wavenumber accuracy, background spectrum, optical path and instrument response.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Water absorption, vessel material, sample thickness, contact pressure and baseline correction.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Suitable infrared optics and detector; potentially a separate sample interface or preparation route.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Stable spectral information that survives realistic sample and instrument variation.</w:t>
      </w:r>
    </w:p>
    <w:p>
      <w:pPr>
        <w:pStyle w:val="Heading3"/>
        <w:keepNext/>
        <w:keepLines/>
        <w:spacing w:before="240" w:after="120" w:line="269" w:lineRule="auto"/>
      </w:pPr>
      <w:r>
        <w:rPr>
          <w:color w:val="000000"/>
        </w:rPr>
        <w:t>Keep assay format explicit</w:t>
      </w:r>
    </w:p>
    <w:p>
      <w:pPr>
        <w:pStyle w:val="Normal"/>
        <w:spacing w:before="0" w:after="50" w:line="250" w:lineRule="auto"/>
        <w:rPr/>
      </w:pPr>
      <w:r>
        <w:rPr>
          <w:rFonts w:ascii="Calibri" w:hAnsi="Calibri"/>
          <w:color w:val="000000"/>
          <w:sz w:val="20"/>
        </w:rPr>
        <w:t>Transmission, reflection and attenuated-total-reflection arrangements do not produce interchangeable observations. A contact measurement can require a different handling workflow from non-contact plate imaging. The product description should identify that difference before discussing automation or throughput.</w:t>
      </w:r>
    </w:p>
    <w:p>
      <w:pPr>
        <w:pStyle w:val="Normal"/>
        <w:spacing w:before="0" w:after="50" w:line="250" w:lineRule="auto"/>
        <w:rPr/>
      </w:pPr>
      <w:r>
        <w:rPr>
          <w:rFonts w:ascii="Calibri" w:hAnsi="Calibri"/>
          <w:color w:val="000000"/>
          <w:sz w:val="20"/>
        </w:rPr>
        <w:t>Infrared spectroscopy is an exploratory candidate across the broader platform. The proposed qualification should compare repeated observations of reference materials and then assess the chosen biological question with appropriate controls. A classifier’s apparent accuracy should be challenged for dependence on medium, preparation batch or instrument background. No clinical identity or susceptibility function is established by including this modality in the catalogue.</w:t>
      </w:r>
    </w:p>
    <w:p>
      <w:pPr>
        <w:pStyle w:val="Heading3"/>
        <w:keepNext/>
        <w:keepLines/>
        <w:spacing w:before="240" w:after="120" w:line="269" w:lineRule="auto"/>
      </w:pPr>
      <w:r>
        <w:rPr>
          <w:color w:val="000000"/>
        </w:rPr>
        <w:t>S12 Optical coherence tomography</w:t>
      </w:r>
    </w:p>
    <w:p>
      <w:pPr>
        <w:pStyle w:val="Normal"/>
        <w:keepNext/>
        <w:spacing w:before="0" w:after="50" w:line="250" w:lineRule="auto"/>
        <w:rPr/>
      </w:pPr>
      <w:r>
        <w:rPr>
          <w:rFonts w:ascii="Calibri" w:hAnsi="Calibri"/>
          <w:b/>
          <w:color w:val="000000"/>
          <w:sz w:val="20"/>
        </w:rPr>
        <w:t>S12 · Biological observation candidate · Depth-resolved optical research</w:t>
      </w:r>
    </w:p>
    <w:p>
      <w:pPr>
        <w:pStyle w:val="Normal"/>
        <w:spacing w:before="0" w:after="50" w:line="250" w:lineRule="auto"/>
        <w:rPr/>
      </w:pPr>
      <w:r>
        <w:rPr>
          <w:rFonts w:ascii="Calibri" w:hAnsi="Calibri"/>
          <w:color w:val="000000"/>
          <w:sz w:val="20"/>
        </w:rPr>
        <w:t xml:space="preserve">Optical coherence tomography uses interferometric information to resolve optical path differences within a sample. It can produce depth profiles and cross-sectional representations of scattering structures. The relationship between optical path length and physical depth depends on refractive properties and the reconstruction model.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Candidate outputs include depth-dependent backscatter and reconstructed structural coordinates, with depth expressed in micrometres or millimetres under declared assumptions. Research questions could concern surface structure, thickness or subsurface morphology that a two-dimensional plate image cannot resolve.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Axial and lateral scales, reference surfaces, sensitivity range and reconstruction settings.</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Multiple scattering, refractive-index variation, vessel reflections, shadowing and motion.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Interferometric optics, scanning or specialized detection, stable alignment and substantial data processing.</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Depth information that is accurate enough and relevant enough to justify the added system complexity.</w:t>
      </w:r>
    </w:p>
    <w:p>
      <w:pPr>
        <w:pStyle w:val="Heading3"/>
        <w:keepNext/>
        <w:keepLines/>
        <w:spacing w:before="240" w:after="120" w:line="269" w:lineRule="auto"/>
      </w:pPr>
      <w:r>
        <w:rPr>
          <w:color w:val="000000"/>
        </w:rPr>
        <w:t>Distinguish structure from biological meaning</w:t>
      </w:r>
    </w:p>
    <w:p>
      <w:pPr>
        <w:pStyle w:val="Normal"/>
        <w:spacing w:before="0" w:after="50" w:line="250" w:lineRule="auto"/>
        <w:rPr/>
      </w:pPr>
      <w:r>
        <w:rPr>
          <w:rFonts w:ascii="Calibri" w:hAnsi="Calibri"/>
          <w:color w:val="000000"/>
          <w:sz w:val="20"/>
        </w:rPr>
        <w:t>A reconstructed surface is a model-dependent measurement, not a direct resistance result. Features may arise from the medium or vessel rather than the growth being studied. The observation should therefore remain linked to a conventional overview and to the region selected for depth imaging.</w:t>
      </w:r>
    </w:p>
    <w:p>
      <w:pPr>
        <w:pStyle w:val="Normal"/>
        <w:spacing w:before="0" w:after="50" w:line="250" w:lineRule="auto"/>
        <w:rPr/>
      </w:pPr>
      <w:r>
        <w:rPr>
          <w:rFonts w:ascii="Calibri" w:hAnsi="Calibri"/>
          <w:color w:val="000000"/>
          <w:sz w:val="20"/>
        </w:rPr>
        <w:t>This modality is a future research option, not a requirement for endpoint Reader V1. A development study should begin with known structural references and evaluate how vessel and medium effects alter reconstruction. Only then should it assess the intended biological application and the additional value relative to simpler focus, stereo or surface-imaging methods.</w:t>
      </w:r>
    </w:p>
    <w:p>
      <w:pPr>
        <w:pStyle w:val="Heading3"/>
        <w:keepNext/>
        <w:keepLines/>
        <w:spacing w:before="240" w:after="120" w:line="269" w:lineRule="auto"/>
      </w:pPr>
      <w:r>
        <w:rPr>
          <w:color w:val="000000"/>
        </w:rPr>
        <w:t>S13 Quantitative phase imaging</w:t>
      </w:r>
    </w:p>
    <w:p>
      <w:pPr>
        <w:pStyle w:val="Normal"/>
        <w:keepNext/>
        <w:spacing w:before="0" w:after="50" w:line="250" w:lineRule="auto"/>
        <w:rPr/>
      </w:pPr>
      <w:r>
        <w:rPr>
          <w:rFonts w:ascii="Calibri" w:hAnsi="Calibri"/>
          <w:b/>
          <w:color w:val="000000"/>
          <w:sz w:val="20"/>
        </w:rPr>
        <w:t>S13 · Biological observation candidate · Quantitative optical phase</w:t>
      </w:r>
    </w:p>
    <w:p>
      <w:pPr>
        <w:pStyle w:val="Normal"/>
        <w:spacing w:before="0" w:after="50" w:line="250" w:lineRule="auto"/>
        <w:rPr/>
      </w:pPr>
      <w:r>
        <w:rPr>
          <w:rFonts w:ascii="Calibri" w:hAnsi="Calibri"/>
          <w:color w:val="000000"/>
          <w:sz w:val="20"/>
        </w:rPr>
        <w:t>Quantitative phase imaging estimates changes in the phase of transmitted light caused by optical path differences. For a suitable sample, the signal relates to both thickness and refractive-index variation. Separating those contributions or converting them into another biological quantity requires additional assumptions and calibration.</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output is phase in radians or optical path difference in length units. Candidate research questions include cell or microcolony growth, morphology and temporal changes that produce weak intensity contrast. Dry-mass estimates, where scientifically justified, are derived quantities rather than direct balance measurements.</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Phase or path-length reference, background correction, spatial scale and reconstruction verification.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Phase wrapping, multiple scattering, refractive-index changes, drift and overlapping structures.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Interferometric or computational phase optics, stable illumination and a suitable thin-sample geometry.</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Reproducible phase information with a defensible link to the intended research quantity.</w:t>
      </w:r>
    </w:p>
    <w:p>
      <w:pPr>
        <w:pStyle w:val="Heading3"/>
        <w:keepNext/>
        <w:keepLines/>
        <w:spacing w:before="240" w:after="120" w:line="269" w:lineRule="auto"/>
      </w:pPr>
      <w:r>
        <w:rPr>
          <w:color w:val="000000"/>
        </w:rPr>
        <w:t>Respect the sample geometry</w:t>
      </w:r>
    </w:p>
    <w:p>
      <w:pPr>
        <w:pStyle w:val="Normal"/>
        <w:spacing w:before="0" w:after="50" w:line="250" w:lineRule="auto"/>
        <w:rPr/>
      </w:pPr>
      <w:r>
        <w:rPr>
          <w:rFonts w:ascii="Calibri" w:hAnsi="Calibri"/>
          <w:color w:val="000000"/>
          <w:sz w:val="20"/>
        </w:rPr>
        <w:t>A method suitable for thin cells in a controlled optical path may not transfer to a thick, scattering agar plate. The proposed platform should treat cell-level phase research as a separate acquisition route with its own sample and field-selection records.</w:t>
      </w:r>
    </w:p>
    <w:p>
      <w:pPr>
        <w:pStyle w:val="Normal"/>
        <w:spacing w:before="0" w:after="50" w:line="250" w:lineRule="auto"/>
        <w:rPr/>
      </w:pPr>
      <w:r>
        <w:rPr>
          <w:rFonts w:ascii="Calibri" w:hAnsi="Calibri"/>
          <w:color w:val="000000"/>
          <w:sz w:val="20"/>
        </w:rPr>
        <w:t>The evaluation should distinguish numerical reconstruction error from uncertainty in the biological interpretation. A phase map may be repeatable while an inferred mass is biased by an incorrect refractive increment. This candidate should be selected only where its assumptions can be tested and where the resulting measurement answers a question that ordinary intensity imaging cannot address adequately.</w:t>
      </w:r>
    </w:p>
    <w:p>
      <w:pPr>
        <w:pStyle w:val="Heading3"/>
        <w:keepNext/>
        <w:keepLines/>
        <w:spacing w:before="240" w:after="120" w:line="269" w:lineRule="auto"/>
      </w:pPr>
      <w:r>
        <w:rPr>
          <w:color w:val="000000"/>
        </w:rPr>
        <w:t>S14 Laser speckle activity sensing</w:t>
      </w:r>
    </w:p>
    <w:p>
      <w:pPr>
        <w:pStyle w:val="Normal"/>
        <w:keepNext/>
        <w:spacing w:before="0" w:after="50" w:line="250" w:lineRule="auto"/>
        <w:rPr/>
      </w:pPr>
      <w:r>
        <w:rPr>
          <w:rFonts w:ascii="Calibri" w:hAnsi="Calibri"/>
          <w:b/>
          <w:color w:val="000000"/>
          <w:sz w:val="20"/>
        </w:rPr>
        <w:t>S14 · Biological observation candidate · Dynamic scattering research</w:t>
      </w:r>
    </w:p>
    <w:p>
      <w:pPr>
        <w:pStyle w:val="Normal"/>
        <w:spacing w:before="0" w:after="50" w:line="250" w:lineRule="auto"/>
        <w:rPr/>
      </w:pPr>
      <w:r>
        <w:rPr>
          <w:rFonts w:ascii="Calibri" w:hAnsi="Calibri"/>
          <w:color w:val="000000"/>
          <w:sz w:val="20"/>
        </w:rPr>
        <w:t>Laser speckle imaging records interference patterns produced when coherent light is scattered. Temporal changes in those patterns can reflect movement or other changes in the scattering scene. They can also arise from vibration, source instability or optical-path changes unrelated to biology.</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 xml:space="preserve">Candidate outputs include speckle contrast, correlation decay and other dimensionless temporal descriptors. Published plate-related studies have investigated speckle observations for early antibacterial-effect research. These are method-specific precedents, not established AMReye.AI performance.  </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Stable scattering references, exposure timing, optical alignment and instrument-motion characterization.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Vibration, evaporation, thermal drift, motion of the vessel and changes in illumination coherence.</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Coherent source, optical containment, mechanically stable acquisition and time-series analysis.</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biological signal that remains distinguishable from instrument and environmental dynamics.</w:t>
      </w:r>
    </w:p>
    <w:p>
      <w:pPr>
        <w:pStyle w:val="Heading3"/>
        <w:keepNext/>
        <w:keepLines/>
        <w:spacing w:before="240" w:after="120" w:line="269" w:lineRule="auto"/>
      </w:pPr>
      <w:r>
        <w:rPr>
          <w:color w:val="000000"/>
        </w:rPr>
        <w:t>Compare against an instrument-only explanation</w:t>
      </w:r>
    </w:p>
    <w:p>
      <w:pPr>
        <w:pStyle w:val="Normal"/>
        <w:spacing w:before="0" w:after="50" w:line="250" w:lineRule="auto"/>
        <w:rPr/>
      </w:pPr>
      <w:r>
        <w:rPr>
          <w:rFonts w:ascii="Calibri" w:hAnsi="Calibri"/>
          <w:color w:val="000000"/>
          <w:sz w:val="20"/>
        </w:rPr>
        <w:t>An early change in a speckle statistic should be challenged with controls that can reveal non-biological motion. The analysis should also preserve the relationship between exposure duration, sampling interval and the reported temporal feature.</w:t>
      </w:r>
    </w:p>
    <w:p>
      <w:pPr>
        <w:pStyle w:val="Normal"/>
        <w:spacing w:before="0" w:after="50" w:line="250" w:lineRule="auto"/>
        <w:rPr/>
      </w:pPr>
      <w:r>
        <w:rPr>
          <w:rFonts w:ascii="Calibri" w:hAnsi="Calibri"/>
          <w:color w:val="000000"/>
          <w:sz w:val="20"/>
        </w:rPr>
        <w:t>This is an exploratory sensing pathway. Its first product contribution might be an additional research observation rather than an early clinical category. Any future susceptibility inference would need a defined clock origin, organism and drug scope, comparator and treatment of unreadable or inconsistent cases. A shorter detection window in an external study cannot be transferred to a different optical assembly by analogy alone.</w:t>
      </w:r>
    </w:p>
    <w:p>
      <w:pPr>
        <w:pStyle w:val="Heading3"/>
        <w:keepNext/>
        <w:keepLines/>
        <w:spacing w:before="240" w:after="120" w:line="269" w:lineRule="auto"/>
      </w:pPr>
      <w:r>
        <w:rPr>
          <w:color w:val="000000"/>
        </w:rPr>
        <w:t>S15 Elastic light scattering</w:t>
      </w:r>
    </w:p>
    <w:p>
      <w:pPr>
        <w:pStyle w:val="Normal"/>
        <w:keepNext/>
        <w:spacing w:before="0" w:after="50" w:line="250" w:lineRule="auto"/>
        <w:rPr/>
      </w:pPr>
      <w:r>
        <w:rPr>
          <w:rFonts w:ascii="Calibri" w:hAnsi="Calibri"/>
          <w:b/>
          <w:color w:val="000000"/>
          <w:sz w:val="20"/>
        </w:rPr>
        <w:t>S15 · Biological observation candidate · Angular scattering</w:t>
      </w:r>
    </w:p>
    <w:p>
      <w:pPr>
        <w:pStyle w:val="Normal"/>
        <w:spacing w:before="0" w:after="50" w:line="250" w:lineRule="auto"/>
        <w:rPr/>
      </w:pPr>
      <w:r>
        <w:rPr>
          <w:rFonts w:ascii="Calibri" w:hAnsi="Calibri"/>
          <w:color w:val="000000"/>
          <w:sz w:val="20"/>
        </w:rPr>
        <w:t>Elastic light scattering measures light redirected by an object without a change in photon frequency. The angular and intensity distribution depends on size, shape, refractive properties and the measurement geometry. In a heterogeneous biological sample, several structures can contribute to the same pattern.</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instrument may record intensity against angle or a two-dimensional scattering pattern. Normalized descriptors are generally dimensionless; absolute intensity requires a calibrated optical response. Candidate questions concern whether a stable pattern can characterize a sample or flag a change that deserves further observation.</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Angular geometry, source stability, detector response and reference scattering objects.</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Vessel curvature, multiple scattering, sample concentration, alignment and stray reflections.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Controlled source-detector geometry, baffling and a reproducible sample presentation.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Pattern stability and useful discrimination after vessel and concentration effects are controlled.</w:t>
      </w:r>
    </w:p>
    <w:p>
      <w:pPr>
        <w:pStyle w:val="Heading3"/>
        <w:keepNext/>
        <w:keepLines/>
        <w:spacing w:before="240" w:after="120" w:line="269" w:lineRule="auto"/>
      </w:pPr>
      <w:r>
        <w:rPr>
          <w:color w:val="000000"/>
        </w:rPr>
        <w:t>Avoid one-to-one biological assumptions</w:t>
      </w:r>
    </w:p>
    <w:p>
      <w:pPr>
        <w:pStyle w:val="Normal"/>
        <w:spacing w:before="0" w:after="50" w:line="250" w:lineRule="auto"/>
        <w:rPr/>
      </w:pPr>
      <w:r>
        <w:rPr>
          <w:rFonts w:ascii="Calibri" w:hAnsi="Calibri"/>
          <w:color w:val="000000"/>
          <w:sz w:val="20"/>
        </w:rPr>
        <w:t>A scattering pattern is not uniquely determined by organism identity or susceptibility. Different combinations of shape, concentration and refractive properties can produce similar observations. A learned classifier may exploit stable laboratory artifacts rather than the desired biological variation.</w:t>
      </w:r>
    </w:p>
    <w:p>
      <w:pPr>
        <w:pStyle w:val="Normal"/>
        <w:spacing w:before="0" w:after="50" w:line="250" w:lineRule="auto"/>
        <w:rPr/>
      </w:pPr>
      <w:r>
        <w:rPr>
          <w:rFonts w:ascii="Calibri" w:hAnsi="Calibri"/>
          <w:color w:val="000000"/>
          <w:sz w:val="20"/>
        </w:rPr>
        <w:t>The proposed evaluation should include repeated measurements after repositioning and across permitted sample containers. Where a biological inference is investigated, it should be compared with a suitable reference and tested outside the acquisition batches used for development. The initial role is research characterization; a direct clinical conclusion would require substantially more evidence than pattern separation on a small dataset.</w:t>
      </w:r>
    </w:p>
    <w:p>
      <w:pPr>
        <w:pStyle w:val="Heading3"/>
        <w:keepNext/>
        <w:keepLines/>
        <w:spacing w:before="240" w:after="120" w:line="269" w:lineRule="auto"/>
      </w:pPr>
      <w:r>
        <w:rPr>
          <w:color w:val="000000"/>
        </w:rPr>
        <w:t>S16 Nephelometric turbidity sensing</w:t>
      </w:r>
    </w:p>
    <w:p>
      <w:pPr>
        <w:pStyle w:val="Normal"/>
        <w:keepNext/>
        <w:spacing w:before="0" w:after="50" w:line="250" w:lineRule="auto"/>
        <w:rPr/>
      </w:pPr>
      <w:r>
        <w:rPr>
          <w:rFonts w:ascii="Calibri" w:hAnsi="Calibri"/>
          <w:b/>
          <w:color w:val="000000"/>
          <w:sz w:val="20"/>
        </w:rPr>
        <w:t>S16 · Preparation quality candidate · Nephelometric measurement</w:t>
      </w:r>
    </w:p>
    <w:p>
      <w:pPr>
        <w:pStyle w:val="Normal"/>
        <w:spacing w:before="0" w:after="50" w:line="250" w:lineRule="auto"/>
        <w:rPr/>
      </w:pPr>
      <w:r>
        <w:rPr>
          <w:rFonts w:ascii="Calibri" w:hAnsi="Calibri"/>
          <w:color w:val="000000"/>
          <w:sz w:val="20"/>
        </w:rPr>
        <w:t>Nephelometry measures light scattered by suspended material at a defined observation geometry. It can support a turbidity comparison used in inoculum preparation workflows. Its output depends on particle properties and instrument geometry, so it should not be treated as a universal cell counter.</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output may be an instrument response, a calibrated turbidity unit or a comparison with an applicable McFarland reference. The useful question is whether the preparation falls within the method’s permitted turbidity condition. A McFarland value and a viable count in CFU per millilitre are not interchangeable measurements.</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Appropriate turbidity references, vessel path, detector response and repeatability checks.</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Cell size, clumping, non-cell particles, bubbles, tube scratches and settling.</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Defined sample holder, optical geometry, cleanable surfaces and preparation-record linkage.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Reliable method-relevant comparison across the permitted sample and vessel range.</w:t>
      </w:r>
    </w:p>
    <w:p>
      <w:pPr>
        <w:pStyle w:val="Heading3"/>
        <w:keepNext/>
        <w:keepLines/>
        <w:spacing w:before="240" w:after="120" w:line="269" w:lineRule="auto"/>
      </w:pPr>
      <w:r>
        <w:rPr>
          <w:color w:val="000000"/>
        </w:rPr>
        <w:t>Keep preparation QC distinct from final AST</w:t>
      </w:r>
    </w:p>
    <w:p>
      <w:pPr>
        <w:pStyle w:val="Normal"/>
        <w:spacing w:before="0" w:after="50" w:line="250" w:lineRule="auto"/>
        <w:rPr/>
      </w:pPr>
      <w:r>
        <w:rPr>
          <w:rFonts w:ascii="Calibri" w:hAnsi="Calibri"/>
          <w:color w:val="000000"/>
          <w:sz w:val="20"/>
        </w:rPr>
        <w:t>A preparation check can reduce one source of assay variation, but it does not establish that the rest of the assay was performed correctly. The record should retain the turbidity observation, its reference basis and any action taken, rather than storing only a generic “QC passed” flag.</w:t>
      </w:r>
    </w:p>
    <w:p>
      <w:pPr>
        <w:pStyle w:val="Normal"/>
        <w:spacing w:before="0" w:after="50" w:line="250" w:lineRule="auto"/>
        <w:rPr/>
      </w:pPr>
      <w:r>
        <w:rPr>
          <w:rFonts w:ascii="Calibri" w:hAnsi="Calibri"/>
          <w:color w:val="000000"/>
          <w:sz w:val="20"/>
        </w:rPr>
        <w:t xml:space="preserve">An integrated nephelometric pathway is a proposed module. It should be evaluated independently and then as part of the selected laboratory workflow. If an organism or sample type produces an atypical optical relationship, the system should preserve the limitation rather than convert the response into an unsupported precise viable-cell concentration. </w:t>
      </w:r>
    </w:p>
    <w:p>
      <w:pPr>
        <w:pStyle w:val="Heading3"/>
        <w:keepNext/>
        <w:keepLines/>
        <w:spacing w:before="240" w:after="120" w:line="269" w:lineRule="auto"/>
      </w:pPr>
      <w:r>
        <w:rPr>
          <w:color w:val="000000"/>
        </w:rPr>
        <w:t>S17 Absorbance and optical density</w:t>
      </w:r>
    </w:p>
    <w:p>
      <w:pPr>
        <w:pStyle w:val="Normal"/>
        <w:keepNext/>
        <w:spacing w:before="0" w:after="50" w:line="250" w:lineRule="auto"/>
        <w:rPr/>
      </w:pPr>
      <w:r>
        <w:rPr>
          <w:rFonts w:ascii="Calibri" w:hAnsi="Calibri"/>
          <w:b/>
          <w:color w:val="000000"/>
          <w:sz w:val="20"/>
        </w:rPr>
        <w:t>S17 · Biological observation candidate · Optical attenuation</w:t>
      </w:r>
    </w:p>
    <w:p>
      <w:pPr>
        <w:pStyle w:val="Normal"/>
        <w:spacing w:before="0" w:after="50" w:line="250" w:lineRule="auto"/>
        <w:rPr/>
      </w:pPr>
      <w:r>
        <w:rPr>
          <w:rFonts w:ascii="Calibri" w:hAnsi="Calibri"/>
          <w:color w:val="000000"/>
          <w:sz w:val="20"/>
        </w:rPr>
        <w:t>Absorbance-related measurements compare incident and transmitted light. A common expression is A = −log10(I/I0), where I is the sample signal and I0 is an appropriate reference. In microbial suspensions, scattering can contribute strongly, so an optical-density reading is not necessarily a pure molecular absorbance measurement.</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output is dimensionless absorbance or optical density at a declared wavelength and path length. Candidate uses include tracking a reproducible optical change in a research assay or checking a preparation against a qualified reference range. Converting the reading into cell concentration requires a separate sample-specific relationship.</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Blank reference, optical path, detector linearity and response across the intended range.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Multiple scattering, coloured media, sedimentation, bubbles, path-length variation and stray light.</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Stable source and detector geometry, reproducible vessel positioning and reference management.</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Useful dynamic range and repeatability under the actual sample format.</w:t>
      </w:r>
    </w:p>
    <w:p>
      <w:pPr>
        <w:pStyle w:val="Heading3"/>
        <w:keepNext/>
        <w:keepLines/>
        <w:spacing w:before="240" w:after="120" w:line="269" w:lineRule="auto"/>
      </w:pPr>
      <w:r>
        <w:rPr>
          <w:color w:val="000000"/>
        </w:rPr>
        <w:t>Define the valid range</w:t>
      </w:r>
    </w:p>
    <w:p>
      <w:pPr>
        <w:pStyle w:val="Normal"/>
        <w:spacing w:before="0" w:after="50" w:line="250" w:lineRule="auto"/>
        <w:rPr/>
      </w:pPr>
      <w:r>
        <w:rPr>
          <w:rFonts w:ascii="Calibri" w:hAnsi="Calibri"/>
          <w:color w:val="000000"/>
          <w:sz w:val="20"/>
        </w:rPr>
        <w:t>At high attenuation, stray light and detector limits can distort the response. At low attenuation, reference noise can dominate. A growth curve should therefore identify observations outside the qualified range rather than treating every recorded number as equally informative.</w:t>
      </w:r>
    </w:p>
    <w:p>
      <w:pPr>
        <w:pStyle w:val="Normal"/>
        <w:spacing w:before="0" w:after="50" w:line="250" w:lineRule="auto"/>
        <w:rPr/>
      </w:pPr>
      <w:r>
        <w:rPr>
          <w:rFonts w:ascii="Calibri" w:hAnsi="Calibri"/>
          <w:color w:val="000000"/>
          <w:sz w:val="20"/>
        </w:rPr>
        <w:t>This candidate is most naturally associated with a defined liquid or optical-path assay. Its interpretation should not be imported into whole-plate imaging without evidence. The platform should preserve wavelength, path and preprocessing metadata so that researchers can distinguish biological trends from differences in optical configuration.</w:t>
      </w:r>
    </w:p>
    <w:p>
      <w:pPr>
        <w:pStyle w:val="Heading3"/>
        <w:keepNext/>
        <w:keepLines/>
        <w:spacing w:before="240" w:after="120" w:line="269" w:lineRule="auto"/>
      </w:pPr>
      <w:r>
        <w:rPr>
          <w:color w:val="000000"/>
        </w:rPr>
        <w:t>S18 Thermal infrared radiometry</w:t>
      </w:r>
    </w:p>
    <w:p>
      <w:pPr>
        <w:pStyle w:val="Normal"/>
        <w:keepNext/>
        <w:spacing w:before="0" w:after="50" w:line="250" w:lineRule="auto"/>
        <w:rPr/>
      </w:pPr>
      <w:r>
        <w:rPr>
          <w:rFonts w:ascii="Calibri" w:hAnsi="Calibri"/>
          <w:b/>
          <w:color w:val="000000"/>
          <w:sz w:val="20"/>
        </w:rPr>
        <w:t>S18 · Environmental and research candidate · Surface radiometry</w:t>
      </w:r>
    </w:p>
    <w:p>
      <w:pPr>
        <w:pStyle w:val="Normal"/>
        <w:spacing w:before="0" w:after="50" w:line="250" w:lineRule="auto"/>
        <w:rPr/>
      </w:pPr>
      <w:r>
        <w:rPr>
          <w:rFonts w:ascii="Calibri" w:hAnsi="Calibri"/>
          <w:color w:val="000000"/>
          <w:sz w:val="20"/>
        </w:rPr>
        <w:t>Thermal infrared radiometry estimates temperature-related information from emitted radiation. The estimate depends on emissivity, reflected background radiation, optical transmission and the detector calibration. A thermal camera observes an accessible radiating surface; it does not automatically measure the temperature of material hidden beneath a lid.</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Raw signals are detector responses, while calibrated outputs may be radiance or apparent surface temperature in degrees Celsius or kelvin. Candidate questions include whether there are spatial thermal gradients, whether an assembly is heating unevenly or whether a process has departed from its qualified conditions.</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Traceable temperature reference, emissivity assumptions, optical path and spatial response.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Reflections, changing emissivity, vessel transmission, viewing angle and ambient background.</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Appropriate infrared optics, unobstructed view and comparison with contact references.</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Surface-temperature information that cannot be obtained adequately with simpler placed sensors.</w:t>
      </w:r>
    </w:p>
    <w:p>
      <w:pPr>
        <w:pStyle w:val="Heading3"/>
        <w:keepNext/>
        <w:keepLines/>
        <w:spacing w:before="240" w:after="120" w:line="269" w:lineRule="auto"/>
      </w:pPr>
      <w:r>
        <w:rPr>
          <w:color w:val="000000"/>
        </w:rPr>
        <w:t>Do not confuse thermal structure with metabolic heat</w:t>
      </w:r>
    </w:p>
    <w:p>
      <w:pPr>
        <w:pStyle w:val="Normal"/>
        <w:spacing w:before="0" w:after="50" w:line="250" w:lineRule="auto"/>
        <w:rPr/>
      </w:pPr>
      <w:r>
        <w:rPr>
          <w:rFonts w:ascii="Calibri" w:hAnsi="Calibri"/>
          <w:color w:val="000000"/>
          <w:sz w:val="20"/>
        </w:rPr>
        <w:t>A warmer region can result from lighting, airflow or electronics. Demonstrating a biological heat signal requires a much more controlled heat-flow measurement than observing apparent surface temperature. The instrument should not label a thermal image a biomass or susceptibility map without an independently validated relationship.</w:t>
      </w:r>
    </w:p>
    <w:p>
      <w:pPr>
        <w:pStyle w:val="Normal"/>
        <w:spacing w:before="0" w:after="50" w:line="250" w:lineRule="auto"/>
        <w:rPr/>
      </w:pPr>
      <w:r>
        <w:rPr>
          <w:rFonts w:ascii="Calibri" w:hAnsi="Calibri"/>
          <w:color w:val="000000"/>
          <w:sz w:val="20"/>
        </w:rPr>
        <w:t>The proposed initial use is engineering characterization and environmental research. A thermal observation can help locate a fault or gradient, but its relationship to the plate’s relevant internal conditions must be tested. The uncertainty and emissivity assumptions should remain available to anyone interpreting the image.</w:t>
      </w:r>
    </w:p>
    <w:p>
      <w:pPr>
        <w:pStyle w:val="Heading3"/>
        <w:keepNext/>
        <w:keepLines/>
        <w:spacing w:before="240" w:after="120" w:line="269" w:lineRule="auto"/>
      </w:pPr>
      <w:r>
        <w:rPr>
          <w:color w:val="000000"/>
        </w:rPr>
        <w:t>S19 Microcalorimetry</w:t>
      </w:r>
    </w:p>
    <w:p>
      <w:pPr>
        <w:pStyle w:val="Normal"/>
        <w:keepNext/>
        <w:spacing w:before="0" w:after="50" w:line="250" w:lineRule="auto"/>
        <w:rPr/>
      </w:pPr>
      <w:r>
        <w:rPr>
          <w:rFonts w:ascii="Calibri" w:hAnsi="Calibri"/>
          <w:b/>
          <w:color w:val="000000"/>
          <w:sz w:val="20"/>
        </w:rPr>
        <w:t>S19 · Biological observation candidate · Heat-flow research</w:t>
      </w:r>
    </w:p>
    <w:p>
      <w:pPr>
        <w:pStyle w:val="Normal"/>
        <w:spacing w:before="0" w:after="50" w:line="250" w:lineRule="auto"/>
        <w:rPr/>
      </w:pPr>
      <w:r>
        <w:rPr>
          <w:rFonts w:ascii="Calibri" w:hAnsi="Calibri"/>
          <w:color w:val="000000"/>
          <w:sz w:val="20"/>
        </w:rPr>
        <w:t>Microcalorimetry measures small heat flows associated with physical, chemical or biological processes. In a controlled assay, changes in heat production can provide a time-resolved signal. The measured heat is the sum of relevant processes in the measurement volume and is not inherently specific to microbial growth.</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 xml:space="preserve">The primary output is thermal power, typically expressed in watts at an appropriate scale, and its time integral is energy in joules. Published work has investigated isothermal microcalorimetry for antimicrobial susceptibility research in defined sample contexts. </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Electrical or other suitable heat reference, baseline stability and thermal response time.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Environmental drift, equilibration, chemical reactions, vessel differences and changing heat transfer.</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Strong thermal control, sensitive differential measurement and a carefully defined sample interface.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reproducible assay signal with acceptable detection time and baseline uncertainty.</w:t>
      </w:r>
    </w:p>
    <w:p>
      <w:pPr>
        <w:pStyle w:val="Heading3"/>
        <w:keepNext/>
        <w:keepLines/>
        <w:spacing w:before="240" w:after="120" w:line="269" w:lineRule="auto"/>
      </w:pPr>
      <w:r>
        <w:rPr>
          <w:color w:val="000000"/>
        </w:rPr>
        <w:t>Preserve the distinction from temperature sensing</w:t>
      </w:r>
    </w:p>
    <w:p>
      <w:pPr>
        <w:pStyle w:val="Normal"/>
        <w:spacing w:before="0" w:after="50" w:line="250" w:lineRule="auto"/>
        <w:rPr/>
      </w:pPr>
      <w:r>
        <w:rPr>
          <w:rFonts w:ascii="Calibri" w:hAnsi="Calibri"/>
          <w:color w:val="000000"/>
          <w:sz w:val="20"/>
        </w:rPr>
        <w:t>A temperature sensor measures a local thermal state. A calorimeter estimates heat flow through a calibrated thermal relationship. Adding several temperature sensors does not automatically create a qualified calorimeter.</w:t>
      </w:r>
    </w:p>
    <w:p>
      <w:pPr>
        <w:pStyle w:val="Normal"/>
        <w:spacing w:before="0" w:after="50" w:line="250" w:lineRule="auto"/>
        <w:rPr/>
      </w:pPr>
      <w:r>
        <w:rPr>
          <w:rFonts w:ascii="Calibri" w:hAnsi="Calibri"/>
          <w:color w:val="000000"/>
          <w:sz w:val="20"/>
        </w:rPr>
        <w:t>This candidate belongs to a dedicated research instrument or assay track. The first evaluation should establish baseline and response behaviour before asking a biological question. Any future susceptibility result would require a method-specific interpretation and comparison with a suitable reference. The cumulative heat curve should remain linked to its raw baseline, model assumptions and actual observation intervals, particularly when a run is interrupted.</w:t>
      </w:r>
    </w:p>
    <w:p>
      <w:pPr>
        <w:pStyle w:val="Heading3"/>
        <w:keepNext/>
        <w:keepLines/>
        <w:spacing w:before="240" w:after="120" w:line="269" w:lineRule="auto"/>
      </w:pPr>
      <w:r>
        <w:rPr>
          <w:color w:val="000000"/>
        </w:rPr>
        <w:t>S20 Electrical impedance spectroscopy</w:t>
      </w:r>
    </w:p>
    <w:p>
      <w:pPr>
        <w:pStyle w:val="Normal"/>
        <w:keepNext/>
        <w:spacing w:before="0" w:after="50" w:line="250" w:lineRule="auto"/>
        <w:rPr/>
      </w:pPr>
      <w:r>
        <w:rPr>
          <w:rFonts w:ascii="Calibri" w:hAnsi="Calibri"/>
          <w:b/>
          <w:color w:val="000000"/>
          <w:sz w:val="20"/>
        </w:rPr>
        <w:t>S20 · Biological observation candidate · Frequency-dependent electrical response</w:t>
      </w:r>
    </w:p>
    <w:p>
      <w:pPr>
        <w:pStyle w:val="Normal"/>
        <w:spacing w:before="0" w:after="50" w:line="250" w:lineRule="auto"/>
        <w:rPr/>
      </w:pPr>
      <w:r>
        <w:rPr>
          <w:rFonts w:ascii="Calibri" w:hAnsi="Calibri"/>
          <w:color w:val="000000"/>
          <w:sz w:val="20"/>
        </w:rPr>
        <w:t>Electrical impedance spectroscopy measures the relationship between an applied alternating signal and the resulting electrical response across frequency. Resistance, capacitance and interfacial effects can contribute to the complex impedance. In biological systems, the measured response may involve cells, medium, electrodes and geometry simultaneously.</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 xml:space="preserve">Outputs include impedance magnitude in ohms, phase in degrees or radians, and fitted model parameters. Published AST research has used several electrical measurement formats with different response mechanisms and timing constraints. Their results should be interpreted within those specific assays.   </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Open, short and suitable reference loads; frequency response; electrode and geometry characterization.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Medium conductivity, temperature, electrode polarization, fouling, bubbles and contact variation.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Analog front end, controlled electrodes or microfluidics, shielding and electrical sample compatibility.</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stable signal linked to the intended response beyond medium and electrode changes.</w:t>
      </w:r>
    </w:p>
    <w:p>
      <w:pPr>
        <w:pStyle w:val="Heading3"/>
        <w:keepNext/>
        <w:keepLines/>
        <w:spacing w:before="240" w:after="120" w:line="269" w:lineRule="auto"/>
      </w:pPr>
      <w:r>
        <w:rPr>
          <w:color w:val="000000"/>
        </w:rPr>
        <w:t>Explain the fitted circuit</w:t>
      </w:r>
    </w:p>
    <w:p>
      <w:pPr>
        <w:pStyle w:val="Normal"/>
        <w:spacing w:before="0" w:after="50" w:line="250" w:lineRule="auto"/>
        <w:rPr/>
      </w:pPr>
      <w:r>
        <w:rPr>
          <w:rFonts w:ascii="Calibri" w:hAnsi="Calibri"/>
          <w:color w:val="000000"/>
          <w:sz w:val="20"/>
        </w:rPr>
        <w:t>Equivalent-circuit parameters are model-based estimates. Different circuits may fit similar data, so a numerical fit should not be assigned a biological meaning without supporting evidence. Retain the measured spectrum, fitting range, residuals and parameter uncertainty.</w:t>
      </w:r>
    </w:p>
    <w:p>
      <w:pPr>
        <w:pStyle w:val="Normal"/>
        <w:spacing w:before="0" w:after="50" w:line="250" w:lineRule="auto"/>
        <w:rPr/>
      </w:pPr>
      <w:r>
        <w:rPr>
          <w:rFonts w:ascii="Calibri" w:hAnsi="Calibri"/>
          <w:color w:val="000000"/>
          <w:sz w:val="20"/>
        </w:rPr>
        <w:t>This is a separate assay research pathway rather than an automatic add-on to endpoint plate reading. Evaluation should compare the electrical result with an appropriate reference and assess whether the relevant antimicrobial mechanism produces a measurable response within the proposed window. Short electrical acquisition time alone is not total time to a reportable result.</w:t>
      </w:r>
    </w:p>
    <w:p>
      <w:pPr>
        <w:pStyle w:val="Heading3"/>
        <w:keepNext/>
        <w:keepLines/>
        <w:spacing w:before="240" w:after="120" w:line="269" w:lineRule="auto"/>
      </w:pPr>
      <w:r>
        <w:rPr>
          <w:color w:val="000000"/>
        </w:rPr>
        <w:t>S21 Electrochemical pH sensing</w:t>
      </w:r>
    </w:p>
    <w:p>
      <w:pPr>
        <w:pStyle w:val="Normal"/>
        <w:keepNext/>
        <w:spacing w:before="0" w:after="50" w:line="250" w:lineRule="auto"/>
        <w:rPr/>
      </w:pPr>
      <w:r>
        <w:rPr>
          <w:rFonts w:ascii="Calibri" w:hAnsi="Calibri"/>
          <w:b/>
          <w:color w:val="000000"/>
          <w:sz w:val="20"/>
        </w:rPr>
        <w:t>S21 · Chemical observation candidate · Electrochemical measurement</w:t>
      </w:r>
    </w:p>
    <w:p>
      <w:pPr>
        <w:pStyle w:val="Normal"/>
        <w:spacing w:before="0" w:after="50" w:line="250" w:lineRule="auto"/>
        <w:rPr/>
      </w:pPr>
      <w:r>
        <w:rPr>
          <w:rFonts w:ascii="Calibri" w:hAnsi="Calibri"/>
          <w:color w:val="000000"/>
          <w:sz w:val="20"/>
        </w:rPr>
        <w:t>Electrochemical pH sensing estimates hydrogen-ion activity through an electrode system and a reference potential. The response depends on temperature and on the condition of the sensing and reference interfaces. pH is logarithmic and dimensionless; it is not a direct measure of acid concentration in every sample.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instrument records an electrical potential, typically in millivolts, and converts it to pH using a qualified calibration. Candidate uses include monitoring a defined liquid research environment or identifying a chemical change that may affect an assay. The measured location must be explicit because a local probe does not describe every region of a plate.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Appropriate reference buffers, temperature record, response slope and offset.</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Reference-junction effects, fouling, ionic composition, temperature, drift and slow equilibration.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Sample contact, cleaning or disposable interfaces, stable reference and electrical isolation.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Reliable local chemical information that matters to the chosen assay or control question.</w:t>
      </w:r>
    </w:p>
    <w:p>
      <w:pPr>
        <w:pStyle w:val="Heading3"/>
        <w:keepNext/>
        <w:keepLines/>
        <w:spacing w:before="240" w:after="120" w:line="269" w:lineRule="auto"/>
      </w:pPr>
      <w:r>
        <w:rPr>
          <w:color w:val="000000"/>
        </w:rPr>
        <w:t>Interpretation boundary</w:t>
      </w:r>
    </w:p>
    <w:p>
      <w:pPr>
        <w:pStyle w:val="Normal"/>
        <w:spacing w:before="0" w:after="50" w:line="250" w:lineRule="auto"/>
        <w:rPr/>
      </w:pPr>
      <w:r>
        <w:rPr>
          <w:rFonts w:ascii="Calibri" w:hAnsi="Calibri"/>
          <w:color w:val="000000"/>
          <w:sz w:val="20"/>
        </w:rPr>
        <w:t>A pH change can have biological or non-biological causes. Buffer capacity, gas exchange and chemical reactions can alter the relationship between biological activity and the observed value. The system should not label a pH trend as a growth rate or susceptibility result without an independently established model.</w:t>
      </w:r>
    </w:p>
    <w:p>
      <w:pPr>
        <w:pStyle w:val="Normal"/>
        <w:spacing w:before="0" w:after="50" w:line="250" w:lineRule="auto"/>
        <w:rPr/>
      </w:pPr>
      <w:r>
        <w:rPr>
          <w:rFonts w:ascii="Calibri" w:hAnsi="Calibri"/>
          <w:color w:val="000000"/>
          <w:sz w:val="20"/>
        </w:rPr>
        <w:t>This candidate is most suitable for a dedicated research or environmental-monitoring module. Qualification should separate electrode performance from the biological hypothesis. Original voltage, temperature, calibration and derived pH should remain linked so that an investigator can evaluate whether a trend reflects the sample or a changing electrode response.</w:t>
      </w:r>
    </w:p>
    <w:p>
      <w:pPr>
        <w:pStyle w:val="Heading3"/>
        <w:keepNext/>
        <w:keepLines/>
        <w:spacing w:before="240" w:after="120" w:line="269" w:lineRule="auto"/>
      </w:pPr>
      <w:r>
        <w:rPr>
          <w:color w:val="000000"/>
        </w:rPr>
        <w:t>S22 Optical dissolved oxygen sensing</w:t>
      </w:r>
    </w:p>
    <w:p>
      <w:pPr>
        <w:pStyle w:val="Normal"/>
        <w:keepNext/>
        <w:spacing w:before="0" w:after="50" w:line="250" w:lineRule="auto"/>
        <w:rPr/>
      </w:pPr>
      <w:r>
        <w:rPr>
          <w:rFonts w:ascii="Calibri" w:hAnsi="Calibri"/>
          <w:b/>
          <w:color w:val="000000"/>
          <w:sz w:val="20"/>
        </w:rPr>
        <w:t>S22 · Chemical and environmental candidate · Optical oxygen measurement</w:t>
      </w:r>
    </w:p>
    <w:p>
      <w:pPr>
        <w:pStyle w:val="Normal"/>
        <w:spacing w:before="0" w:after="50" w:line="250" w:lineRule="auto"/>
        <w:rPr/>
      </w:pPr>
      <w:r>
        <w:rPr>
          <w:rFonts w:ascii="Calibri" w:hAnsi="Calibri"/>
          <w:color w:val="000000"/>
          <w:sz w:val="20"/>
        </w:rPr>
        <w:t>Optical dissolved-oxygen sensing commonly uses oxygen-dependent quenching of a luminescent indicator. The instrument measures intensity or temporal behaviour and converts it through a calibrated relationship. The sensing element observes its local environment and can respond differently as temperature and the surrounding matrix change.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Outputs may include luminescence phase or lifetime and derived oxygen partial pressure, concentration or percentage saturation. These quantities should not be interchanged without the required conditions and conversion model. Candidate questions include whether a defined research environment remains within its intended oxygen state.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Suitable oxygen references, temperature compensation and indicator-response characterization.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Temperature, salinity or matrix effects, indicator ageing, optical background and diffusion lag.</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Compatible sensing spot or probe, optical access, sample-contact assessment and local-position records.</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useful local oxygen measurement with an understood response time and maintenance burden.</w:t>
      </w:r>
    </w:p>
    <w:p>
      <w:pPr>
        <w:pStyle w:val="Heading3"/>
        <w:keepNext/>
        <w:keepLines/>
        <w:spacing w:before="240" w:after="120" w:line="269" w:lineRule="auto"/>
      </w:pPr>
      <w:r>
        <w:rPr>
          <w:color w:val="000000"/>
        </w:rPr>
        <w:t>Link the signal to its location</w:t>
      </w:r>
    </w:p>
    <w:p>
      <w:pPr>
        <w:pStyle w:val="Normal"/>
        <w:spacing w:before="0" w:after="50" w:line="250" w:lineRule="auto"/>
        <w:rPr/>
      </w:pPr>
      <w:r>
        <w:rPr>
          <w:rFonts w:ascii="Calibri" w:hAnsi="Calibri"/>
          <w:color w:val="000000"/>
          <w:sz w:val="20"/>
        </w:rPr>
        <w:t>An oxygen reading near a surface may differ from conditions deeper in a sample. A declining value can reflect transfer limitations as well as consumption. The research model should therefore state the sampled volume or location and distinguish observation from inferred bulk behaviour.</w:t>
      </w:r>
    </w:p>
    <w:p>
      <w:pPr>
        <w:pStyle w:val="Normal"/>
        <w:spacing w:before="0" w:after="50" w:line="250" w:lineRule="auto"/>
        <w:rPr/>
      </w:pPr>
      <w:r>
        <w:rPr>
          <w:rFonts w:ascii="Calibri" w:hAnsi="Calibri"/>
          <w:color w:val="000000"/>
          <w:sz w:val="20"/>
        </w:rPr>
        <w:t>This is a proposed monitoring and research channel. It does not independently establish organism identity or antimicrobial susceptibility. If used in fusion, its time constant and measurement interval should accompany the value so that it is not treated as an instantaneous observation synchronized perfectly with a camera exposure.</w:t>
      </w:r>
    </w:p>
    <w:p>
      <w:pPr>
        <w:pStyle w:val="Heading3"/>
        <w:keepNext/>
        <w:keepLines/>
        <w:spacing w:before="240" w:after="120" w:line="269" w:lineRule="auto"/>
      </w:pPr>
      <w:r>
        <w:rPr>
          <w:color w:val="000000"/>
        </w:rPr>
        <w:t>S23 Electrochemical redox potential</w:t>
      </w:r>
    </w:p>
    <w:p>
      <w:pPr>
        <w:pStyle w:val="Normal"/>
        <w:keepNext/>
        <w:spacing w:before="0" w:after="50" w:line="250" w:lineRule="auto"/>
        <w:rPr/>
      </w:pPr>
      <w:r>
        <w:rPr>
          <w:rFonts w:ascii="Calibri" w:hAnsi="Calibri"/>
          <w:b/>
          <w:color w:val="000000"/>
          <w:sz w:val="20"/>
        </w:rPr>
        <w:t>S23 · Chemical observation candidate · Redox environment</w:t>
      </w:r>
    </w:p>
    <w:p>
      <w:pPr>
        <w:pStyle w:val="Normal"/>
        <w:spacing w:before="0" w:after="50" w:line="250" w:lineRule="auto"/>
        <w:rPr/>
      </w:pPr>
      <w:r>
        <w:rPr>
          <w:rFonts w:ascii="Calibri" w:hAnsi="Calibri"/>
          <w:color w:val="000000"/>
          <w:sz w:val="20"/>
        </w:rPr>
        <w:t>Oxidation-reduction potential measures an electrical potential associated with the combined electrochemical environment at a sensing electrode relative to a reference. In complex media, the value can reflect several redox couples and surface processes. It is not generally a selective measurement of one molecule or pathway.</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quantity is potential in millivolts, with the reference electrode and temperature identified. A candidate use is monitoring whether a defined research environment changes in a way that merits further investigation or affects assay comparability.</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Suitable reference solutions, reference-electrode identity and response stability checks.</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Electrode fouling, dissolved gases, medium chemistry, reference drift and slow stabilization.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Contact electrode, cleanable or disposable interface and high-input-impedance measurement circuitry.</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Reproducible environmental information with a defensible relationship to the selected research question.</w:t>
      </w:r>
    </w:p>
    <w:p>
      <w:pPr>
        <w:pStyle w:val="Heading3"/>
        <w:keepNext/>
        <w:keepLines/>
        <w:spacing w:before="240" w:after="120" w:line="269" w:lineRule="auto"/>
      </w:pPr>
      <w:r>
        <w:rPr>
          <w:color w:val="000000"/>
        </w:rPr>
        <w:t>Avoid mechanistic overreach</w:t>
      </w:r>
    </w:p>
    <w:p>
      <w:pPr>
        <w:pStyle w:val="Normal"/>
        <w:spacing w:before="0" w:after="50" w:line="250" w:lineRule="auto"/>
        <w:rPr/>
      </w:pPr>
      <w:r>
        <w:rPr>
          <w:rFonts w:ascii="Calibri" w:hAnsi="Calibri"/>
          <w:color w:val="000000"/>
          <w:sz w:val="20"/>
        </w:rPr>
        <w:t>Two samples can have similar redox potentials while differing substantially in composition or biological state. Conversely, an electrode-surface change can produce a shift without a meaningful change in the bulk sample. A model should therefore not translate the potential directly into a metabolic identity or a resistance mechanism.</w:t>
      </w:r>
    </w:p>
    <w:p>
      <w:pPr>
        <w:pStyle w:val="Normal"/>
        <w:spacing w:before="0" w:after="50" w:line="250" w:lineRule="auto"/>
        <w:rPr/>
      </w:pPr>
      <w:r>
        <w:rPr>
          <w:rFonts w:ascii="Calibri" w:hAnsi="Calibri"/>
          <w:color w:val="000000"/>
          <w:sz w:val="20"/>
        </w:rPr>
        <w:t>The proposed evaluation should document baseline drift, response time and effects of the permitted medium range. If the channel is used as a quality indicator, define the condition it is intended to detect and the consequence of a missed or false alarm. Its strongest initial role may be contextual monitoring rather than a primary biological inference.</w:t>
      </w:r>
    </w:p>
    <w:p>
      <w:pPr>
        <w:pStyle w:val="Heading3"/>
        <w:keepNext/>
        <w:keepLines/>
        <w:spacing w:before="240" w:after="120" w:line="269" w:lineRule="auto"/>
      </w:pPr>
      <w:r>
        <w:rPr>
          <w:color w:val="000000"/>
        </w:rPr>
        <w:t>S24 Capacitive dielectric sensing</w:t>
      </w:r>
    </w:p>
    <w:p>
      <w:pPr>
        <w:pStyle w:val="Normal"/>
        <w:keepNext/>
        <w:spacing w:before="0" w:after="50" w:line="250" w:lineRule="auto"/>
        <w:rPr/>
      </w:pPr>
      <w:r>
        <w:rPr>
          <w:rFonts w:ascii="Calibri" w:hAnsi="Calibri"/>
          <w:b/>
          <w:color w:val="000000"/>
          <w:sz w:val="20"/>
        </w:rPr>
        <w:t>S24 · Physical observation candidate · Dielectric response</w:t>
      </w:r>
    </w:p>
    <w:p>
      <w:pPr>
        <w:pStyle w:val="Normal"/>
        <w:spacing w:before="0" w:after="50" w:line="250" w:lineRule="auto"/>
        <w:rPr/>
      </w:pPr>
      <w:r>
        <w:rPr>
          <w:rFonts w:ascii="Calibri" w:hAnsi="Calibri"/>
          <w:color w:val="000000"/>
          <w:sz w:val="20"/>
        </w:rPr>
        <w:t>Capacitive dielectric sensing measures how an electric field interacts with the materials between or near electrodes. The response depends on permittivity, geometry, frequency and losses. Water content and container position can strongly influence a biological sample measurement.</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Candidate outputs include capacitance in farads at an appropriate scale, conductance and derived dielectric descriptors. Potential uses include detecting presence, monitoring a reproducible physical change or investigating whether a sample’s electrical properties contain useful research information.</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Reference capacitors or materials, electrode geometry, frequency response and shielding.</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Humidity, temperature, vessel wall thickness, position, parasitic capacitance and sample conductivity.</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Stable electrodes, guarded circuitry, mechanical repeatability and a clear contact or non-contact interface.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Signal changes that remain interpretable after geometry and environmental effects are controlled.</w:t>
      </w:r>
    </w:p>
    <w:p>
      <w:pPr>
        <w:pStyle w:val="Heading3"/>
        <w:keepNext/>
        <w:keepLines/>
        <w:spacing w:before="240" w:after="120" w:line="269" w:lineRule="auto"/>
      </w:pPr>
      <w:r>
        <w:rPr>
          <w:color w:val="000000"/>
        </w:rPr>
        <w:t>Separate presence from biology</w:t>
      </w:r>
    </w:p>
    <w:p>
      <w:pPr>
        <w:pStyle w:val="Normal"/>
        <w:spacing w:before="0" w:after="50" w:line="250" w:lineRule="auto"/>
        <w:rPr/>
      </w:pPr>
      <w:r>
        <w:rPr>
          <w:rFonts w:ascii="Calibri" w:hAnsi="Calibri"/>
          <w:color w:val="000000"/>
          <w:sz w:val="20"/>
        </w:rPr>
        <w:t>A reliable detector of a plate or liquid level can be useful even if it provides no biological information. That engineering function should be evaluated independently from a proposed growth or composition inference. Counting the same channel as both a presence check and a biological sensor does not create two independent measurements.</w:t>
      </w:r>
    </w:p>
    <w:p>
      <w:pPr>
        <w:pStyle w:val="Normal"/>
        <w:spacing w:before="0" w:after="50" w:line="250" w:lineRule="auto"/>
        <w:rPr/>
      </w:pPr>
      <w:r>
        <w:rPr>
          <w:rFonts w:ascii="Calibri" w:hAnsi="Calibri"/>
          <w:color w:val="000000"/>
          <w:sz w:val="20"/>
        </w:rPr>
        <w:t>This candidate requires a carefully defined operating geometry. Qualification should determine how much signal change is caused by normal placement variation before attributing a similar change to the sample. Where a derived dielectric feature is used in AI, the original measurement settings and quality state should remain available for review and reanalysis.</w:t>
      </w:r>
    </w:p>
    <w:p>
      <w:pPr>
        <w:pStyle w:val="Heading3"/>
        <w:keepNext/>
        <w:keepLines/>
        <w:spacing w:before="240" w:after="120" w:line="269" w:lineRule="auto"/>
      </w:pPr>
      <w:r>
        <w:rPr>
          <w:color w:val="000000"/>
        </w:rPr>
        <w:t>S25 Metal oxide gas sensing</w:t>
      </w:r>
    </w:p>
    <w:p>
      <w:pPr>
        <w:pStyle w:val="Normal"/>
        <w:keepNext/>
        <w:spacing w:before="0" w:after="50" w:line="250" w:lineRule="auto"/>
        <w:rPr/>
      </w:pPr>
      <w:r>
        <w:rPr>
          <w:rFonts w:ascii="Calibri" w:hAnsi="Calibri"/>
          <w:b/>
          <w:color w:val="000000"/>
          <w:sz w:val="20"/>
        </w:rPr>
        <w:t>S25 · Chemical observation candidate · Broad gas-response research</w:t>
      </w:r>
    </w:p>
    <w:p>
      <w:pPr>
        <w:pStyle w:val="Normal"/>
        <w:spacing w:before="0" w:after="50" w:line="250" w:lineRule="auto"/>
        <w:rPr/>
      </w:pPr>
      <w:r>
        <w:rPr>
          <w:rFonts w:ascii="Calibri" w:hAnsi="Calibri"/>
          <w:color w:val="000000"/>
          <w:sz w:val="20"/>
        </w:rPr>
        <w:t xml:space="preserve">Metal-oxide gas sensors change electrical resistance in response to interactions at a heated sensing surface. Their response can depend on several gases, humidity, temperature, exposure history and the heater programme. A broad gas-response pattern is not a species-specific chemical analysis. Manufacturer documentation supports the underlying gas-sensing capability, not a microbial diagnostic claim.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output is resistance or conductance with associated operating conditions. A derived feature may summarize a response over time. The research question is whether controlled headspace observations add reproducible information after medium, cleaning agents and environmental conditions are accounted for.</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Defined reference exposures, baseline history, environmental compensation and sensor-to-sensor comparison.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Humidity, medium volatiles, carryover, cleaning chemicals, ageing and mixed gas responses.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Controlled sampling path, exposure timing, recovery management and separation from electronics heat.</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Transferable information beyond environmental or batch identity, with manageable drift.</w:t>
      </w:r>
    </w:p>
    <w:p>
      <w:pPr>
        <w:pStyle w:val="Heading3"/>
        <w:keepNext/>
        <w:keepLines/>
        <w:spacing w:before="240" w:after="120" w:line="269" w:lineRule="auto"/>
      </w:pPr>
      <w:r>
        <w:rPr>
          <w:color w:val="000000"/>
        </w:rPr>
        <w:t>Bound the “AI nose” concept</w:t>
      </w:r>
    </w:p>
    <w:p>
      <w:pPr>
        <w:pStyle w:val="Normal"/>
        <w:spacing w:before="0" w:after="50" w:line="250" w:lineRule="auto"/>
        <w:rPr/>
      </w:pPr>
      <w:r>
        <w:rPr>
          <w:rFonts w:ascii="Calibri" w:hAnsi="Calibri"/>
          <w:color w:val="000000"/>
          <w:sz w:val="20"/>
        </w:rPr>
        <w:t>The informal phrase describes pattern analysis of gas responses. It should not imply a measured resistance gene, a unique pathogen identity or a validated AST result. Several sensors exposed to the same uncontrolled headspace can agree for the same wrong reason.</w:t>
      </w:r>
    </w:p>
    <w:p>
      <w:pPr>
        <w:pStyle w:val="Normal"/>
        <w:spacing w:before="0" w:after="50" w:line="250" w:lineRule="auto"/>
        <w:rPr/>
      </w:pPr>
      <w:r>
        <w:rPr>
          <w:rFonts w:ascii="Calibri" w:hAnsi="Calibri"/>
          <w:color w:val="000000"/>
          <w:sz w:val="20"/>
        </w:rPr>
        <w:t>This is a research-only biological inference candidate. A useful development outcome might instead be detection of an instrument contamination event or a changed sampling condition. The intended function should be selected from evidence rather than inferred from the sensor’s ability to produce a complex response curve.</w:t>
      </w:r>
    </w:p>
    <w:p>
      <w:pPr>
        <w:pStyle w:val="Heading3"/>
        <w:keepNext/>
        <w:keepLines/>
        <w:spacing w:before="240" w:after="120" w:line="269" w:lineRule="auto"/>
      </w:pPr>
      <w:r>
        <w:rPr>
          <w:color w:val="000000"/>
        </w:rPr>
        <w:t>S26 Photoacoustic gas spectroscopy</w:t>
      </w:r>
    </w:p>
    <w:p>
      <w:pPr>
        <w:pStyle w:val="Normal"/>
        <w:keepNext/>
        <w:spacing w:before="0" w:after="50" w:line="250" w:lineRule="auto"/>
        <w:rPr/>
      </w:pPr>
      <w:r>
        <w:rPr>
          <w:rFonts w:ascii="Calibri" w:hAnsi="Calibri"/>
          <w:b/>
          <w:color w:val="000000"/>
          <w:sz w:val="20"/>
        </w:rPr>
        <w:t>S26 · Chemical observation candidate · Photoacoustic gas measurement</w:t>
      </w:r>
    </w:p>
    <w:p>
      <w:pPr>
        <w:pStyle w:val="Normal"/>
        <w:spacing w:before="0" w:after="50" w:line="250" w:lineRule="auto"/>
        <w:rPr/>
      </w:pPr>
      <w:r>
        <w:rPr>
          <w:rFonts w:ascii="Calibri" w:hAnsi="Calibri"/>
          <w:color w:val="000000"/>
          <w:sz w:val="20"/>
        </w:rPr>
        <w:t>Photoacoustic spectroscopy converts absorbed, modulated optical energy into a pressure-related acoustic signal. With a suitable wavelength and measurement cell, the response can support gas analysis. Selectivity depends on the optical absorption being addressed, the gas mixture and the instrument model.</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signal is an acoustic or pressure-related response, converted to a concentration or partial-pressure estimate through calibration. Candidate uses include monitoring a relevant gas in a controlled research environment where the measurement adds more specificity than a broad gas-response sensor.</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Reference gas mixtures, optical power, pressure, temperature and acoustic-cell response.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Overlapping absorption, water vapour, background acoustics, leaks and sampling-path memory.</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Modulated source, optical cell, acoustic detection, gas routing and environmental correction.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Required gas selectivity and sensitivity with a qualified sampling path.</w:t>
      </w:r>
    </w:p>
    <w:p>
      <w:pPr>
        <w:pStyle w:val="Heading3"/>
        <w:keepNext/>
        <w:keepLines/>
        <w:spacing w:before="240" w:after="120" w:line="269" w:lineRule="auto"/>
      </w:pPr>
      <w:r>
        <w:rPr>
          <w:color w:val="000000"/>
        </w:rPr>
        <w:t>Qualify the sampling chain</w:t>
      </w:r>
    </w:p>
    <w:p>
      <w:pPr>
        <w:pStyle w:val="Normal"/>
        <w:spacing w:before="0" w:after="50" w:line="250" w:lineRule="auto"/>
        <w:rPr/>
      </w:pPr>
      <w:r>
        <w:rPr>
          <w:rFonts w:ascii="Calibri" w:hAnsi="Calibri"/>
          <w:color w:val="000000"/>
          <w:sz w:val="20"/>
        </w:rPr>
        <w:t>A precise sensor cannot correct an unrepresentative gas sample. The record should identify where gas was sampled, the flow or diffusion arrangement and the response interval. A delayed signal should not be assigned to the current plate state without a model of that delay.</w:t>
      </w:r>
    </w:p>
    <w:p>
      <w:pPr>
        <w:pStyle w:val="Normal"/>
        <w:spacing w:before="0" w:after="50" w:line="250" w:lineRule="auto"/>
        <w:rPr/>
      </w:pPr>
      <w:r>
        <w:rPr>
          <w:rFonts w:ascii="Calibri" w:hAnsi="Calibri"/>
          <w:color w:val="000000"/>
          <w:sz w:val="20"/>
        </w:rPr>
        <w:t>This modality is a candidate for specialized monitoring or research instruments. Even a well-qualified gas concentration does not identify the biological source of that gas by itself. A biological interpretation requires an appropriate assay and controls that distinguish sample activity from medium, background and instrument contributions.</w:t>
      </w:r>
    </w:p>
    <w:p>
      <w:pPr>
        <w:pStyle w:val="Heading3"/>
        <w:keepNext/>
        <w:keepLines/>
        <w:spacing w:before="240" w:after="120" w:line="269" w:lineRule="auto"/>
      </w:pPr>
      <w:r>
        <w:rPr>
          <w:color w:val="000000"/>
        </w:rPr>
        <w:t>S27 Nondispersive infrared carbon dioxide sensing</w:t>
      </w:r>
    </w:p>
    <w:p>
      <w:pPr>
        <w:pStyle w:val="Normal"/>
        <w:keepNext/>
        <w:spacing w:before="0" w:after="50" w:line="250" w:lineRule="auto"/>
        <w:rPr/>
      </w:pPr>
      <w:r>
        <w:rPr>
          <w:rFonts w:ascii="Calibri" w:hAnsi="Calibri"/>
          <w:b/>
          <w:color w:val="000000"/>
          <w:sz w:val="20"/>
        </w:rPr>
        <w:t>S27 · Environmental and research candidate · Infrared gas absorption</w:t>
      </w:r>
    </w:p>
    <w:p>
      <w:pPr>
        <w:pStyle w:val="Normal"/>
        <w:spacing w:before="0" w:after="50" w:line="250" w:lineRule="auto"/>
        <w:rPr/>
      </w:pPr>
      <w:r>
        <w:rPr>
          <w:rFonts w:ascii="Calibri" w:hAnsi="Calibri"/>
          <w:color w:val="000000"/>
          <w:sz w:val="20"/>
        </w:rPr>
        <w:t>Nondispersive infrared gas sensing measures attenuation in selected infrared bands associated with a target gas, commonly using a reference channel or other compensation. Carbon dioxide monitoring can provide useful environmental context, but the concentration observed depends on sampling location, ventilation and background sources.</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output may be gas concentration in parts per million or volume fraction, with pressure and temperature conditions relevant to the conversion. Candidate questions include whether an instrument environment remains within its declared range and whether a research headspace changes reproducibly.</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Suitable gas references, optical baseline, pressure and temperature compensation.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Humidity, optical contamination, leaks, human breath, background drift and automatic baseline assumptions.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Representative gas access, response-time characterization and protection of the optical path.</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Stable environmental measurement with a sampling arrangement appropriate to the intended function.</w:t>
      </w:r>
    </w:p>
    <w:p>
      <w:pPr>
        <w:pStyle w:val="Heading3"/>
        <w:keepNext/>
        <w:keepLines/>
        <w:spacing w:before="240" w:after="120" w:line="269" w:lineRule="auto"/>
      </w:pPr>
      <w:r>
        <w:rPr>
          <w:color w:val="000000"/>
        </w:rPr>
        <w:t>Avoid inappropriate baseline correction</w:t>
      </w:r>
    </w:p>
    <w:p>
      <w:pPr>
        <w:pStyle w:val="Normal"/>
        <w:spacing w:before="0" w:after="50" w:line="250" w:lineRule="auto"/>
        <w:rPr/>
      </w:pPr>
      <w:r>
        <w:rPr>
          <w:rFonts w:ascii="Calibri" w:hAnsi="Calibri"/>
          <w:color w:val="000000"/>
          <w:sz w:val="20"/>
        </w:rPr>
        <w:t>Some compensation strategies assume that the sensor periodically sees a known background condition. That assumption may be invalid in a controlled chamber or specialized research setting. The selected device and software configuration should therefore be assessed together.</w:t>
      </w:r>
    </w:p>
    <w:p>
      <w:pPr>
        <w:pStyle w:val="Normal"/>
        <w:spacing w:before="0" w:after="50" w:line="250" w:lineRule="auto"/>
        <w:rPr/>
      </w:pPr>
      <w:r>
        <w:rPr>
          <w:rFonts w:ascii="Calibri" w:hAnsi="Calibri"/>
          <w:color w:val="000000"/>
          <w:sz w:val="20"/>
        </w:rPr>
        <w:t>Carbon dioxide observations may support environmental quality checks or a bounded research model. They do not independently measure viable count or susceptibility. If a biological interpretation is investigated, the model should account for transport, volume, exchange and non-biological sources rather than treating concentration as a direct growth curve.</w:t>
      </w:r>
    </w:p>
    <w:p>
      <w:pPr>
        <w:pStyle w:val="Heading3"/>
        <w:keepNext/>
        <w:keepLines/>
        <w:spacing w:before="240" w:after="120" w:line="269" w:lineRule="auto"/>
      </w:pPr>
      <w:r>
        <w:rPr>
          <w:color w:val="000000"/>
        </w:rPr>
        <w:t>S28 Surface acoustic wave mass sensing</w:t>
      </w:r>
    </w:p>
    <w:p>
      <w:pPr>
        <w:pStyle w:val="Normal"/>
        <w:keepNext/>
        <w:spacing w:before="0" w:after="50" w:line="250" w:lineRule="auto"/>
        <w:rPr/>
      </w:pPr>
      <w:r>
        <w:rPr>
          <w:rFonts w:ascii="Calibri" w:hAnsi="Calibri"/>
          <w:b/>
          <w:color w:val="000000"/>
          <w:sz w:val="20"/>
        </w:rPr>
        <w:t>S28 · Surface observation candidate · Acoustic-wave research</w:t>
      </w:r>
    </w:p>
    <w:p>
      <w:pPr>
        <w:pStyle w:val="Normal"/>
        <w:spacing w:before="0" w:after="50" w:line="250" w:lineRule="auto"/>
        <w:rPr/>
      </w:pPr>
      <w:r>
        <w:rPr>
          <w:rFonts w:ascii="Calibri" w:hAnsi="Calibri"/>
          <w:color w:val="000000"/>
          <w:sz w:val="20"/>
        </w:rPr>
        <w:t>Surface acoustic wave devices propagate an acoustic disturbance along a material surface. Changes in the surface environment can alter frequency, phase, velocity or attenuation. A functional coating or sample contact can make the response sensitive to mass loading or material properties, but also introduces additional sources of variation.</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Outputs include frequency shift in hertz, phase and attenuation. Candidate research questions concern whether a controlled surface interaction produces a reproducible signal that is useful for the selected assay or environmental measurement.</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Frequency and phase reference, temperature response, baseline coating and controlled loading.</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Temperature, humidity, viscosity, coating ageing, nonspecific adsorption and mechanical stress.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Specialized transducer, radio-frequency electronics, surface preparation and a qualified sample interface.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stable response with a defensible separation between intended loading and environmental effects.</w:t>
      </w:r>
    </w:p>
    <w:p>
      <w:pPr>
        <w:pStyle w:val="Heading3"/>
        <w:keepNext/>
        <w:keepLines/>
        <w:spacing w:before="240" w:after="120" w:line="269" w:lineRule="auto"/>
      </w:pPr>
      <w:r>
        <w:rPr>
          <w:color w:val="000000"/>
        </w:rPr>
        <w:t>Treat selectivity as an assay property</w:t>
      </w:r>
    </w:p>
    <w:p>
      <w:pPr>
        <w:pStyle w:val="Normal"/>
        <w:spacing w:before="0" w:after="50" w:line="250" w:lineRule="auto"/>
        <w:rPr/>
      </w:pPr>
      <w:r>
        <w:rPr>
          <w:rFonts w:ascii="Calibri" w:hAnsi="Calibri"/>
          <w:color w:val="000000"/>
          <w:sz w:val="20"/>
        </w:rPr>
        <w:t>A transducer does not become biologically selective merely because it is highly sensitive. If a surface chemistry is used to create selectivity, that chemistry, its stability and its cross-reactions become part of the assay that must be evaluated.</w:t>
      </w:r>
    </w:p>
    <w:p>
      <w:pPr>
        <w:pStyle w:val="Normal"/>
        <w:spacing w:before="0" w:after="50" w:line="250" w:lineRule="auto"/>
        <w:rPr/>
      </w:pPr>
      <w:r>
        <w:rPr>
          <w:rFonts w:ascii="Calibri" w:hAnsi="Calibri"/>
          <w:color w:val="000000"/>
          <w:sz w:val="20"/>
        </w:rPr>
        <w:t>This is a future research candidate with substantial integration uncertainty. It is not proposed as a direct replacement for whole-plate imaging. The first development task would be to establish a reproducible physical response on controlled reference materials, followed by an assessment of whether the intended biological question can be addressed without confounding the signal with surface or fluid properties.</w:t>
      </w:r>
    </w:p>
    <w:p>
      <w:pPr>
        <w:pStyle w:val="Heading3"/>
        <w:keepNext/>
        <w:keepLines/>
        <w:spacing w:before="240" w:after="120" w:line="269" w:lineRule="auto"/>
      </w:pPr>
      <w:r>
        <w:rPr>
          <w:color w:val="000000"/>
        </w:rPr>
        <w:t>S29 Quartz crystal microbalance sensing</w:t>
      </w:r>
    </w:p>
    <w:p>
      <w:pPr>
        <w:pStyle w:val="Normal"/>
        <w:keepNext/>
        <w:spacing w:before="0" w:after="50" w:line="250" w:lineRule="auto"/>
        <w:rPr/>
      </w:pPr>
      <w:r>
        <w:rPr>
          <w:rFonts w:ascii="Calibri" w:hAnsi="Calibri"/>
          <w:b/>
          <w:color w:val="000000"/>
          <w:sz w:val="20"/>
        </w:rPr>
        <w:t>S29 · Surface observation candidate · Resonant mass and viscoelastic response</w:t>
      </w:r>
    </w:p>
    <w:p>
      <w:pPr>
        <w:pStyle w:val="Normal"/>
        <w:spacing w:before="0" w:after="50" w:line="250" w:lineRule="auto"/>
        <w:rPr/>
      </w:pPr>
      <w:r>
        <w:rPr>
          <w:rFonts w:ascii="Calibri" w:hAnsi="Calibri"/>
          <w:color w:val="000000"/>
          <w:sz w:val="20"/>
        </w:rPr>
        <w:t>A quartz crystal microbalance detects changes in a resonator’s behaviour when its surface environment changes. Under restricted thin, rigid loading assumptions, frequency shifts can be related to mass per area. In liquids or soft biological layers, viscoelastic and hydrodynamic effects can make a simple mass conversion inappropriate.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outputs are resonant frequency and, where measured, dissipation or related damping quantities. A mass-per-area estimate is derived under an explicit model. Candidate research uses concern controlled surface attachment or material changes rather than weighing an entire culture plate.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Frequency reference, clean-surface baseline, temperature stability and suitable loading models.</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Liquid viscosity, density, soft-film behaviour, nonspecific adsorption and surface history.</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Resonator interface, stable fluid or contact conditions, surface management and specialized electronics.</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reproducible response whose model assumptions remain credible in the selected sample format.</w:t>
      </w:r>
    </w:p>
    <w:p>
      <w:pPr>
        <w:pStyle w:val="Heading3"/>
        <w:keepNext/>
        <w:keepLines/>
        <w:spacing w:before="240" w:after="120" w:line="269" w:lineRule="auto"/>
      </w:pPr>
      <w:r>
        <w:rPr>
          <w:color w:val="000000"/>
        </w:rPr>
        <w:t>Retain the measured response</w:t>
      </w:r>
    </w:p>
    <w:p>
      <w:pPr>
        <w:pStyle w:val="Normal"/>
        <w:spacing w:before="0" w:after="50" w:line="250" w:lineRule="auto"/>
        <w:rPr/>
      </w:pPr>
      <w:r>
        <w:rPr>
          <w:rFonts w:ascii="Calibri" w:hAnsi="Calibri"/>
          <w:color w:val="000000"/>
          <w:sz w:val="20"/>
        </w:rPr>
        <w:t>The record should preserve frequency and damping data even when the analysis reports an inferred mass. A reviewer should be able to see which model was used and whether the data were consistent with its assumptions. An apparent mass change should not be labelled biomass without an independent basis.</w:t>
      </w:r>
    </w:p>
    <w:p>
      <w:pPr>
        <w:pStyle w:val="Normal"/>
        <w:spacing w:before="0" w:after="50" w:line="250" w:lineRule="auto"/>
        <w:rPr/>
      </w:pPr>
      <w:r>
        <w:rPr>
          <w:rFonts w:ascii="Calibri" w:hAnsi="Calibri"/>
          <w:color w:val="000000"/>
          <w:sz w:val="20"/>
        </w:rPr>
        <w:t>The modality is an exploratory research option. Its qualification should first distinguish surface loading from changes in the surrounding fluid. Clinical susceptibility or organism identification would require a separate assay and validation programme, and neither follows from the resonator’s nominal mass sensitivity alone.</w:t>
      </w:r>
    </w:p>
    <w:p>
      <w:pPr>
        <w:pStyle w:val="Heading3"/>
        <w:keepNext/>
        <w:keepLines/>
        <w:spacing w:before="240" w:after="120" w:line="269" w:lineRule="auto"/>
      </w:pPr>
      <w:r>
        <w:rPr>
          <w:color w:val="000000"/>
        </w:rPr>
        <w:t>S30 Acoustic resonance and attenuation</w:t>
      </w:r>
    </w:p>
    <w:p>
      <w:pPr>
        <w:pStyle w:val="Normal"/>
        <w:keepNext/>
        <w:spacing w:before="0" w:after="50" w:line="250" w:lineRule="auto"/>
        <w:rPr/>
      </w:pPr>
      <w:r>
        <w:rPr>
          <w:rFonts w:ascii="Calibri" w:hAnsi="Calibri"/>
          <w:b/>
          <w:color w:val="000000"/>
          <w:sz w:val="20"/>
        </w:rPr>
        <w:t>S30 · Physical observation candidate · Acoustic material response</w:t>
      </w:r>
    </w:p>
    <w:p>
      <w:pPr>
        <w:pStyle w:val="Normal"/>
        <w:spacing w:before="0" w:after="50" w:line="250" w:lineRule="auto"/>
        <w:rPr/>
      </w:pPr>
      <w:r>
        <w:rPr>
          <w:rFonts w:ascii="Calibri" w:hAnsi="Calibri"/>
          <w:color w:val="000000"/>
          <w:sz w:val="20"/>
        </w:rPr>
        <w:t>Acoustic resonance and attenuation measurements examine how sound propagates through or interacts with a material system. The observed response depends on geometry, density, compressibility, viscosity and interfaces. In a plate or fluid assembly, vessel properties can contribute strongly to the signal.</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Candidate outputs include resonant frequency in hertz, sound velocity in metres per second, attenuation and dimensionless quality factor. Potential research questions include whether a reproducible physical change can be detected and separated from the mechanical properties of the holder and vessel.</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Known mechanical or fluid references, geometry, coupling and frequency response.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Temperature, bubbles, contact pressure, vessel variation, mounting and background vibration.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Transducers, coupling arrangement, excitation control and stable mechanical interfaces.</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signal linked to the intended physical change with acceptable sensitivity to placement.</w:t>
      </w:r>
    </w:p>
    <w:p>
      <w:pPr>
        <w:pStyle w:val="Heading3"/>
        <w:keepNext/>
        <w:keepLines/>
        <w:spacing w:before="240" w:after="120" w:line="269" w:lineRule="auto"/>
      </w:pPr>
      <w:r>
        <w:rPr>
          <w:color w:val="000000"/>
        </w:rPr>
        <w:t>Establish a useful baseline first</w:t>
      </w:r>
    </w:p>
    <w:p>
      <w:pPr>
        <w:pStyle w:val="Normal"/>
        <w:spacing w:before="0" w:after="50" w:line="250" w:lineRule="auto"/>
        <w:rPr/>
      </w:pPr>
      <w:r>
        <w:rPr>
          <w:rFonts w:ascii="Calibri" w:hAnsi="Calibri"/>
          <w:color w:val="000000"/>
          <w:sz w:val="20"/>
        </w:rPr>
        <w:t>An assembly may have many resonances unrelated to the sample. Development should characterize the empty holder and permitted vessels before interpreting changes in a biological context. The analysis should retain the excitation and detection conditions so that a spectral shift can be investigated later.</w:t>
      </w:r>
    </w:p>
    <w:p>
      <w:pPr>
        <w:pStyle w:val="Normal"/>
        <w:spacing w:before="0" w:after="50" w:line="250" w:lineRule="auto"/>
        <w:rPr/>
      </w:pPr>
      <w:r>
        <w:rPr>
          <w:rFonts w:ascii="Calibri" w:hAnsi="Calibri"/>
          <w:color w:val="000000"/>
          <w:sz w:val="20"/>
        </w:rPr>
        <w:t>This is a future research candidate, with no AMReye.AI assay evidence established here. It may prove more useful for checking fill state, mechanical coupling or instrument integrity than for biological inference. Selection should follow the demonstrated function rather than the general sensitivity of acoustic methods.</w:t>
      </w:r>
    </w:p>
    <w:p>
      <w:pPr>
        <w:pStyle w:val="Heading3"/>
        <w:keepNext/>
        <w:keepLines/>
        <w:spacing w:before="240" w:after="120" w:line="269" w:lineRule="auto"/>
      </w:pPr>
      <w:r>
        <w:rPr>
          <w:color w:val="000000"/>
        </w:rPr>
        <w:t>S31 Resistance temperature measurement</w:t>
      </w:r>
    </w:p>
    <w:p>
      <w:pPr>
        <w:pStyle w:val="Normal"/>
        <w:keepNext/>
        <w:spacing w:before="0" w:after="50" w:line="250" w:lineRule="auto"/>
        <w:rPr/>
      </w:pPr>
      <w:r>
        <w:rPr>
          <w:rFonts w:ascii="Calibri" w:hAnsi="Calibri"/>
          <w:b/>
          <w:color w:val="000000"/>
          <w:sz w:val="20"/>
        </w:rPr>
        <w:t>S31 · Environmental monitoring candidate · Resistance thermometry</w:t>
      </w:r>
    </w:p>
    <w:p>
      <w:pPr>
        <w:pStyle w:val="Normal"/>
        <w:spacing w:before="0" w:after="50" w:line="250" w:lineRule="auto"/>
        <w:rPr/>
      </w:pPr>
      <w:r>
        <w:rPr>
          <w:rFonts w:ascii="Calibri" w:hAnsi="Calibri"/>
          <w:color w:val="000000"/>
          <w:sz w:val="20"/>
        </w:rPr>
        <w:t xml:space="preserve">Resistance temperature measurement uses a material’s predictable resistance-temperature relationship. The complete result depends on the sensor, excitation, wiring, reference and conversion model. Four-wire arrangements can reduce lead-resistance effects, but they do not remove self-heating, placement or calibration uncertainty.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instrument measures resistance in ohms and derives temperature in degrees Celsius or kelvin. Useful questions include whether the relevant observation environment is stable, whether electronics are overheating and whether a process experienced an excursion.</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Traceable temperature references across the intended range and complete signal-chain verification.</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Self-heating, lead mismatch, thermal contact, response lag, gradients and electrical noise.</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Suitable placement, wiring, analog measurement and protection from damage or contamination.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Temperature uncertainty and response time appropriate to the monitored location.</w:t>
      </w:r>
    </w:p>
    <w:p>
      <w:pPr>
        <w:pStyle w:val="Heading3"/>
        <w:keepNext/>
        <w:keepLines/>
        <w:spacing w:before="240" w:after="120" w:line="269" w:lineRule="auto"/>
      </w:pPr>
      <w:r>
        <w:rPr>
          <w:color w:val="000000"/>
        </w:rPr>
        <w:t>Location defines meaning</w:t>
      </w:r>
    </w:p>
    <w:p>
      <w:pPr>
        <w:pStyle w:val="Normal"/>
        <w:spacing w:before="0" w:after="50" w:line="250" w:lineRule="auto"/>
        <w:rPr/>
      </w:pPr>
      <w:r>
        <w:rPr>
          <w:rFonts w:ascii="Calibri" w:hAnsi="Calibri"/>
          <w:color w:val="000000"/>
          <w:sz w:val="20"/>
        </w:rPr>
        <w:t>A sensor attached to a wall measures a different thermal environment from a sensor near the plate or on a processor. The record should identify location and mounting, and any inference about the sample temperature should be supported by a transfer study.</w:t>
      </w:r>
    </w:p>
    <w:p>
      <w:pPr>
        <w:pStyle w:val="Normal"/>
        <w:spacing w:before="0" w:after="50" w:line="250" w:lineRule="auto"/>
        <w:rPr/>
      </w:pPr>
      <w:r>
        <w:rPr>
          <w:rFonts w:ascii="Calibri" w:hAnsi="Calibri"/>
          <w:color w:val="000000"/>
          <w:sz w:val="20"/>
        </w:rPr>
        <w:t>For Reader V1, temperature monitoring can support instrument characterization and fault detection. Integrated incubation would require a broader spatial and temporal assessment. Multiple agreeing sensors do not demonstrate uniformity if they are all placed in the same unrepresentative region. Qualification should include the conditions and positions that could reveal a meaningful gradient.</w:t>
      </w:r>
    </w:p>
    <w:p>
      <w:pPr>
        <w:pStyle w:val="Heading3"/>
        <w:keepNext/>
        <w:keepLines/>
        <w:spacing w:before="240" w:after="120" w:line="269" w:lineRule="auto"/>
      </w:pPr>
      <w:r>
        <w:rPr>
          <w:color w:val="000000"/>
        </w:rPr>
        <w:t>S32 Capacitive relative humidity sensing</w:t>
      </w:r>
    </w:p>
    <w:p>
      <w:pPr>
        <w:pStyle w:val="Normal"/>
        <w:keepNext/>
        <w:spacing w:before="0" w:after="50" w:line="250" w:lineRule="auto"/>
        <w:rPr/>
      </w:pPr>
      <w:r>
        <w:rPr>
          <w:rFonts w:ascii="Calibri" w:hAnsi="Calibri"/>
          <w:b/>
          <w:color w:val="000000"/>
          <w:sz w:val="20"/>
        </w:rPr>
        <w:t>S32 · Environmental monitoring candidate · Capacitive humidity measurement</w:t>
      </w:r>
    </w:p>
    <w:p>
      <w:pPr>
        <w:pStyle w:val="Normal"/>
        <w:spacing w:before="0" w:after="50" w:line="250" w:lineRule="auto"/>
        <w:rPr/>
      </w:pPr>
      <w:r>
        <w:rPr>
          <w:rFonts w:ascii="Calibri" w:hAnsi="Calibri"/>
          <w:color w:val="000000"/>
          <w:sz w:val="20"/>
        </w:rPr>
        <w:t>A capacitive humidity sensor uses a material whose dielectric response changes with water vapour exposure. The instrument converts that response into relative humidity through calibration and compensation. Relative humidity depends on temperature and describes a local gas condition, not the total water content of a plate.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derived output is relative humidity in percent, accompanied by temperature and sensor quality status. Candidate uses include detecting environmental changes that may affect condensation, evaporation or instrument reliability.</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Suitable humidity references, temperature dependence and response-time checks.</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Condensation, chemical exposure, contamination, hysteresis, placement and slow recovery after saturation.</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Representative airflow, protection that does not create excessive lag and a serviceable mounting.</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Stable local measurement under the intended humidity and contamination conditions.</w:t>
      </w:r>
    </w:p>
    <w:p>
      <w:pPr>
        <w:pStyle w:val="Heading3"/>
        <w:keepNext/>
        <w:keepLines/>
        <w:spacing w:before="240" w:after="120" w:line="269" w:lineRule="auto"/>
      </w:pPr>
      <w:r>
        <w:rPr>
          <w:color w:val="000000"/>
        </w:rPr>
        <w:t>Condensation is a separate event</w:t>
      </w:r>
    </w:p>
    <w:p>
      <w:pPr>
        <w:pStyle w:val="Normal"/>
        <w:spacing w:before="0" w:after="50" w:line="250" w:lineRule="auto"/>
        <w:rPr/>
      </w:pPr>
      <w:r>
        <w:rPr>
          <w:rFonts w:ascii="Calibri" w:hAnsi="Calibri"/>
          <w:color w:val="000000"/>
          <w:sz w:val="20"/>
        </w:rPr>
        <w:t>A high humidity reading does not establish that droplets are present on the optical path, and a local sensor may miss condensation elsewhere. Image-based obstruction checks and environmental monitoring can complement each other, but they answer different questions.</w:t>
      </w:r>
    </w:p>
    <w:p>
      <w:pPr>
        <w:pStyle w:val="Normal"/>
        <w:spacing w:before="0" w:after="50" w:line="250" w:lineRule="auto"/>
        <w:rPr/>
      </w:pPr>
      <w:r>
        <w:rPr>
          <w:rFonts w:ascii="Calibri" w:hAnsi="Calibri"/>
          <w:color w:val="000000"/>
          <w:sz w:val="20"/>
        </w:rPr>
        <w:t>The proposed system should retain sensor saturation or recovery states rather than displaying an apparently precise value throughout a compromised interval. If humidity is used in a biological model, the analysis should account for the sensor’s location and lag. Its most defensible initial role is environmental context and instrument quality assessment, with any growth-related inference evaluated separately.</w:t>
      </w:r>
    </w:p>
    <w:p>
      <w:pPr>
        <w:pStyle w:val="Heading3"/>
        <w:keepNext/>
        <w:keepLines/>
        <w:spacing w:before="240" w:after="120" w:line="269" w:lineRule="auto"/>
      </w:pPr>
      <w:r>
        <w:rPr>
          <w:color w:val="000000"/>
        </w:rPr>
        <w:t>S33 Pressure measurement</w:t>
      </w:r>
    </w:p>
    <w:p>
      <w:pPr>
        <w:pStyle w:val="Normal"/>
        <w:keepNext/>
        <w:spacing w:before="0" w:after="50" w:line="250" w:lineRule="auto"/>
        <w:rPr/>
      </w:pPr>
      <w:r>
        <w:rPr>
          <w:rFonts w:ascii="Calibri" w:hAnsi="Calibri"/>
          <w:b/>
          <w:color w:val="000000"/>
          <w:sz w:val="20"/>
        </w:rPr>
        <w:t>S33 · Environmental and control candidate · Pressure measurement</w:t>
      </w:r>
    </w:p>
    <w:p>
      <w:pPr>
        <w:pStyle w:val="Normal"/>
        <w:spacing w:before="0" w:after="50" w:line="250" w:lineRule="auto"/>
        <w:rPr/>
      </w:pPr>
      <w:r>
        <w:rPr>
          <w:rFonts w:ascii="Calibri" w:hAnsi="Calibri"/>
          <w:color w:val="000000"/>
          <w:sz w:val="20"/>
        </w:rPr>
        <w:t>Pressure sensors convert mechanical deformation or another pressure-dependent effect into an electrical signal. Absolute, gauge and differential measurements use different reference conditions. A value without its reference type can be misleading even when its numerical units are correct.</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output is pressure in pascals or a declared multiple. Candidate functions include monitoring a gas path, detecting an obstruction or assessing a pressure difference across a relevant assembly. The selected function determines the required range, response time and reference.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Traceable pressure reference, zero, span, temperature behaviour and line integrity.</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Leaks, blocked tubing, condensate, offset drift, mounting stress and pressure-port placement.</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Compatible ports, tubing, seals, protective interfaces and accessible maintenance.</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Reliable detection of the intended condition with a defined fault response.</w:t>
      </w:r>
    </w:p>
    <w:p>
      <w:pPr>
        <w:pStyle w:val="Heading3"/>
        <w:keepNext/>
        <w:keepLines/>
        <w:spacing w:before="240" w:after="120" w:line="269" w:lineRule="auto"/>
      </w:pPr>
      <w:r>
        <w:rPr>
          <w:color w:val="000000"/>
        </w:rPr>
        <w:t>Pressure alone does not prove containment</w:t>
      </w:r>
    </w:p>
    <w:p>
      <w:pPr>
        <w:pStyle w:val="Normal"/>
        <w:spacing w:before="0" w:after="50" w:line="250" w:lineRule="auto"/>
        <w:rPr/>
      </w:pPr>
      <w:r>
        <w:rPr>
          <w:rFonts w:ascii="Calibri" w:hAnsi="Calibri"/>
          <w:color w:val="000000"/>
          <w:sz w:val="20"/>
        </w:rPr>
        <w:t>A pressure difference can support an engineering assessment, but it does not independently establish airflow direction everywhere, filter integrity or biological containment. Those claims require the relevant system-level evaluation.</w:t>
      </w:r>
    </w:p>
    <w:p>
      <w:pPr>
        <w:pStyle w:val="Normal"/>
        <w:spacing w:before="0" w:after="50" w:line="250" w:lineRule="auto"/>
        <w:rPr/>
      </w:pPr>
      <w:r>
        <w:rPr>
          <w:rFonts w:ascii="Calibri" w:hAnsi="Calibri"/>
          <w:color w:val="000000"/>
          <w:sz w:val="20"/>
        </w:rPr>
        <w:t>The instrument should distinguish a measured process change from a failed sensor line. Plausibility checks, maintenance records and independent observations can help resolve that difference. If a pressure measurement is required for a control decision, the response to unavailable or implausible data should be specified before the control function is enabled. The initial catalogue role is engineering monitoring rather than a direct biological measurement.</w:t>
      </w:r>
    </w:p>
    <w:p>
      <w:pPr>
        <w:pStyle w:val="Heading3"/>
        <w:keepNext/>
        <w:keepLines/>
        <w:spacing w:before="240" w:after="120" w:line="269" w:lineRule="auto"/>
      </w:pPr>
      <w:r>
        <w:rPr>
          <w:color w:val="000000"/>
        </w:rPr>
        <w:t>S34 Airflow measurement</w:t>
      </w:r>
    </w:p>
    <w:p>
      <w:pPr>
        <w:pStyle w:val="Normal"/>
        <w:keepNext/>
        <w:spacing w:before="0" w:after="50" w:line="250" w:lineRule="auto"/>
        <w:rPr/>
      </w:pPr>
      <w:r>
        <w:rPr>
          <w:rFonts w:ascii="Calibri" w:hAnsi="Calibri"/>
          <w:b/>
          <w:color w:val="000000"/>
          <w:sz w:val="20"/>
        </w:rPr>
        <w:t>S34 · Environmental and control candidate · Flow measurement</w:t>
      </w:r>
    </w:p>
    <w:p>
      <w:pPr>
        <w:pStyle w:val="Normal"/>
        <w:spacing w:before="0" w:after="50" w:line="250" w:lineRule="auto"/>
        <w:rPr/>
      </w:pPr>
      <w:r>
        <w:rPr>
          <w:rFonts w:ascii="Calibri" w:hAnsi="Calibri"/>
          <w:color w:val="000000"/>
          <w:sz w:val="20"/>
        </w:rPr>
        <w:t>Airflow can be measured through several physical approaches, including thermal transfer and pressure-related methods. Each responds to a defined flow path and fluid condition. A local reading should not be assumed to describe circulation throughout an enclosure.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Outputs may be volumetric flow in litres per minute, mass flow or local velocity in metres per second. Temperature, pressure and gas composition may be needed to interpret or convert the quantity. Candidate uses include monitoring cooling, detecting a restricted path or characterizing a research gas-sampling arrangement.</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Suitable flow reference, gas conditions, path geometry and response across the intended range.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Leaks, turbulence, fouling, gas composition, temperature and flow-profile changes.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Defined duct or channel, low unwanted restriction and service access.</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A flow quantity relevant to the function and robust to expected path changes.</w:t>
      </w:r>
    </w:p>
    <w:p>
      <w:pPr>
        <w:pStyle w:val="Heading3"/>
        <w:keepNext/>
        <w:keepLines/>
        <w:spacing w:before="240" w:after="120" w:line="269" w:lineRule="auto"/>
      </w:pPr>
      <w:r>
        <w:rPr>
          <w:color w:val="000000"/>
        </w:rPr>
        <w:t>Connect flow to the consequence</w:t>
      </w:r>
    </w:p>
    <w:p>
      <w:pPr>
        <w:pStyle w:val="Normal"/>
        <w:spacing w:before="0" w:after="50" w:line="250" w:lineRule="auto"/>
        <w:rPr/>
      </w:pPr>
      <w:r>
        <w:rPr>
          <w:rFonts w:ascii="Calibri" w:hAnsi="Calibri"/>
          <w:color w:val="000000"/>
          <w:sz w:val="20"/>
        </w:rPr>
        <w:t>The product should identify why the measurement matters. Reduced electronics cooling may require throttling or shutdown. A changed research sampling flow may invalidate the time relationship between a plate and a gas observation. Those responses have different priorities and should not share an unexplained generic alarm.</w:t>
      </w:r>
    </w:p>
    <w:p>
      <w:pPr>
        <w:pStyle w:val="Normal"/>
        <w:spacing w:before="0" w:after="50" w:line="250" w:lineRule="auto"/>
        <w:rPr/>
      </w:pPr>
      <w:r>
        <w:rPr>
          <w:rFonts w:ascii="Calibri" w:hAnsi="Calibri"/>
          <w:color w:val="000000"/>
          <w:sz w:val="20"/>
        </w:rPr>
        <w:t>Flow measurement is a proposed engineering channel. Its presence does not establish sterile airflow or safe containment. Qualification should evaluate the complete path and the relevant failure modes, including disconnected tubing or a sensor that reports plausible flow while the intended sampling route is bypassed.</w:t>
      </w:r>
    </w:p>
    <w:p>
      <w:pPr>
        <w:pStyle w:val="Heading3"/>
        <w:keepNext/>
        <w:keepLines/>
        <w:spacing w:before="240" w:after="120" w:line="269" w:lineRule="auto"/>
      </w:pPr>
      <w:r>
        <w:rPr>
          <w:color w:val="000000"/>
        </w:rPr>
        <w:t>S35 Strain gauge weighing</w:t>
      </w:r>
    </w:p>
    <w:p>
      <w:pPr>
        <w:pStyle w:val="Normal"/>
        <w:keepNext/>
        <w:spacing w:before="0" w:after="50" w:line="250" w:lineRule="auto"/>
        <w:rPr/>
      </w:pPr>
      <w:r>
        <w:rPr>
          <w:rFonts w:ascii="Calibri" w:hAnsi="Calibri"/>
          <w:b/>
          <w:color w:val="000000"/>
          <w:sz w:val="20"/>
        </w:rPr>
        <w:t>S35 · Mechanical monitoring candidate · Gravimetric measurement</w:t>
      </w:r>
    </w:p>
    <w:p>
      <w:pPr>
        <w:pStyle w:val="Normal"/>
        <w:spacing w:before="0" w:after="50" w:line="250" w:lineRule="auto"/>
        <w:rPr/>
      </w:pPr>
      <w:r>
        <w:rPr>
          <w:rFonts w:ascii="Calibri" w:hAnsi="Calibri"/>
          <w:color w:val="000000"/>
          <w:sz w:val="20"/>
        </w:rPr>
        <w:t>Strain-gauge weighing measures deformation of a load-bearing element and converts it to force or mass under a calibrated model. A plate assembly includes the vessel, medium, water and any biological material. Changes in those contributions are not automatically separable.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electrical response is a bridge signal, with derived load in newtons or mass in grams. Candidate functions include plate presence, gross fill checks, evaporation research and mechanical monitoring. A whole-plate mass change should not be labelled microbial biomass without a separately established relationship.</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Traceable masses, zero, span, loading position, hysteresis and drift.</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Evaporation, condensation, handling forces, thermal drift, cable forces and mechanical creep.</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Stable support, isolation from motion and a reproducible load path.</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Useful change resolution under actual environmental and mechanical conditions.</w:t>
      </w:r>
    </w:p>
    <w:p>
      <w:pPr>
        <w:pStyle w:val="Heading3"/>
        <w:keepNext/>
        <w:keepLines/>
        <w:spacing w:before="240" w:after="120" w:line="269" w:lineRule="auto"/>
      </w:pPr>
      <w:r>
        <w:rPr>
          <w:color w:val="000000"/>
        </w:rPr>
        <w:t>Compare signal size with the disturbance</w:t>
      </w:r>
    </w:p>
    <w:p>
      <w:pPr>
        <w:pStyle w:val="Normal"/>
        <w:spacing w:before="0" w:after="50" w:line="250" w:lineRule="auto"/>
        <w:rPr/>
      </w:pPr>
      <w:r>
        <w:rPr>
          <w:rFonts w:ascii="Calibri" w:hAnsi="Calibri"/>
          <w:color w:val="000000"/>
          <w:sz w:val="20"/>
        </w:rPr>
        <w:t>Nominal converter resolution is not the same as usable mass resolution. An instrument may display many decimal places while drift and handling variation dominate the change of interest. The evaluation should report repeatability and stability over the intended observation interval.</w:t>
      </w:r>
    </w:p>
    <w:p>
      <w:pPr>
        <w:pStyle w:val="Normal"/>
        <w:spacing w:before="0" w:after="50" w:line="250" w:lineRule="auto"/>
        <w:rPr/>
      </w:pPr>
      <w:r>
        <w:rPr>
          <w:rFonts w:ascii="Calibri" w:hAnsi="Calibri"/>
          <w:color w:val="000000"/>
          <w:sz w:val="20"/>
        </w:rPr>
        <w:t>The proposed initial role is engineering and research context. Presence detection or evaporation tracking may be useful without making any biological inference. If mass data are included in fusion, preserve taring events and mechanical configuration changes so that an apparent discontinuity is not interpreted as a sudden biological event.</w:t>
      </w:r>
    </w:p>
    <w:p>
      <w:pPr>
        <w:pStyle w:val="Heading3"/>
        <w:keepNext/>
        <w:keepLines/>
        <w:spacing w:before="240" w:after="120" w:line="269" w:lineRule="auto"/>
      </w:pPr>
      <w:r>
        <w:rPr>
          <w:color w:val="000000"/>
        </w:rPr>
        <w:t>S36 Optical distance and presence sensing</w:t>
      </w:r>
    </w:p>
    <w:p>
      <w:pPr>
        <w:pStyle w:val="Normal"/>
        <w:keepNext/>
        <w:spacing w:before="0" w:after="50" w:line="250" w:lineRule="auto"/>
        <w:rPr/>
      </w:pPr>
      <w:r>
        <w:rPr>
          <w:rFonts w:ascii="Calibri" w:hAnsi="Calibri"/>
          <w:b/>
          <w:color w:val="000000"/>
          <w:sz w:val="20"/>
        </w:rPr>
        <w:t>S36 · Instrument-control candidate · Optical ranging and presence</w:t>
      </w:r>
    </w:p>
    <w:p>
      <w:pPr>
        <w:pStyle w:val="Normal"/>
        <w:spacing w:before="0" w:after="50" w:line="250" w:lineRule="auto"/>
        <w:rPr/>
      </w:pPr>
      <w:r>
        <w:rPr>
          <w:rFonts w:ascii="Calibri" w:hAnsi="Calibri"/>
          <w:color w:val="000000"/>
          <w:sz w:val="20"/>
        </w:rPr>
        <w:t xml:space="preserve">Optical distance sensing estimates range through time-of-flight, triangulation or another declared optical principle. A coarse multizone sensor can support presence, position or clearance checks. Its spatial sampling and ranging uncertainty should not be confused with microscopic three-dimensional imaging. Manufacturer multizone ranging documentation supports an engineering presence use, not colony topography. </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Outputs include distance in millimetres, return strength and measurement-validity indicators. Candidate functions include checking that a plate or mechanism occupies a permitted region and detecting gross deviations before capture or motion.</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Known distances, target materials, ambient-light conditions and alignment.</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Transparent surfaces, multiple reflections, low return signal, contamination and object angle.</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Clear optical path, mounting stability and quality-aware control logic.</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Reliable detection of the intended mechanical state under permitted target conditions.</w:t>
      </w:r>
    </w:p>
    <w:p>
      <w:pPr>
        <w:pStyle w:val="Heading3"/>
        <w:keepNext/>
        <w:keepLines/>
        <w:spacing w:before="240" w:after="120" w:line="269" w:lineRule="auto"/>
      </w:pPr>
      <w:r>
        <w:rPr>
          <w:color w:val="000000"/>
        </w:rPr>
        <w:t>Use validity information</w:t>
      </w:r>
    </w:p>
    <w:p>
      <w:pPr>
        <w:pStyle w:val="Normal"/>
        <w:spacing w:before="0" w:after="50" w:line="250" w:lineRule="auto"/>
        <w:rPr/>
      </w:pPr>
      <w:r>
        <w:rPr>
          <w:rFonts w:ascii="Calibri" w:hAnsi="Calibri"/>
          <w:color w:val="000000"/>
          <w:sz w:val="20"/>
        </w:rPr>
        <w:t>A numerical range can be unreliable when the return signal is weak or when several surfaces contribute. The control interface should preserve validity flags and avoid converting an invalid range into a confident “plate present” state.</w:t>
      </w:r>
    </w:p>
    <w:p>
      <w:pPr>
        <w:pStyle w:val="Normal"/>
        <w:spacing w:before="0" w:after="50" w:line="250" w:lineRule="auto"/>
        <w:rPr/>
      </w:pPr>
      <w:r>
        <w:rPr>
          <w:rFonts w:ascii="Calibri" w:hAnsi="Calibri"/>
          <w:color w:val="000000"/>
          <w:sz w:val="20"/>
        </w:rPr>
        <w:t>This candidate supports instrument readiness and motion checks. If finer shape information is needed for research, a separately qualified optical method should be considered. The proposed evaluation should challenge the sensor with empty holders, permitted vessels, misalignment and reflective or transparent surfaces, then verify that the system responds appropriately when distance is unavailable or ambiguous.</w:t>
      </w:r>
    </w:p>
    <w:p>
      <w:pPr>
        <w:pStyle w:val="Heading3"/>
        <w:keepNext/>
        <w:keepLines/>
        <w:spacing w:before="240" w:after="120" w:line="269" w:lineRule="auto"/>
      </w:pPr>
      <w:r>
        <w:rPr>
          <w:color w:val="000000"/>
        </w:rPr>
        <w:t>S37 Magnetic position encoding</w:t>
      </w:r>
    </w:p>
    <w:p>
      <w:pPr>
        <w:pStyle w:val="Normal"/>
        <w:keepNext/>
        <w:spacing w:before="0" w:after="50" w:line="250" w:lineRule="auto"/>
        <w:rPr/>
      </w:pPr>
      <w:r>
        <w:rPr>
          <w:rFonts w:ascii="Calibri" w:hAnsi="Calibri"/>
          <w:b/>
          <w:color w:val="000000"/>
          <w:sz w:val="20"/>
        </w:rPr>
        <w:t>S37 · Instrument-control candidate · Magnetic position measurement</w:t>
      </w:r>
    </w:p>
    <w:p>
      <w:pPr>
        <w:pStyle w:val="Normal"/>
        <w:spacing w:before="0" w:after="50" w:line="250" w:lineRule="auto"/>
        <w:rPr/>
      </w:pPr>
      <w:r>
        <w:rPr>
          <w:rFonts w:ascii="Calibri" w:hAnsi="Calibri"/>
          <w:color w:val="000000"/>
          <w:sz w:val="20"/>
        </w:rPr>
        <w:t>Magnetic position encoders infer displacement or rotation from a magnetic field and its relationship to a sensing element. They can provide feedback without an exposed optical scale. Their performance depends on magnet geometry, alignment, field conditions and the conversion model.</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Outputs include angle in degrees or radians, position in length units and status information. Candidate functions include verifying mechanism position, indexing a plate holder or detecting whether a shutter has reached a permitted state.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Known positions, magnet alignment, full travel behaviour and repeatability.</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External magnetic fields, temperature, magnet variation, mechanical backlash and mounting shifts.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Stable magnet-sensor geometry, control interface and independent limit or interlock strategy where required.</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Feedback accuracy and fault detectability appropriate to the controlled mechanism.</w:t>
      </w:r>
    </w:p>
    <w:p>
      <w:pPr>
        <w:pStyle w:val="Heading3"/>
        <w:keepNext/>
        <w:keepLines/>
        <w:spacing w:before="240" w:after="120" w:line="269" w:lineRule="auto"/>
      </w:pPr>
      <w:r>
        <w:rPr>
          <w:color w:val="000000"/>
        </w:rPr>
        <w:t>Measure the mechanism rather than only the motor</w:t>
      </w:r>
    </w:p>
    <w:p>
      <w:pPr>
        <w:pStyle w:val="Normal"/>
        <w:spacing w:before="0" w:after="50" w:line="250" w:lineRule="auto"/>
        <w:rPr/>
      </w:pPr>
      <w:r>
        <w:rPr>
          <w:rFonts w:ascii="Calibri" w:hAnsi="Calibri"/>
          <w:color w:val="000000"/>
          <w:sz w:val="20"/>
        </w:rPr>
        <w:t>An encoder on a motor shaft may report commanded rotation while a coupling slips or a downstream mechanism remains displaced. The relevant feedback location should follow the physical state that the system needs to know.</w:t>
      </w:r>
    </w:p>
    <w:p>
      <w:pPr>
        <w:pStyle w:val="Normal"/>
        <w:spacing w:before="0" w:after="50" w:line="250" w:lineRule="auto"/>
        <w:rPr/>
      </w:pPr>
      <w:r>
        <w:rPr>
          <w:rFonts w:ascii="Calibri" w:hAnsi="Calibri"/>
          <w:color w:val="000000"/>
          <w:sz w:val="20"/>
        </w:rPr>
        <w:t>This is a proposed control-sensing option, not a biological modality. Qualification should include plausible failures such as misalignment, lost feedback or mechanical play. The software should distinguish estimated, commanded and confirmed positions. A safety-relevant action should not proceed merely because the last remembered position was acceptable before a restart or service intervention.</w:t>
      </w:r>
    </w:p>
    <w:p>
      <w:pPr>
        <w:pStyle w:val="Heading3"/>
        <w:keepNext/>
        <w:keepLines/>
        <w:spacing w:before="240" w:after="120" w:line="269" w:lineRule="auto"/>
      </w:pPr>
      <w:r>
        <w:rPr>
          <w:color w:val="000000"/>
        </w:rPr>
        <w:t>S38 Inertial vibration measurement</w:t>
      </w:r>
    </w:p>
    <w:p>
      <w:pPr>
        <w:pStyle w:val="Normal"/>
        <w:keepNext/>
        <w:spacing w:before="0" w:after="50" w:line="250" w:lineRule="auto"/>
        <w:rPr/>
      </w:pPr>
      <w:r>
        <w:rPr>
          <w:rFonts w:ascii="Calibri" w:hAnsi="Calibri"/>
          <w:b/>
          <w:color w:val="000000"/>
          <w:sz w:val="20"/>
        </w:rPr>
        <w:t>S38 · Instrument-monitoring candidate · Inertial measurement</w:t>
      </w:r>
    </w:p>
    <w:p>
      <w:pPr>
        <w:pStyle w:val="Normal"/>
        <w:spacing w:before="0" w:after="50" w:line="250" w:lineRule="auto"/>
        <w:rPr/>
      </w:pPr>
      <w:r>
        <w:rPr>
          <w:rFonts w:ascii="Calibri" w:hAnsi="Calibri"/>
          <w:color w:val="000000"/>
          <w:sz w:val="20"/>
        </w:rPr>
        <w:t>An accelerometer measures specific force along defined axes; related inertial sensors may measure angular motion. These channels can help characterize vibration, handling shocks and movement during acquisition. Their output depends on mounting, bandwidth, orientation and the influence of gravity.</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Acceleration is expressed in metres per second squared or in a declared multiple of standard gravity. Frequency-domain descriptors can summarize vibration over an observation interval. The useful question is whether mechanical disturbance is large enough to compromise the selected image or instrument state.</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Axis scale, offset, alignment, frequency response and timestamp accuracy.</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Mounting resonance, temperature, aliasing, gravity projection and electrical noise.</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Rigid representative placement, synchronized sampling and signal processing.</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Demonstrated relationship between the monitored disturbance and measurement quality.</w:t>
      </w:r>
    </w:p>
    <w:p>
      <w:pPr>
        <w:pStyle w:val="Heading3"/>
        <w:keepNext/>
        <w:keepLines/>
        <w:spacing w:before="240" w:after="120" w:line="269" w:lineRule="auto"/>
      </w:pPr>
      <w:r>
        <w:rPr>
          <w:color w:val="000000"/>
        </w:rPr>
        <w:t>Link vibration to an optical consequence</w:t>
      </w:r>
    </w:p>
    <w:p>
      <w:pPr>
        <w:pStyle w:val="Normal"/>
        <w:spacing w:before="0" w:after="50" w:line="250" w:lineRule="auto"/>
        <w:rPr/>
      </w:pPr>
      <w:r>
        <w:rPr>
          <w:rFonts w:ascii="Calibri" w:hAnsi="Calibri"/>
          <w:color w:val="000000"/>
          <w:sz w:val="20"/>
        </w:rPr>
        <w:t>A vibration signal should not trigger an arbitrary rejection threshold without evidence. The qualification should compare inertial observations with image blur, registration error or another relevant outcome. Some measured vibration may be harmless, while an unmonitored local motion may still affect the optics.</w:t>
      </w:r>
    </w:p>
    <w:p>
      <w:pPr>
        <w:pStyle w:val="Normal"/>
        <w:spacing w:before="0" w:after="50" w:line="250" w:lineRule="auto"/>
        <w:rPr/>
      </w:pPr>
      <w:r>
        <w:rPr>
          <w:rFonts w:ascii="Calibri" w:hAnsi="Calibri"/>
          <w:color w:val="000000"/>
          <w:sz w:val="20"/>
        </w:rPr>
        <w:t>This channel is proposed for engineering characterization and readiness checks. It may also help investigate transport damage or recurring faults. The record should preserve the interval and bandwidth used for a summary, because a single “vibration score” can conceal whether a short shock occurred during the actual exposure or at an irrelevant time.</w:t>
      </w:r>
    </w:p>
    <w:p>
      <w:pPr>
        <w:pStyle w:val="Heading3"/>
        <w:keepNext/>
        <w:keepLines/>
        <w:spacing w:before="240" w:after="120" w:line="269" w:lineRule="auto"/>
      </w:pPr>
      <w:r>
        <w:rPr>
          <w:color w:val="000000"/>
        </w:rPr>
        <w:t>S39 Electrical power monitoring</w:t>
      </w:r>
    </w:p>
    <w:p>
      <w:pPr>
        <w:pStyle w:val="Normal"/>
        <w:keepNext/>
        <w:spacing w:before="0" w:after="50" w:line="250" w:lineRule="auto"/>
        <w:rPr/>
      </w:pPr>
      <w:r>
        <w:rPr>
          <w:rFonts w:ascii="Calibri" w:hAnsi="Calibri"/>
          <w:b/>
          <w:color w:val="000000"/>
          <w:sz w:val="20"/>
        </w:rPr>
        <w:t>S39 · Instrument-monitoring candidate · Electrical power measurement</w:t>
      </w:r>
    </w:p>
    <w:p>
      <w:pPr>
        <w:pStyle w:val="Normal"/>
        <w:spacing w:before="0" w:after="50" w:line="250" w:lineRule="auto"/>
        <w:rPr/>
      </w:pPr>
      <w:r>
        <w:rPr>
          <w:rFonts w:ascii="Calibri" w:hAnsi="Calibri"/>
          <w:color w:val="000000"/>
          <w:sz w:val="20"/>
        </w:rPr>
        <w:t>Voltage and current monitoring can reveal supply instability, overload, abnormal consumption or a failing subsystem. Electrical power is derived from the appropriate voltage-current relationship, with waveform and measurement timing considered where relevant. A low reported average can conceal short disturbances that affect capture or storage.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Outputs include volts, amperes, watts and integrated energy in joules or watt-hours. Candidate functions include detecting undervoltage, verifying a load budget and relating faults to acquisition or processing activity.</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Reference voltage and current, sense-path resistance, offset and sampling response.</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Transients, wiring drops, thermal drift, measurement bandwidth and shared ground effects.</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Appropriate sensing location, protection, isolation where needed and event synchronization.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Detection of disturbances that can affect the actual instrument function.</w:t>
      </w:r>
    </w:p>
    <w:p>
      <w:pPr>
        <w:pStyle w:val="Heading3"/>
        <w:keepNext/>
        <w:keepLines/>
        <w:spacing w:before="240" w:after="120" w:line="269" w:lineRule="auto"/>
      </w:pPr>
      <w:r>
        <w:rPr>
          <w:color w:val="000000"/>
        </w:rPr>
        <w:t>Preserve the affected operation</w:t>
      </w:r>
    </w:p>
    <w:p>
      <w:pPr>
        <w:pStyle w:val="Normal"/>
        <w:spacing w:before="0" w:after="50" w:line="250" w:lineRule="auto"/>
        <w:rPr/>
      </w:pPr>
      <w:r>
        <w:rPr>
          <w:rFonts w:ascii="Calibri" w:hAnsi="Calibri"/>
          <w:color w:val="000000"/>
          <w:sz w:val="20"/>
        </w:rPr>
        <w:t>A power fault during storage may threaten record completeness, while a disturbance during exposure may alter an image. The system should associate the event with the relevant operation and verify recovery rather than merely clearing an alarm after the voltage returns.</w:t>
      </w:r>
    </w:p>
    <w:p>
      <w:pPr>
        <w:pStyle w:val="Normal"/>
        <w:spacing w:before="0" w:after="50" w:line="250" w:lineRule="auto"/>
        <w:rPr/>
      </w:pPr>
      <w:r>
        <w:rPr>
          <w:rFonts w:ascii="Calibri" w:hAnsi="Calibri"/>
          <w:color w:val="000000"/>
          <w:sz w:val="20"/>
        </w:rPr>
        <w:t>This proposed channel supports reliability and service. It does not measure biological activity. Qualification should include controlled electrical load scenarios, safe shutdown and restart behaviour, and verification that a partial record cannot appear complete. Power monitoring is especially useful when paired with data-integrity checks that reveal whether an electrical event had a lasting consequence.</w:t>
      </w:r>
    </w:p>
    <w:p>
      <w:pPr>
        <w:pStyle w:val="Heading3"/>
        <w:keepNext/>
        <w:keepLines/>
        <w:spacing w:before="240" w:after="120" w:line="269" w:lineRule="auto"/>
      </w:pPr>
      <w:r>
        <w:rPr>
          <w:color w:val="000000"/>
        </w:rPr>
        <w:t>S40 Reference photodiode monitoring</w:t>
      </w:r>
    </w:p>
    <w:p>
      <w:pPr>
        <w:pStyle w:val="Normal"/>
        <w:keepNext/>
        <w:spacing w:before="0" w:after="50" w:line="250" w:lineRule="auto"/>
        <w:rPr/>
      </w:pPr>
      <w:r>
        <w:rPr>
          <w:rFonts w:ascii="Calibri" w:hAnsi="Calibri"/>
          <w:b/>
          <w:color w:val="000000"/>
          <w:sz w:val="20"/>
        </w:rPr>
        <w:t>S40 · Instrument-monitoring candidate · Optical reference measurement</w:t>
      </w:r>
    </w:p>
    <w:p>
      <w:pPr>
        <w:pStyle w:val="Normal"/>
        <w:spacing w:before="0" w:after="50" w:line="250" w:lineRule="auto"/>
        <w:rPr/>
      </w:pPr>
      <w:r>
        <w:rPr>
          <w:rFonts w:ascii="Calibri" w:hAnsi="Calibri"/>
          <w:color w:val="000000"/>
          <w:sz w:val="20"/>
        </w:rPr>
        <w:t>A reference photodiode measures light at a defined location in the illumination path. With a suitable response calibration, it can help distinguish a changing source from a changing sample. Its observation is local and spectrally weighted by the detector response.</w:t>
      </w:r>
    </w:p>
    <w:p>
      <w:pPr>
        <w:pStyle w:val="Heading3"/>
        <w:keepNext/>
        <w:keepLines/>
        <w:spacing w:before="240" w:after="120" w:line="269" w:lineRule="auto"/>
      </w:pPr>
      <w:r>
        <w:rPr>
          <w:color w:val="000000"/>
        </w:rPr>
        <w:t>Signal and useful question</w:t>
      </w:r>
    </w:p>
    <w:p>
      <w:pPr>
        <w:pStyle w:val="Normal"/>
        <w:spacing w:before="0" w:after="50" w:line="250" w:lineRule="auto"/>
        <w:rPr/>
      </w:pPr>
      <w:r>
        <w:rPr>
          <w:rFonts w:ascii="Calibri" w:hAnsi="Calibri"/>
          <w:color w:val="000000"/>
          <w:sz w:val="20"/>
        </w:rPr>
        <w:t>The primary quantity is photocurrent or converted voltage. Derived optical power or relative intensity requires a stated responsivity and geometry. Candidate uses include monitoring source stability, detecting a failed illumination channel and verifying exposure synchronization.</w:t>
      </w:r>
    </w:p>
    <w:p>
      <w:pPr>
        <w:spacing w:before="0" w:after="50" w:line="250" w:lineRule="auto"/>
      </w:pPr>
      <w:r>
        <w:rPr>
          <w:rFonts w:ascii="Calibri" w:hAnsi="Calibri"/>
          <w:color w:val="000000"/>
          <w:sz w:val="20"/>
        </w:rPr>
        <w:t xml:space="preserve">Qualification element: Calibration</w:t>
      </w:r>
    </w:p>
    <w:p>
      <w:pPr>
        <w:spacing w:before="0" w:after="50" w:line="250" w:lineRule="auto"/>
      </w:pPr>
      <w:r>
        <w:rPr>
          <w:rFonts w:ascii="Calibri" w:hAnsi="Calibri"/>
          <w:color w:val="000000"/>
          <w:sz w:val="20"/>
        </w:rPr>
        <w:t xml:space="preserve">Proposed treatment: Detector responsivity, linearity, dark offset, amplifier gain and reference geometry.</w:t>
      </w:r>
    </w:p>
    <w:p>
      <w:pPr>
        <w:spacing w:before="0" w:after="50" w:line="250" w:lineRule="auto"/>
      </w:pPr>
      <w:r>
        <w:rPr>
          <w:rFonts w:ascii="Calibri" w:hAnsi="Calibri"/>
          <w:color w:val="000000"/>
          <w:sz w:val="20"/>
        </w:rPr>
        <w:t xml:space="preserve">Qualification element: Confounders</w:t>
      </w:r>
    </w:p>
    <w:p>
      <w:pPr>
        <w:spacing w:before="0" w:after="50" w:line="250" w:lineRule="auto"/>
      </w:pPr>
      <w:r>
        <w:rPr>
          <w:rFonts w:ascii="Calibri" w:hAnsi="Calibri"/>
          <w:color w:val="000000"/>
          <w:sz w:val="20"/>
        </w:rPr>
        <w:t xml:space="preserve">Proposed treatment: Detector ageing, temperature, contamination, stray light and spectral mismatch with the imaging path.</w:t>
      </w:r>
    </w:p>
    <w:p>
      <w:pPr>
        <w:spacing w:before="0" w:after="50" w:line="250" w:lineRule="auto"/>
      </w:pPr>
      <w:r>
        <w:rPr>
          <w:rFonts w:ascii="Calibri" w:hAnsi="Calibri"/>
          <w:color w:val="000000"/>
          <w:sz w:val="20"/>
        </w:rPr>
        <w:t xml:space="preserve">Qualification element: Integration burden</w:t>
      </w:r>
    </w:p>
    <w:p>
      <w:pPr>
        <w:spacing w:before="0" w:after="50" w:line="250" w:lineRule="auto"/>
      </w:pPr>
      <w:r>
        <w:rPr>
          <w:rFonts w:ascii="Calibri" w:hAnsi="Calibri"/>
          <w:color w:val="000000"/>
          <w:sz w:val="20"/>
        </w:rPr>
        <w:t xml:space="preserve">Proposed treatment: A representative pick-off location, stable optics and synchronized acquisition.</w:t>
      </w:r>
    </w:p>
    <w:p>
      <w:pPr>
        <w:spacing w:before="0" w:after="50" w:line="250" w:lineRule="auto"/>
      </w:pPr>
      <w:r>
        <w:rPr>
          <w:rFonts w:ascii="Calibri" w:hAnsi="Calibri"/>
          <w:color w:val="000000"/>
          <w:sz w:val="20"/>
        </w:rPr>
        <w:t xml:space="preserve">Qualification element: Selection criterion</w:t>
      </w:r>
    </w:p>
    <w:p>
      <w:pPr>
        <w:spacing w:before="0" w:after="50" w:line="250" w:lineRule="auto"/>
      </w:pPr>
      <w:r>
        <w:rPr>
          <w:rFonts w:ascii="Calibri" w:hAnsi="Calibri"/>
          <w:color w:val="000000"/>
          <w:sz w:val="20"/>
        </w:rPr>
        <w:t xml:space="preserve">Proposed treatment: Reliable detection of illumination changes relevant to image quality.</w:t>
      </w:r>
    </w:p>
    <w:p>
      <w:pPr>
        <w:pStyle w:val="Heading3"/>
        <w:keepNext/>
        <w:keepLines/>
        <w:spacing w:before="240" w:after="120" w:line="269" w:lineRule="auto"/>
      </w:pPr>
      <w:r>
        <w:rPr>
          <w:color w:val="000000"/>
        </w:rPr>
        <w:t>A source check is not a full-field check</w:t>
      </w:r>
    </w:p>
    <w:p>
      <w:pPr>
        <w:pStyle w:val="Normal"/>
        <w:spacing w:before="0" w:after="50" w:line="250" w:lineRule="auto"/>
        <w:rPr/>
      </w:pPr>
      <w:r>
        <w:rPr>
          <w:rFonts w:ascii="Calibri" w:hAnsi="Calibri"/>
          <w:color w:val="000000"/>
          <w:sz w:val="20"/>
        </w:rPr>
        <w:t>The photodiode may report stable light while a diffuser shifts, a lens becomes contaminated or one part of the field darkens. It should complement, rather than replace, spatial image-quality verification. A reference channel also shares some failure mechanisms with the source it monitors, so independent checks remain useful.</w:t>
      </w:r>
    </w:p>
    <w:p>
      <w:pPr>
        <w:pStyle w:val="Normal"/>
        <w:spacing w:before="0" w:after="50" w:line="250" w:lineRule="auto"/>
        <w:rPr/>
      </w:pPr>
      <w:r>
        <w:rPr>
          <w:rFonts w:ascii="Calibri" w:hAnsi="Calibri"/>
          <w:color w:val="000000"/>
          <w:sz w:val="20"/>
        </w:rPr>
        <w:t>This candidate is particularly relevant to a controlled imaging reader. The proposed evaluation should determine which faults the reference can detect, how quickly it detects them and which faults remain invisible. The result should be a specific quality-control function with an explicit limit, not a general assurance that every captured image is correctly illuminated.</w:t>
      </w:r>
    </w:p>
    <w:p>
      <w:pPr>
        <w:pStyle w:val="Heading2"/>
        <w:keepNext/>
        <w:keepLines/>
      </w:pPr>
      <w:r>
        <w:rPr>
          <w:color w:val="000000"/>
        </w:rPr>
        <w:t>Integrated instrument configuration requirements</w:t>
      </w:r>
    </w:p>
    <w:p>
      <w:pPr>
        <w:spacing w:before="0" w:after="50" w:line="250" w:lineRule="auto"/>
      </w:pPr>
      <w:r>
        <w:rPr>
          <w:rFonts w:ascii="Calibri" w:hAnsi="Calibri"/>
          <w:sz w:val="20"/>
        </w:rPr>
        <w:t>The optional Bio-Vault configuration separates compute, sample environment and power functions. Candidate design elements include an independently controlled thermal chamber, camera and lens mount, low-voltage illumination, environmental monitoring, service access and separately qualified power and safety systems. These are proposed design choices, not proof of an assembled or validated instrument.</w:t>
      </w:r>
    </w:p>
    <w:p>
      <w:pPr>
        <w:spacing w:before="0" w:after="50" w:line="250" w:lineRule="auto"/>
      </w:pPr>
      <w:r>
        <w:rPr>
          <w:rFonts w:ascii="Calibri" w:hAnsi="Calibri"/>
          <w:sz w:val="20"/>
        </w:rPr>
        <w:t>A PT100/Peltier approach, humidity-control options, IMX585-class industrial imaging, STM32-class controller, local interface computer and optional edge accelerator require system-level qualification. Tight temperature, humidity or dimensional targets must be verified in the assembled configuration. HEPA filtration or UV-C components do not by themselves establish sterility or biosafety containment.</w:t>
      </w:r>
    </w:p>
    <w:p>
      <w:pPr>
        <w:spacing w:before="0" w:after="50" w:line="250" w:lineRule="auto"/>
      </w:pPr>
      <w:r>
        <w:rPr>
          <w:rFonts w:ascii="Calibri" w:hAnsi="Calibri"/>
          <w:sz w:val="20"/>
        </w:rPr>
        <w:t>The controller must enforce interlocks independently of the interface and AI. BME688/BME690 VOC signals are auxiliary research observations, VL53L8CX is a coarse positioning/depth candidate, and load-cell measurements support gravimetric QC rather than unproven microgram biomass measurement. NIR is an experiment, not guaranteed condensation transparency.</w:t>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Hardware and Sensing Engineering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drive.google.com/file/d/1RTRqQsgskSywx2cf2YkpJOHzD_qNFfPv/view"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Hardware and Sensing Engineering</dc:title>
  <dc:subject>Engineering reference for imaging, calibration, sensors and instrument configuration. The listed sensing options are design and research candidates; their inclusion does not establish an implemented instrument or a validated biological measurement.</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