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pPr>
      <w:r>
        <w:rPr>
          <w:color w:val="000000"/>
        </w:rPr>
        <w:t>AMREYE AI Product and Laboratory Workflows</w:t>
      </w:r>
    </w:p>
    <w:p>
      <w:pPr>
        <w:spacing w:before="0" w:after="50" w:line="250" w:lineRule="auto"/>
      </w:pPr>
      <w:r>
        <w:rPr>
          <w:rFonts w:ascii="Calibri" w:hAnsi="Calibri"/>
          <w:sz w:val="20"/>
        </w:rPr>
        <w:t>Detailed product functions, laboratory workflows, intended applications and expansion boundaries. The immediate product is Reader V1 for endpoint disk diffusion. Broader sectors and capabilities remain proposed or subject to their own evidence.</w:t>
      </w:r>
    </w:p>
    <w:p>
      <w:pPr>
        <w:spacing w:before="0" w:after="50" w:line="250" w:lineRule="auto"/>
      </w:pPr>
      <w:r>
        <w:rPr>
          <w:rFonts w:ascii="Calibri" w:hAnsi="Calibri"/>
          <w:sz w:val="20"/>
        </w:rPr>
        <w:t>Supporting reference revised 19 September 2026 from the source master last updated 17 September 2026. Detailed source content is retained for specialist use. Original figure and table numbers are retained for traceability. The concise AMREYE.AI Super Document remains the main project overview.</w:t>
      </w:r>
    </w:p>
    <w:p>
      <w:pPr>
        <w:spacing w:before="0" w:after="50" w:line="250" w:lineRule="auto"/>
      </w:pPr>
      <w:hyperlink r:id="rId11">
        <w:r>
          <w:rPr>
            <w:color w:val="154F63"/>
            <w:u w:val="single"/>
          </w:rPr>
          <w:t>Open the main project overview</w:t>
        </w:r>
      </w:hyperlink>
    </w:p>
    <w:p>
      <w:pPr>
        <w:pStyle w:val="Heading2"/>
        <w:keepNext/>
        <w:keepLines/>
      </w:pPr>
      <w:r>
        <w:rPr>
          <w:color w:val="000000"/>
        </w:rPr>
        <w:t>Contents</w:t>
      </w:r>
    </w:p>
    <w:p>
      <w:pPr>
        <w:spacing w:before="0" w:after="50" w:line="250" w:lineRule="auto"/>
      </w:pPr>
      <w:hyperlink w:anchor="P1_chapter_1">
        <w:r>
          <w:rPr>
            <w:color w:val="154F63"/>
            <w:u w:val="single"/>
          </w:rPr>
          <w:t>Project scope and requirements</w:t>
        </w:r>
      </w:hyperlink>
    </w:p>
    <w:p>
      <w:pPr>
        <w:spacing w:before="0" w:after="50" w:line="250" w:lineRule="auto"/>
      </w:pPr>
      <w:hyperlink w:anchor="P1_chapter_2">
        <w:r>
          <w:rPr>
            <w:color w:val="154F63"/>
            <w:u w:val="single"/>
          </w:rPr>
          <w:t>Product portfolio and laboratory workflows</w:t>
        </w:r>
      </w:hyperlink>
    </w:p>
    <w:p>
      <w:pPr>
        <w:spacing w:before="0" w:after="50" w:line="250" w:lineRule="auto"/>
      </w:pPr>
      <w:hyperlink w:anchor="P1_chapter_3">
        <w:r>
          <w:rPr>
            <w:color w:val="154F63"/>
            <w:u w:val="single"/>
          </w:rPr>
          <w:t>Intended applications and expansion boundaries</w:t>
        </w:r>
      </w:hyperlink>
    </w:p>
    <w:p>
      <w:pPr>
        <w:spacing w:before="0" w:after="50" w:line="250" w:lineRule="auto"/>
      </w:pPr>
      <w:hyperlink r:id="rId12">
        <w:r>
          <w:rPr>
            <w:color w:val="154F63"/>
            <w:u w:val="single"/>
          </w:rPr>
          <w:t>Full source catalogue</w:t>
        </w:r>
      </w:hyperlink>
    </w:p>
    <w:p>
      <w:pPr>
        <w:spacing w:before="0" w:after="50" w:line="250" w:lineRule="auto"/>
      </w:pPr>
    </w:p>
    <w:p>
      <w:pPr>
        <w:pStyle w:val="Heading1"/>
        <w:keepNext/>
        <w:keepLines/>
        <w:pageBreakBefore w:val="0"/>
      </w:pPr>
      <w:bookmarkStart w:id="200000" w:name="P1_chapter_1"/>
      <w:r>
        <w:rPr>
          <w:color w:val="000000"/>
        </w:rPr>
        <w:t>Project scope and requirements</w:t>
      </w:r>
      <w:bookmarkStart w:id="95000" w:name="product_1"/>
      <w:bookmarkEnd w:id="95000"/>
      <w:bookmarkEnd w:id="200000"/>
    </w:p>
    <w:p>
      <w:pPr>
        <w:pStyle w:val="Normal"/>
        <w:spacing w:before="0" w:after="50" w:line="250" w:lineRule="auto"/>
        <w:rPr/>
      </w:pPr>
      <w:r>
        <w:rPr>
          <w:rFonts w:ascii="Calibri" w:hAnsi="Calibri"/>
          <w:color w:val="000000"/>
          <w:sz w:val="20"/>
        </w:rPr>
        <w:t>Current stage: PoC / early prototype. The evidence currently available supports the system architecture, web/PWA interface work, a zone-analysis concept and technical documentation. The project must not claim clinical validation, regulatory clearance, paying customers, a measured diagnostic-accuracy rate, completed IP filing or completed company/LLP registration unless newer evidence is added to this master file.</w:t>
      </w:r>
    </w:p>
    <w:p>
      <w:pPr>
        <w:pStyle w:val="Normal"/>
        <w:spacing w:before="0" w:after="50" w:line="250" w:lineRule="auto"/>
        <w:rPr/>
      </w:pPr>
      <w:r>
        <w:rPr>
          <w:rFonts w:ascii="Calibri" w:hAnsi="Calibri"/>
          <w:color w:val="000000"/>
          <w:sz w:val="20"/>
        </w:rPr>
        <w:t>Current product positioning: AMR-Eye.AI starts with AI-assisted antimicrobial susceptibility testing and evolves toward modular laboratory bio-automation through SaaS-BAHU. The immediate product is not a generic AI diagnostic; it is a measurement, standards and human-review workflow around microbiology.</w:t>
      </w:r>
    </w:p>
    <w:p>
      <w:pPr>
        <w:pStyle w:val="Normal"/>
        <w:spacing w:before="0" w:after="50" w:line="250" w:lineRule="auto"/>
        <w:rPr/>
      </w:pPr>
      <w:r>
        <w:rPr>
          <w:rFonts w:ascii="Calibri" w:hAnsi="Calibri"/>
          <w:color w:val="000000"/>
          <w:sz w:val="20"/>
        </w:rPr>
        <w:t>Current commercial model: system sale or lease plus recurring software subscription, workflow/AI modules, custom integration, annual maintenance and calibration. Hospital microbiology laboratories and diagnostic laboratories are the initial beachhead; later One Health sectors are expansion markets only after method-specific validation.</w:t>
      </w:r>
    </w:p>
    <w:p>
      <w:pPr>
        <w:pStyle w:val="Normal"/>
        <w:spacing w:before="0" w:after="50" w:line="250" w:lineRule="auto"/>
        <w:rPr/>
      </w:pPr>
      <w:r>
        <w:rPr>
          <w:rFonts w:ascii="Calibri" w:hAnsi="Calibri"/>
          <w:color w:val="000000"/>
          <w:sz w:val="20"/>
        </w:rPr>
        <w:t>Go-to-market working plan: conduct structured customer discovery with hospital/diagnostic microbiology laboratories, co-design with microbiologists and engineering partners, then move to a small number of supervised validation/pilot sites before regional service/distribution expansion. India evidence note: a 2022 survey of 100 responding clinical microbiologists (61% from medical colleges and geographically weighted toward southern India) found that 71% used disk diffusion, 63% reported AST automation and 37% reported no AST automation; all respondents used CLSI interpretation. This is not a nationally representative market-size estimate, but it supports discovery around disk-diffusion workflow, quality control, training, serviceability and affordability rather than assuming universal automation. Source: Borde et al., Cureus 2022, PMID 36465196, PMCID PMC9714383, DOI 10.7759/cureus.30971. The first sellable offer is intended to be an AST-focused module; broader subscriptions, integrations and automation modules follow workflow proof.</w:t>
      </w:r>
    </w:p>
    <w:p>
      <w:pPr>
        <w:pStyle w:val="Normal"/>
        <w:spacing w:before="0" w:after="50" w:line="250" w:lineRule="auto"/>
        <w:rPr/>
      </w:pPr>
      <w:r>
        <w:rPr>
          <w:rFonts w:ascii="Calibri" w:hAnsi="Calibri"/>
          <w:color w:val="000000"/>
          <w:sz w:val="20"/>
        </w:rPr>
        <w:t>Current support requested from PIERC/incubation partners: microbiology and med-tech mentors; partner-lab access; prototype facilities; validation/statistics guidance; QMS, IP and CDSCO strategy; and grant/funding introductions. Target output is an integrated prototype, curated dataset, reference comparison and supervised pilot readiness.</w:t>
      </w:r>
    </w:p>
    <w:p>
      <w:pPr>
        <w:pStyle w:val="Normal"/>
        <w:spacing w:before="0" w:after="50" w:line="250" w:lineRule="auto"/>
        <w:rPr/>
      </w:pPr>
      <w:r>
        <w:rPr>
          <w:rFonts w:ascii="Calibri" w:hAnsi="Calibri"/>
          <w:color w:val="000000"/>
          <w:sz w:val="20"/>
        </w:rPr>
        <w:t>Competitive positioning rule: Reshape, BIOMIC, VITEK, Phoenix and WASPLab should be presented as evidence that automation and digital bacteriology markets exist, not as products that AMR-Eye has already surpassed. AMReye.AI’s intended differentiation is AST-first, modular, inspectable, edge/offline-capable and standards-grounded. India is the priority initial validation/translation environment, but the product architecture should be globally adaptable through separately versioned regional/sector standards, interoperability profiles, regulatory pathways and validated intended-use modules rather than being designed as India-only.</w:t>
      </w:r>
    </w:p>
    <w:p>
      <w:pPr>
        <w:spacing w:before="0" w:after="50" w:line="250" w:lineRule="auto"/>
      </w:pPr>
      <w:r>
        <w:rPr>
          <w:rFonts w:ascii="Calibri" w:hAnsi="Calibri"/>
          <w:sz w:val="20"/>
        </w:rPr>
        <w:t>The recorded team is Namdev Tukaram Shirodkar, Tanishq Chari, Mahima Naik and Herambh Prabhu Dessai. Project responsibilities do not establish legal ownership or employment titles.</w:t>
      </w:r>
    </w:p>
    <w:p>
      <w:pPr>
        <w:pStyle w:val="Heading2"/>
        <w:keepNext/>
        <w:keepLines/>
      </w:pPr>
      <w:r>
        <w:rPr>
          <w:color w:val="000000"/>
        </w:rPr>
        <w:t>Capability status and acceptance requirements</w:t>
      </w:r>
    </w:p>
    <w:p>
      <w:pPr>
        <w:spacing w:before="0" w:after="50" w:line="250" w:lineRule="auto"/>
      </w:pPr>
      <w:r>
        <w:rPr>
          <w:rFonts w:ascii="Calibri" w:hAnsi="Calibri"/>
          <w:sz w:val="20"/>
        </w:rPr>
        <w:t>Reader V1 must associate each image with a plate identity, acquisition configuration, valid dimensional calibration, QC/readability state, versioned interpretation and accountable human review. Missing or invalid evidence must lead to abstention or recapture, not a fabricated result.</w:t>
      </w:r>
    </w:p>
    <w:p>
      <w:pPr>
        <w:spacing w:before="0" w:after="50" w:line="250" w:lineRule="auto"/>
      </w:pPr>
      <w:r>
        <w:rPr>
          <w:rFonts w:ascii="Calibri" w:hAnsi="Calibri"/>
          <w:sz w:val="20"/>
        </w:rPr>
        <w:t>The sensing programme evaluates complementary measurement principles, calibration, confounders, units, uncertainty, integration burden and correlated failures. A large sensor count does not establish reliability or assay specificity.</w:t>
      </w:r>
    </w:p>
    <w:p>
      <w:pPr>
        <w:spacing w:before="0" w:after="50" w:line="250" w:lineRule="auto"/>
      </w:pPr>
      <w:r>
        <w:rPr>
          <w:rFonts w:ascii="Calibri" w:hAnsi="Calibri"/>
          <w:sz w:val="20"/>
        </w:rPr>
        <w:t>Each AI function needs a defined task, a non-AI or simpler baseline, representative independent evaluation, failure analysis and a specified role for review. Genomic predictions must remain distinct from molecular measurements.</w:t>
      </w:r>
    </w:p>
    <w:p>
      <w:pPr>
        <w:spacing w:before="0" w:after="50" w:line="250" w:lineRule="auto"/>
      </w:pPr>
      <w:r>
        <w:rPr>
          <w:rFonts w:ascii="Calibri" w:hAnsi="Calibri"/>
          <w:sz w:val="20"/>
        </w:rPr>
        <w:t>PIMS must support plate identity, source observations, revisions and traceability. Measured, derived, imputed, simulated and unavailable values must remain distinguishable. A digital record is not automatically a validated predictive digital twin.</w:t>
      </w:r>
    </w:p>
    <w:p>
      <w:pPr>
        <w:spacing w:before="0" w:after="50" w:line="250" w:lineRule="auto"/>
      </w:pPr>
      <w:r>
        <w:rPr>
          <w:rFonts w:ascii="Calibri" w:hAnsi="Calibri"/>
          <w:sz w:val="20"/>
        </w:rPr>
        <w:t>Heteroresistance, tolerance, persistence, rapid testing and sub-two-hour ambitions need separate definitions and evidence. No zero-error, universal rapid-result, automatic diagnosis or prescribing claim follows from the platform architecture.</w:t>
      </w:r>
    </w:p>
    <w:p>
      <w:pPr>
        <w:spacing w:before="0" w:after="50" w:line="250" w:lineRule="auto"/>
      </w:pPr>
      <w:r>
        <w:rPr>
          <w:rFonts w:ascii="Calibri" w:hAnsi="Calibri"/>
          <w:sz w:val="20"/>
        </w:rPr>
        <w:t>Hardware, software and service offerings need distinct delivery scopes. Voice, AR, touchless and remote interfaces must not bypass independent physical safety or result-release authority.</w:t>
      </w:r>
    </w:p>
    <w:p>
      <w:pPr>
        <w:spacing w:before="0" w:after="50" w:line="250" w:lineRule="auto"/>
      </w:pPr>
      <w:r>
        <w:rPr>
          <w:rFonts w:ascii="Calibri" w:hAnsi="Calibri"/>
          <w:sz w:val="20"/>
        </w:rPr>
        <w:t>Requirement fulfilment is established by test evidence against the intended use, not by inclusion in this document.</w:t>
      </w:r>
    </w:p>
    <w:p>
      <w:pPr>
        <w:pStyle w:val="Caption"/>
        <w:keepNext/>
      </w:pPr>
      <w:bookmarkStart w:id="97000" w:name="figure_1"/>
      <w:r>
        <w:t>Figure 1 Reader V1 measurement and review workflow</w:t>
      </w:r>
      <w:bookmarkEnd w:id="97000"/>
    </w:p>
    <w:p xmlns:pic="http://schemas.openxmlformats.org/drawingml/2006/picture">
      <w:pPr>
        <w:pStyle w:val="Normal"/>
        <w:spacing w:before="0" w:after="50" w:line="250" w:lineRule="auto"/>
        <w:rPr/>
      </w:pPr>
      <w:r>
        <w:rPr>
          <w:rFonts w:ascii="Calibri" w:hAnsi="Calibri"/>
          <w:sz w:val="20"/>
        </w:rPr>
        <w:t>Qualified plate and method → controlled imaging → readability and quality checks → calibrated zone measurement → versioned standards interpretation → human review → report or laboratory and surveillance export.</w:t>
      </w:r>
    </w:p>
    <w:p>
      <w:pPr>
        <w:spacing w:before="0" w:after="50" w:line="250" w:lineRule="auto"/>
      </w:pPr>
      <w:r>
        <w:rPr>
          <w:rFonts w:ascii="Calibri" w:hAnsi="Calibri"/>
          <w:sz w:val="20"/>
        </w:rPr>
        <w:t>Image or model performance, dimensional measurement performance and categorical AST agreement are different outcomes. Synthetic demonstrations and external benchmarks do not establish AMREYE performance without project-specific validation.</w:t>
      </w:r>
    </w:p>
    <w:p>
      <w:pPr>
        <w:pStyle w:val="Heading1"/>
        <w:keepNext/>
        <w:keepLines/>
        <w:pageBreakBefore w:val="0"/>
      </w:pPr>
      <w:bookmarkStart w:id="200001" w:name="P1_chapter_2"/>
      <w:r>
        <w:rPr>
          <w:color w:val="000000"/>
        </w:rPr>
        <w:t>Product portfolio and laboratory workflows</w:t>
      </w:r>
      <w:bookmarkStart w:id="95001" w:name="product_2"/>
      <w:bookmarkEnd w:id="95001"/>
      <w:bookmarkEnd w:id="200001"/>
    </w:p>
    <w:p>
      <w:pPr>
        <w:pStyle w:val="Heading3"/>
        <w:keepNext/>
        <w:keepLines/>
        <w:spacing w:before="240" w:after="120" w:line="269" w:lineRule="auto"/>
      </w:pPr>
      <w:r>
        <w:rPr>
          <w:color w:val="000000"/>
        </w:rPr>
        <w:t>The laboratory problem AMReye.AI addresses</w:t>
      </w:r>
    </w:p>
    <w:p>
      <w:pPr>
        <w:pStyle w:val="Normal"/>
        <w:spacing w:before="0" w:after="50" w:line="250" w:lineRule="auto"/>
        <w:rPr/>
      </w:pPr>
      <w:r>
        <w:rPr>
          <w:rFonts w:ascii="Calibri" w:hAnsi="Calibri"/>
          <w:color w:val="000000"/>
          <w:sz w:val="20"/>
        </w:rPr>
        <w:t>Laboratories need results that can be trusted, explained and delivered through a workable process. Manual observation can preserve valuable expert judgement, but it can also leave measurement context dispersed across images, worksheets and information systems. Automation is useful when it improves a defined part of that process without removing the evidence a reviewer needs.</w:t>
      </w:r>
    </w:p>
    <w:p>
      <w:pPr>
        <w:pStyle w:val="Heading3"/>
        <w:keepNext/>
        <w:keepLines/>
        <w:spacing w:before="240" w:after="120" w:line="269" w:lineRule="auto"/>
      </w:pPr>
      <w:r>
        <w:rPr>
          <w:color w:val="000000"/>
        </w:rPr>
        <w:t>Three practical gaps</w:t>
      </w:r>
    </w:p>
    <w:p>
      <w:pPr>
        <w:pStyle w:val="Normal"/>
        <w:spacing w:before="0" w:after="50" w:line="250" w:lineRule="auto"/>
        <w:rPr/>
      </w:pPr>
      <w:r>
        <w:rPr>
          <w:rFonts w:ascii="Calibri" w:hAnsi="Calibri"/>
          <w:color w:val="000000"/>
          <w:sz w:val="20"/>
        </w:rPr>
        <w:t>The first gap is repeatable acquisition: lighting, pose and scale can vary between images. The second is traceable interpretation: a measured quantity, the applicable standards rule and the reviewer’s decision may not be stored as separate objects. The third is continuity: an image or observation series may become difficult to retrieve after a correction, instrument change or research reanalysis.</w:t>
      </w:r>
    </w:p>
    <w:p>
      <w:pPr>
        <w:pStyle w:val="Normal"/>
        <w:spacing w:before="0" w:after="50" w:line="250" w:lineRule="auto"/>
        <w:rPr/>
      </w:pPr>
      <w:r>
        <w:rPr>
          <w:rFonts w:ascii="Calibri" w:hAnsi="Calibri"/>
          <w:color w:val="000000"/>
          <w:sz w:val="20"/>
        </w:rPr>
        <w:t xml:space="preserve">AMReye.AI proposes a connected measurement workflow around those gaps. The wider AMR problem provides the public health motivation, but a reader’s contribution must be demonstrated through laboratory outcomes rather than inferred from global burden figures. WHO identifies AMR as a major global health challenge; that does not establish the impact of a particular device. </w:t>
      </w:r>
    </w:p>
    <w:p>
      <w:pPr>
        <w:spacing w:before="0" w:after="50" w:line="250" w:lineRule="auto"/>
      </w:pPr>
      <w:r>
        <w:rPr>
          <w:rFonts w:ascii="Calibri" w:hAnsi="Calibri"/>
          <w:color w:val="000000"/>
          <w:sz w:val="20"/>
        </w:rPr>
        <w:t xml:space="preserve">Practical problem: Acquisition variability</w:t>
      </w:r>
    </w:p>
    <w:p>
      <w:pPr>
        <w:spacing w:before="0" w:after="50" w:line="250" w:lineRule="auto"/>
      </w:pPr>
      <w:r>
        <w:rPr>
          <w:rFonts w:ascii="Calibri" w:hAnsi="Calibri"/>
          <w:color w:val="000000"/>
          <w:sz w:val="20"/>
        </w:rPr>
        <w:t xml:space="preserve">Proposed product response: Controlled lighting, pose checks and calibration</w:t>
      </w:r>
    </w:p>
    <w:p>
      <w:pPr>
        <w:spacing w:before="0" w:after="50" w:line="250" w:lineRule="auto"/>
      </w:pPr>
      <w:r>
        <w:rPr>
          <w:rFonts w:ascii="Calibri" w:hAnsi="Calibri"/>
          <w:color w:val="000000"/>
          <w:sz w:val="20"/>
        </w:rPr>
        <w:t xml:space="preserve">Evidence to seek: Repeatability across operators and conditions</w:t>
      </w:r>
    </w:p>
    <w:p>
      <w:pPr>
        <w:spacing w:before="0" w:after="50" w:line="250" w:lineRule="auto"/>
      </w:pPr>
      <w:r>
        <w:rPr>
          <w:rFonts w:ascii="Calibri" w:hAnsi="Calibri"/>
          <w:color w:val="000000"/>
          <w:sz w:val="20"/>
        </w:rPr>
        <w:t xml:space="preserve">Practical problem: Unclear measurement history</w:t>
      </w:r>
    </w:p>
    <w:p>
      <w:pPr>
        <w:spacing w:before="0" w:after="50" w:line="250" w:lineRule="auto"/>
      </w:pPr>
      <w:r>
        <w:rPr>
          <w:rFonts w:ascii="Calibri" w:hAnsi="Calibri"/>
          <w:color w:val="000000"/>
          <w:sz w:val="20"/>
        </w:rPr>
        <w:t xml:space="preserve">Proposed product response: Original observations linked to derived measurements</w:t>
      </w:r>
    </w:p>
    <w:p>
      <w:pPr>
        <w:spacing w:before="0" w:after="50" w:line="250" w:lineRule="auto"/>
      </w:pPr>
      <w:r>
        <w:rPr>
          <w:rFonts w:ascii="Calibri" w:hAnsi="Calibri"/>
          <w:color w:val="000000"/>
          <w:sz w:val="20"/>
        </w:rPr>
        <w:t xml:space="preserve">Evidence to seek: Complete reconstruction of a reviewed result</w:t>
      </w:r>
    </w:p>
    <w:p>
      <w:pPr>
        <w:spacing w:before="0" w:after="50" w:line="250" w:lineRule="auto"/>
      </w:pPr>
      <w:r>
        <w:rPr>
          <w:rFonts w:ascii="Calibri" w:hAnsi="Calibri"/>
          <w:color w:val="000000"/>
          <w:sz w:val="20"/>
        </w:rPr>
        <w:t xml:space="preserve">Practical problem: Difficult discrepancy review</w:t>
      </w:r>
    </w:p>
    <w:p>
      <w:pPr>
        <w:spacing w:before="0" w:after="50" w:line="250" w:lineRule="auto"/>
      </w:pPr>
      <w:r>
        <w:rPr>
          <w:rFonts w:ascii="Calibri" w:hAnsi="Calibri"/>
          <w:color w:val="000000"/>
          <w:sz w:val="20"/>
        </w:rPr>
        <w:t xml:space="preserve">Proposed product response: Visible quality flags and correction history</w:t>
      </w:r>
    </w:p>
    <w:p>
      <w:pPr>
        <w:spacing w:before="0" w:after="50" w:line="250" w:lineRule="auto"/>
      </w:pPr>
      <w:r>
        <w:rPr>
          <w:rFonts w:ascii="Calibri" w:hAnsi="Calibri"/>
          <w:color w:val="000000"/>
          <w:sz w:val="20"/>
        </w:rPr>
        <w:t xml:space="preserve">Evidence to seek: Review accuracy, workload and usability</w:t>
      </w:r>
    </w:p>
    <w:p>
      <w:pPr>
        <w:spacing w:before="0" w:after="50" w:line="250" w:lineRule="auto"/>
      </w:pPr>
      <w:r>
        <w:rPr>
          <w:rFonts w:ascii="Calibri" w:hAnsi="Calibri"/>
          <w:color w:val="000000"/>
          <w:sz w:val="20"/>
        </w:rPr>
        <w:t xml:space="preserve">Practical problem: Fragmented records</w:t>
      </w:r>
    </w:p>
    <w:p>
      <w:pPr>
        <w:spacing w:before="0" w:after="50" w:line="250" w:lineRule="auto"/>
      </w:pPr>
      <w:r>
        <w:rPr>
          <w:rFonts w:ascii="Calibri" w:hAnsi="Calibri"/>
          <w:color w:val="000000"/>
          <w:sz w:val="20"/>
        </w:rPr>
        <w:t xml:space="preserve">Proposed product response: PIMS and controlled exports</w:t>
      </w:r>
    </w:p>
    <w:p>
      <w:pPr>
        <w:spacing w:before="0" w:after="50" w:line="250" w:lineRule="auto"/>
      </w:pPr>
      <w:r>
        <w:rPr>
          <w:rFonts w:ascii="Calibri" w:hAnsi="Calibri"/>
          <w:color w:val="000000"/>
          <w:sz w:val="20"/>
        </w:rPr>
        <w:t xml:space="preserve">Evidence to seek: Identity integrity and successful receiving-system reconciliation</w:t>
      </w:r>
    </w:p>
    <w:p>
      <w:pPr>
        <w:pStyle w:val="Normal"/>
        <w:spacing w:before="0" w:after="50" w:line="250" w:lineRule="auto"/>
        <w:rPr/>
      </w:pPr>
      <w:r>
        <w:rPr>
          <w:rFonts w:ascii="Calibri" w:hAnsi="Calibri"/>
          <w:color w:val="000000"/>
          <w:sz w:val="20"/>
        </w:rPr>
        <w:t>The initial product should earn its place by solving these bounded problems. More sensing or computing should be added when it addresses a documented residual limitation. This sequence makes the programme testable: partners can evaluate a useful measurement workflow while the more ambitious research tracks develop their own evidence.</w:t>
      </w:r>
    </w:p>
    <w:p>
      <w:pPr>
        <w:pStyle w:val="Heading3"/>
        <w:keepNext/>
        <w:keepLines/>
        <w:spacing w:before="240" w:after="120" w:line="269" w:lineRule="auto"/>
      </w:pPr>
      <w:r>
        <w:rPr>
          <w:color w:val="000000"/>
        </w:rPr>
        <w:t>Antimicrobial susceptibility as a measurement problem</w:t>
      </w:r>
    </w:p>
    <w:p>
      <w:pPr>
        <w:pStyle w:val="Normal"/>
        <w:spacing w:before="0" w:after="50" w:line="250" w:lineRule="auto"/>
        <w:rPr/>
      </w:pPr>
      <w:r>
        <w:rPr>
          <w:rFonts w:ascii="Calibri" w:hAnsi="Calibri"/>
          <w:color w:val="000000"/>
          <w:sz w:val="20"/>
        </w:rPr>
        <w:t>Susceptibility testing converts a biological response under specified conditions into an interpretable laboratory result. The measured signal may be a zone diameter, a growth endpoint or another method-defined quantity. Interpretation depends on the assay, organism, antimicrobial agent and applicable standards context. A visually convincing measurement can still be ineligible for interpretation.</w:t>
      </w:r>
    </w:p>
    <w:p>
      <w:pPr>
        <w:pStyle w:val="Heading3"/>
        <w:keepNext/>
        <w:keepLines/>
        <w:spacing w:before="240" w:after="120" w:line="269" w:lineRule="auto"/>
      </w:pPr>
      <w:r>
        <w:rPr>
          <w:color w:val="000000"/>
        </w:rPr>
        <w:t>Separate the layers of the result</w:t>
      </w:r>
    </w:p>
    <w:p>
      <w:pPr>
        <w:pStyle w:val="Normal"/>
        <w:spacing w:before="0" w:after="50" w:line="250" w:lineRule="auto"/>
        <w:rPr/>
      </w:pPr>
      <w:r>
        <w:rPr>
          <w:rFonts w:ascii="Calibri" w:hAnsi="Calibri"/>
          <w:color w:val="000000"/>
          <w:sz w:val="20"/>
        </w:rPr>
        <w:t>An image contains optical intensities. A measurement algorithm estimates a physical feature from those intensities. A standards engine applies eligible rules to the measured feature. A qualified reviewer considers the evidence and resolves exceptions. Combining these layers into a single opaque score makes it harder to identify the source of an error.</w:t>
      </w:r>
    </w:p>
    <w:p>
      <w:pPr>
        <w:pStyle w:val="Normal"/>
        <w:spacing w:before="0" w:after="50" w:line="250" w:lineRule="auto"/>
        <w:rPr/>
      </w:pPr>
      <w:r>
        <w:rPr>
          <w:rFonts w:ascii="Calibri" w:hAnsi="Calibri"/>
          <w:color w:val="000000"/>
          <w:sz w:val="20"/>
        </w:rPr>
        <w:t xml:space="preserve">The proposed reader should retain the boundaries between them. For example, a changed breakpoint table can justify a new interpretation of an unchanged diameter. A corrected plate association may invalidate both the measurement context and the prior interpretation. Those changes have different meanings and should not be represented by the same generic “updated” status.  </w:t>
      </w:r>
    </w:p>
    <w:p>
      <w:pPr>
        <w:keepNext/>
        <w:spacing w:before="0" w:after="50" w:line="250" w:lineRule="auto"/>
      </w:pPr>
      <w:r>
        <w:rPr>
          <w:rFonts w:ascii="Calibri" w:hAnsi="Calibri"/>
          <w:color w:val="000000"/>
          <w:sz w:val="20"/>
        </w:rPr>
        <w:t xml:space="preserve">Layer: Observation</w:t>
      </w:r>
    </w:p>
    <w:p>
      <w:pPr>
        <w:spacing w:before="0" w:after="50" w:line="250" w:lineRule="auto"/>
      </w:pPr>
      <w:r>
        <w:rPr>
          <w:rFonts w:ascii="Calibri" w:hAnsi="Calibri"/>
          <w:color w:val="000000"/>
          <w:sz w:val="20"/>
        </w:rPr>
        <w:t xml:space="preserve">Representative object: Original plate image and capture conditions</w:t>
      </w:r>
    </w:p>
    <w:p>
      <w:pPr>
        <w:spacing w:before="0" w:after="50" w:line="250" w:lineRule="auto"/>
      </w:pPr>
      <w:r>
        <w:rPr>
          <w:rFonts w:ascii="Calibri" w:hAnsi="Calibri"/>
          <w:color w:val="000000"/>
          <w:sz w:val="20"/>
        </w:rPr>
        <w:t xml:space="preserve">What it does not establish alone: A calibrated length</w:t>
      </w:r>
    </w:p>
    <w:p>
      <w:pPr>
        <w:keepNext/>
        <w:spacing w:before="0" w:after="50" w:line="250" w:lineRule="auto"/>
      </w:pPr>
      <w:r>
        <w:rPr>
          <w:rFonts w:ascii="Calibri" w:hAnsi="Calibri"/>
          <w:color w:val="000000"/>
          <w:sz w:val="20"/>
        </w:rPr>
        <w:t xml:space="preserve">Layer: Measurement</w:t>
      </w:r>
    </w:p>
    <w:p>
      <w:pPr>
        <w:spacing w:before="0" w:after="50" w:line="250" w:lineRule="auto"/>
      </w:pPr>
      <w:r>
        <w:rPr>
          <w:rFonts w:ascii="Calibri" w:hAnsi="Calibri"/>
          <w:color w:val="000000"/>
          <w:sz w:val="20"/>
        </w:rPr>
        <w:t xml:space="preserve">Representative object: Zone diameter in millimetres with uncertainty</w:t>
      </w:r>
    </w:p>
    <w:p>
      <w:pPr>
        <w:spacing w:before="0" w:after="50" w:line="250" w:lineRule="auto"/>
      </w:pPr>
      <w:r>
        <w:rPr>
          <w:rFonts w:ascii="Calibri" w:hAnsi="Calibri"/>
          <w:color w:val="000000"/>
          <w:sz w:val="20"/>
        </w:rPr>
        <w:t xml:space="preserve">What it does not establish alone: Method eligibility or a clinical category</w:t>
      </w:r>
    </w:p>
    <w:p>
      <w:pPr>
        <w:keepNext/>
        <w:spacing w:before="0" w:after="50" w:line="250" w:lineRule="auto"/>
      </w:pPr>
      <w:r>
        <w:rPr>
          <w:rFonts w:ascii="Calibri" w:hAnsi="Calibri"/>
          <w:color w:val="000000"/>
          <w:sz w:val="20"/>
        </w:rPr>
        <w:t xml:space="preserve">Layer: Interpretation</w:t>
      </w:r>
    </w:p>
    <w:p>
      <w:pPr>
        <w:spacing w:before="0" w:after="50" w:line="250" w:lineRule="auto"/>
      </w:pPr>
      <w:r>
        <w:rPr>
          <w:rFonts w:ascii="Calibri" w:hAnsi="Calibri"/>
          <w:color w:val="000000"/>
          <w:sz w:val="20"/>
        </w:rPr>
        <w:t xml:space="preserve">Representative object: Ruleset-qualified category and explanation</w:t>
      </w:r>
    </w:p>
    <w:p>
      <w:pPr>
        <w:spacing w:before="0" w:after="50" w:line="250" w:lineRule="auto"/>
      </w:pPr>
      <w:r>
        <w:rPr>
          <w:rFonts w:ascii="Calibri" w:hAnsi="Calibri"/>
          <w:color w:val="000000"/>
          <w:sz w:val="20"/>
        </w:rPr>
        <w:t xml:space="preserve">What it does not establish alone: Approval to release the record</w:t>
      </w:r>
    </w:p>
    <w:p>
      <w:pPr>
        <w:keepNext/>
        <w:spacing w:before="0" w:after="50" w:line="250" w:lineRule="auto"/>
      </w:pPr>
      <w:r>
        <w:rPr>
          <w:rFonts w:ascii="Calibri" w:hAnsi="Calibri"/>
          <w:color w:val="000000"/>
          <w:sz w:val="20"/>
        </w:rPr>
        <w:t xml:space="preserve">Layer: Review</w:t>
      </w:r>
    </w:p>
    <w:p>
      <w:pPr>
        <w:spacing w:before="0" w:after="50" w:line="250" w:lineRule="auto"/>
      </w:pPr>
      <w:r>
        <w:rPr>
          <w:rFonts w:ascii="Calibri" w:hAnsi="Calibri"/>
          <w:color w:val="000000"/>
          <w:sz w:val="20"/>
        </w:rPr>
        <w:t xml:space="preserve">Representative object: Accepted, corrected, rejected or deferred decision</w:t>
      </w:r>
    </w:p>
    <w:p>
      <w:pPr>
        <w:spacing w:before="0" w:after="50" w:line="250" w:lineRule="auto"/>
      </w:pPr>
      <w:r>
        <w:rPr>
          <w:rFonts w:ascii="Calibri" w:hAnsi="Calibri"/>
          <w:color w:val="000000"/>
          <w:sz w:val="20"/>
        </w:rPr>
        <w:t xml:space="preserve">What it does not establish alone: A new biological measurement</w:t>
      </w:r>
    </w:p>
    <w:p>
      <w:pPr>
        <w:pStyle w:val="Normal"/>
        <w:spacing w:before="0" w:after="50" w:line="250" w:lineRule="auto"/>
        <w:rPr/>
      </w:pPr>
      <w:r>
        <w:rPr>
          <w:rFonts w:ascii="Calibri" w:hAnsi="Calibri"/>
          <w:color w:val="000000"/>
          <w:sz w:val="20"/>
        </w:rPr>
        <w:t>A measurement-centred design also makes conventional methods easier to compare with learned methods. The relevant question is whether a method produces a sufficiently reliable estimate under the declared conditions, including difficult and unreadable cases. Model complexity is secondary to that result.</w:t>
      </w:r>
    </w:p>
    <w:p>
      <w:pPr>
        <w:pStyle w:val="Heading3"/>
        <w:keepNext/>
        <w:keepLines/>
        <w:spacing w:before="240" w:after="120" w:line="269" w:lineRule="auto"/>
      </w:pPr>
      <w:r>
        <w:rPr>
          <w:color w:val="000000"/>
        </w:rPr>
        <w:t>From specimen to reviewed laboratory result</w:t>
      </w:r>
    </w:p>
    <w:p>
      <w:pPr>
        <w:pStyle w:val="Normal"/>
        <w:spacing w:before="0" w:after="50" w:line="250" w:lineRule="auto"/>
        <w:rPr/>
      </w:pPr>
      <w:r>
        <w:rPr>
          <w:rFonts w:ascii="Calibri" w:hAnsi="Calibri"/>
          <w:color w:val="000000"/>
          <w:sz w:val="20"/>
        </w:rPr>
        <w:t>The proposed record follows the laboratory’s workflow without pretending to control every upstream activity. A case or study identifier is associated with a plate, observations are acquired, measurements are made and a reviewer determines the disposition. Each transition has a responsible actor, a timestamp and a reason when the normal path is interrupted.</w:t>
      </w:r>
    </w:p>
    <w:p>
      <w:pPr>
        <w:pStyle w:val="Heading3"/>
        <w:keepNext/>
        <w:keepLines/>
        <w:spacing w:before="240" w:after="120" w:line="269" w:lineRule="auto"/>
      </w:pPr>
      <w:r>
        <w:rPr>
          <w:color w:val="000000"/>
        </w:rPr>
        <w:t>Preserve meaningful states</w:t>
      </w:r>
    </w:p>
    <w:p>
      <w:pPr>
        <w:pStyle w:val="Normal"/>
        <w:spacing w:before="0" w:after="50" w:line="250" w:lineRule="auto"/>
        <w:rPr/>
      </w:pPr>
      <w:r>
        <w:rPr>
          <w:rFonts w:ascii="Calibri" w:hAnsi="Calibri"/>
          <w:color w:val="000000"/>
          <w:sz w:val="20"/>
        </w:rPr>
        <w:t>“</w:t>
      </w:r>
      <w:r>
        <w:rPr>
          <w:rFonts w:ascii="Calibri" w:hAnsi="Calibri"/>
          <w:color w:val="000000"/>
          <w:sz w:val="20"/>
        </w:rPr>
        <w:t>Captured,” “measured,” “interpreted” and “reviewed” should be distinct states. A capture can be technically successful but unreadable. A measurable zone can lack an eligible interpretation rule. A technically consistent analysis can still be rejected because the plate identity is unresolved. These are useful distinctions for both laboratory work and subsequent evaluation.</w:t>
      </w:r>
    </w:p>
    <w:p>
      <w:pPr>
        <w:pStyle w:val="Caption"/>
        <w:keepNext/>
      </w:pPr>
      <w:bookmarkStart w:id="97001" w:name="figure_2"/>
      <w:r>
        <w:t>Figure 2 Laboratory result state transitions</w:t>
      </w:r>
      <w:bookmarkEnd w:id="97001"/>
    </w:p>
    <w:p xmlns:pic="http://schemas.openxmlformats.org/drawingml/2006/picture">
      <w:pPr>
        <w:pStyle w:val="Normal"/>
        <w:spacing w:before="0" w:after="50" w:line="250" w:lineRule="auto"/>
        <w:rPr/>
      </w:pPr>
      <w:r>
        <w:rPr>
          <w:rFonts w:ascii="Calibri" w:hAnsi="Calibri"/>
          <w:color w:val="000000"/>
          <w:sz w:val="20"/>
        </w:rPr>
        <w:drawing>
          <wp:inline distT="0" distB="0" distL="0" distR="0">
            <wp:extent cx="5904230" cy="1905635"/>
            <wp:effectExtent l="0" t="0" r="0" b="0"/>
            <wp:docPr id="13" name="Picture 13" descr="" title=""/>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3" name="Picture 13" descr="" title=""/>
                    <pic:cNvPicPr>
                      <a:picLocks noChangeAspect="1" noChangeArrowheads="1"/>
                    </pic:cNvPicPr>
                  </pic:nvPicPr>
                  <pic:blipFill>
                    <a:blip r:embed="rId14"/>
                    <a:stretch>
                      <a:fillRect/>
                    </a:stretch>
                  </pic:blipFill>
                  <pic:spPr bwMode="auto">
                    <a:xfrm>
                      <a:off x="0" y="0"/>
                      <a:ext cx="5904230" cy="1905635"/>
                    </a:xfrm>
                    <a:prstGeom prst="rect">
                      <a:avLst/>
                    </a:prstGeom>
                    <a:noFill/>
                  </pic:spPr>
                </pic:pic>
              </a:graphicData>
            </a:graphic>
          </wp:inline>
        </w:drawing>
      </w:r>
    </w:p>
    <w:p>
      <w:pPr>
        <w:pStyle w:val="Heading3"/>
        <w:keepNext/>
        <w:keepLines/>
        <w:spacing w:before="240" w:after="120" w:line="269" w:lineRule="auto"/>
      </w:pPr>
      <w:r>
        <w:rPr>
          <w:color w:val="000000"/>
        </w:rPr>
        <w:t>Make interruption visible</w:t>
      </w:r>
    </w:p>
    <w:p>
      <w:pPr>
        <w:pStyle w:val="Normal"/>
        <w:spacing w:before="0" w:after="50" w:line="250" w:lineRule="auto"/>
        <w:rPr/>
      </w:pPr>
      <w:r>
        <w:rPr>
          <w:rFonts w:ascii="Calibri" w:hAnsi="Calibri"/>
          <w:color w:val="000000"/>
          <w:sz w:val="20"/>
        </w:rPr>
        <w:t>When a capture fails, the absence of an image is itself a recorded event. When an export is not acknowledged, the record remains pending reconciliation. When a reviewer changes a measurement, the original estimate remains retrievable. None of these situations should silently advance the record to a completed state.</w:t>
      </w:r>
    </w:p>
    <w:p>
      <w:pPr>
        <w:pStyle w:val="Normal"/>
        <w:spacing w:before="0" w:after="50" w:line="250" w:lineRule="auto"/>
        <w:rPr/>
      </w:pPr>
      <w:r>
        <w:rPr>
          <w:rFonts w:ascii="Calibri" w:hAnsi="Calibri"/>
          <w:color w:val="000000"/>
          <w:sz w:val="20"/>
        </w:rPr>
        <w:t>This workflow model supports clear performance measures. Acquisition success, readable coverage, review time and export reliability can be assessed separately. It also provides a stable foundation for later automation: additional hardware can produce observations within the same record structure without redefining what a reviewed result means.</w:t>
      </w:r>
    </w:p>
    <w:p>
      <w:pPr>
        <w:pStyle w:val="Heading3"/>
        <w:keepNext/>
        <w:keepLines/>
        <w:spacing w:before="240" w:after="120" w:line="269" w:lineRule="auto"/>
      </w:pPr>
      <w:r>
        <w:rPr>
          <w:color w:val="000000"/>
        </w:rPr>
        <w:t>What an endpoint reader can contribute</w:t>
      </w:r>
    </w:p>
    <w:p>
      <w:pPr>
        <w:pStyle w:val="Normal"/>
        <w:spacing w:before="0" w:after="50" w:line="250" w:lineRule="auto"/>
        <w:rPr/>
      </w:pPr>
      <w:r>
        <w:rPr>
          <w:rFonts w:ascii="Calibri" w:hAnsi="Calibri"/>
          <w:color w:val="000000"/>
          <w:sz w:val="20"/>
        </w:rPr>
        <w:t>An endpoint reader can improve the consistency and traceability of reading a plate that has already reached the appropriate method-defined endpoint. It can assist with image acquisition, disk localization, zone measurement, quality checks, overlay presentation and record export. Its value depends on the accuracy and usability of those functions in the intended laboratory setting.</w:t>
      </w:r>
    </w:p>
    <w:p>
      <w:pPr>
        <w:pStyle w:val="Heading3"/>
        <w:keepNext/>
        <w:keepLines/>
        <w:spacing w:before="240" w:after="120" w:line="269" w:lineRule="auto"/>
      </w:pPr>
      <w:r>
        <w:rPr>
          <w:color w:val="000000"/>
        </w:rPr>
        <w:t>A bounded and useful contribution</w:t>
      </w:r>
    </w:p>
    <w:p>
      <w:pPr>
        <w:pStyle w:val="Normal"/>
        <w:spacing w:before="0" w:after="50" w:line="250" w:lineRule="auto"/>
        <w:rPr/>
      </w:pPr>
      <w:r>
        <w:rPr>
          <w:rFonts w:ascii="Calibri" w:hAnsi="Calibri"/>
          <w:color w:val="000000"/>
          <w:sz w:val="20"/>
        </w:rPr>
        <w:t>The reader should first establish that it can measure the permitted plate types reliably. That requires controlled geometry, calibration, readable images and a clear response to ambiguous edges. The software can then help a reviewer compare an overlay with the original plate image and identify cases that need another observation or manual handling.</w:t>
      </w:r>
    </w:p>
    <w:p>
      <w:pPr>
        <w:pStyle w:val="Normal"/>
        <w:spacing w:before="0" w:after="50" w:line="250" w:lineRule="auto"/>
        <w:rPr/>
      </w:pPr>
      <w:r>
        <w:rPr>
          <w:rFonts w:ascii="Calibri" w:hAnsi="Calibri"/>
          <w:color w:val="000000"/>
          <w:sz w:val="20"/>
        </w:rPr>
        <w:t xml:space="preserve">The approach fits a measurement workflow already governed by method-specific standards. It does not shorten the underlying biological endpoint merely by computing the diameter quickly. EUCAST distinguishes its routine disk diffusion method from its rapid AST pathway; the product should preserve that distinction in eligibility checks and claims.  </w:t>
      </w:r>
    </w:p>
    <w:p>
      <w:pPr>
        <w:spacing w:before="0" w:after="50" w:line="250" w:lineRule="auto"/>
      </w:pPr>
      <w:r>
        <w:rPr>
          <w:rFonts w:ascii="Calibri" w:hAnsi="Calibri"/>
          <w:color w:val="000000"/>
          <w:sz w:val="20"/>
        </w:rPr>
        <w:t xml:space="preserve">Proposed function: Standardized acquisition</w:t>
      </w:r>
    </w:p>
    <w:p>
      <w:pPr>
        <w:spacing w:before="0" w:after="50" w:line="250" w:lineRule="auto"/>
      </w:pPr>
      <w:r>
        <w:rPr>
          <w:rFonts w:ascii="Calibri" w:hAnsi="Calibri"/>
          <w:color w:val="000000"/>
          <w:sz w:val="20"/>
        </w:rPr>
        <w:t xml:space="preserve">Useful output: A reproducible image with capture conditions and quality state.</w:t>
      </w:r>
    </w:p>
    <w:p>
      <w:pPr>
        <w:spacing w:before="0" w:after="50" w:line="250" w:lineRule="auto"/>
      </w:pPr>
      <w:r>
        <w:rPr>
          <w:rFonts w:ascii="Calibri" w:hAnsi="Calibri"/>
          <w:color w:val="000000"/>
          <w:sz w:val="20"/>
        </w:rPr>
        <w:t xml:space="preserve">Proposed function: Calibrated measurement</w:t>
      </w:r>
    </w:p>
    <w:p>
      <w:pPr>
        <w:spacing w:before="0" w:after="50" w:line="250" w:lineRule="auto"/>
      </w:pPr>
      <w:r>
        <w:rPr>
          <w:rFonts w:ascii="Calibri" w:hAnsi="Calibri"/>
          <w:color w:val="000000"/>
          <w:sz w:val="20"/>
        </w:rPr>
        <w:t xml:space="preserve">Useful output: A diameter estimate tied to a valid spatial calibration.</w:t>
      </w:r>
    </w:p>
    <w:p>
      <w:pPr>
        <w:spacing w:before="0" w:after="50" w:line="250" w:lineRule="auto"/>
      </w:pPr>
      <w:r>
        <w:rPr>
          <w:rFonts w:ascii="Calibri" w:hAnsi="Calibri"/>
          <w:color w:val="000000"/>
          <w:sz w:val="20"/>
        </w:rPr>
        <w:t xml:space="preserve">Proposed function: Review overlay</w:t>
      </w:r>
    </w:p>
    <w:p>
      <w:pPr>
        <w:spacing w:before="0" w:after="50" w:line="250" w:lineRule="auto"/>
      </w:pPr>
      <w:r>
        <w:rPr>
          <w:rFonts w:ascii="Calibri" w:hAnsi="Calibri"/>
          <w:color w:val="000000"/>
          <w:sz w:val="20"/>
        </w:rPr>
        <w:t xml:space="preserve">Useful output: Inspectable boundaries, disk centres and uncertainty indications.</w:t>
      </w:r>
    </w:p>
    <w:p>
      <w:pPr>
        <w:spacing w:before="0" w:after="50" w:line="250" w:lineRule="auto"/>
      </w:pPr>
      <w:r>
        <w:rPr>
          <w:rFonts w:ascii="Calibri" w:hAnsi="Calibri"/>
          <w:color w:val="000000"/>
          <w:sz w:val="20"/>
        </w:rPr>
        <w:t xml:space="preserve">Proposed function: Rule application</w:t>
      </w:r>
    </w:p>
    <w:p>
      <w:pPr>
        <w:spacing w:before="0" w:after="50" w:line="250" w:lineRule="auto"/>
      </w:pPr>
      <w:r>
        <w:rPr>
          <w:rFonts w:ascii="Calibri" w:hAnsi="Calibri"/>
          <w:color w:val="000000"/>
          <w:sz w:val="20"/>
        </w:rPr>
        <w:t xml:space="preserve">Useful output: An eligible interpretation linked to the exact ruleset version.</w:t>
      </w:r>
    </w:p>
    <w:p>
      <w:pPr>
        <w:spacing w:before="0" w:after="50" w:line="250" w:lineRule="auto"/>
      </w:pPr>
      <w:r>
        <w:rPr>
          <w:rFonts w:ascii="Calibri" w:hAnsi="Calibri"/>
          <w:color w:val="000000"/>
          <w:sz w:val="20"/>
        </w:rPr>
        <w:t xml:space="preserve">Proposed function: Record preservation</w:t>
      </w:r>
    </w:p>
    <w:p>
      <w:pPr>
        <w:spacing w:before="0" w:after="50" w:line="250" w:lineRule="auto"/>
      </w:pPr>
      <w:r>
        <w:rPr>
          <w:rFonts w:ascii="Calibri" w:hAnsi="Calibri"/>
          <w:color w:val="000000"/>
          <w:sz w:val="20"/>
        </w:rPr>
        <w:t xml:space="preserve">Useful output: Original image, analysis, reviewer decision and export lineage.</w:t>
      </w:r>
    </w:p>
    <w:p>
      <w:pPr>
        <w:pStyle w:val="Normal"/>
        <w:spacing w:before="0" w:after="50" w:line="250" w:lineRule="auto"/>
        <w:rPr/>
      </w:pPr>
      <w:r>
        <w:rPr>
          <w:rFonts w:ascii="Calibri" w:hAnsi="Calibri"/>
          <w:color w:val="000000"/>
          <w:sz w:val="20"/>
        </w:rPr>
        <w:t>An endpoint reader should also have a useful failure mode. It should identify when the available image cannot support the requested measurement, preserve the evidence and allow the laboratory to use its established alternative workflow. The aim is a reliable contribution to laboratory work, including reliable recognition of the limits of that contribution.</w:t>
      </w:r>
    </w:p>
    <w:p>
      <w:pPr>
        <w:pStyle w:val="Heading3"/>
        <w:keepNext/>
        <w:keepLines/>
        <w:spacing w:before="240" w:after="120" w:line="269" w:lineRule="auto"/>
      </w:pPr>
      <w:r>
        <w:rPr>
          <w:color w:val="000000"/>
        </w:rPr>
        <w:t>Reader V1 intended development scope</w:t>
      </w:r>
    </w:p>
    <w:p>
      <w:pPr>
        <w:pStyle w:val="Normal"/>
        <w:spacing w:before="0" w:after="50" w:line="250" w:lineRule="auto"/>
        <w:rPr/>
      </w:pPr>
      <w:r>
        <w:rPr>
          <w:rFonts w:ascii="Calibri" w:hAnsi="Calibri"/>
          <w:color w:val="000000"/>
          <w:sz w:val="20"/>
        </w:rPr>
        <w:t>Reader V1 is the near-term development priority: a controlled imaging and measurement workflow for endpoint disk diffusion plates, with mandatory human review. The reference configuration at the end of this book makes one candidate optical and computing arrangement concrete. It is a development configuration, not a declaration of a finished commercial enclosure or validated clinical performance.</w:t>
      </w:r>
    </w:p>
    <w:p>
      <w:pPr>
        <w:pStyle w:val="Heading3"/>
        <w:keepNext/>
        <w:keepLines/>
        <w:spacing w:before="240" w:after="120" w:line="269" w:lineRule="auto"/>
      </w:pPr>
      <w:r>
        <w:rPr>
          <w:color w:val="000000"/>
        </w:rPr>
        <w:t>Proposed minimum functional scope</w:t>
      </w:r>
    </w:p>
    <w:p>
      <w:pPr>
        <w:pStyle w:val="Normal"/>
        <w:spacing w:before="0" w:after="50" w:line="250" w:lineRule="auto"/>
        <w:rPr/>
      </w:pPr>
      <w:r>
        <w:rPr>
          <w:rFonts w:ascii="Calibri" w:hAnsi="Calibri"/>
          <w:color w:val="000000"/>
          <w:sz w:val="20"/>
        </w:rPr>
        <w:t>The first release should associate each image with the correct plate, verify acquisition readiness, preserve the original image and calibration context, estimate permitted zone measurements and support review. Standards interpretation should be independent of the image algorithm and should refuse unsupported combinations or incomplete context.</w:t>
      </w:r>
    </w:p>
    <w:p>
      <w:pPr>
        <w:spacing w:before="0" w:after="50" w:line="250" w:lineRule="auto"/>
      </w:pPr>
      <w:r>
        <w:rPr>
          <w:rFonts w:ascii="Calibri" w:hAnsi="Calibri"/>
          <w:color w:val="000000"/>
          <w:sz w:val="20"/>
        </w:rPr>
        <w:t xml:space="preserve">Included development objective: Controlled endpoint imaging</w:t>
      </w:r>
    </w:p>
    <w:p>
      <w:pPr>
        <w:spacing w:before="0" w:after="50" w:line="250" w:lineRule="auto"/>
      </w:pPr>
      <w:r>
        <w:rPr>
          <w:rFonts w:ascii="Calibri" w:hAnsi="Calibri"/>
          <w:color w:val="000000"/>
          <w:sz w:val="20"/>
        </w:rPr>
        <w:t xml:space="preserve">Required boundary: Permitted plate geometry, pose and lighting are declared and verified.</w:t>
      </w:r>
    </w:p>
    <w:p>
      <w:pPr>
        <w:spacing w:before="0" w:after="50" w:line="250" w:lineRule="auto"/>
      </w:pPr>
      <w:r>
        <w:rPr>
          <w:rFonts w:ascii="Calibri" w:hAnsi="Calibri"/>
          <w:color w:val="000000"/>
          <w:sz w:val="20"/>
        </w:rPr>
        <w:t xml:space="preserve">Included development objective: Spatial measurement</w:t>
      </w:r>
    </w:p>
    <w:p>
      <w:pPr>
        <w:spacing w:before="0" w:after="50" w:line="250" w:lineRule="auto"/>
      </w:pPr>
      <w:r>
        <w:rPr>
          <w:rFonts w:ascii="Calibri" w:hAnsi="Calibri"/>
          <w:color w:val="000000"/>
          <w:sz w:val="20"/>
        </w:rPr>
        <w:t xml:space="preserve">Required boundary: Calibration validity and measurement uncertainty are visible.</w:t>
      </w:r>
    </w:p>
    <w:p>
      <w:pPr>
        <w:spacing w:before="0" w:after="50" w:line="250" w:lineRule="auto"/>
      </w:pPr>
      <w:r>
        <w:rPr>
          <w:rFonts w:ascii="Calibri" w:hAnsi="Calibri"/>
          <w:color w:val="000000"/>
          <w:sz w:val="20"/>
        </w:rPr>
        <w:t xml:space="preserve">Included development objective: Readability assessment</w:t>
      </w:r>
    </w:p>
    <w:p>
      <w:pPr>
        <w:spacing w:before="0" w:after="50" w:line="250" w:lineRule="auto"/>
      </w:pPr>
      <w:r>
        <w:rPr>
          <w:rFonts w:ascii="Calibri" w:hAnsi="Calibri"/>
          <w:color w:val="000000"/>
          <w:sz w:val="20"/>
        </w:rPr>
        <w:t xml:space="preserve">Required boundary: Failed, ambiguous and unsupported images are retained as such.</w:t>
      </w:r>
    </w:p>
    <w:p>
      <w:pPr>
        <w:spacing w:before="0" w:after="50" w:line="250" w:lineRule="auto"/>
      </w:pPr>
      <w:r>
        <w:rPr>
          <w:rFonts w:ascii="Calibri" w:hAnsi="Calibri"/>
          <w:color w:val="000000"/>
          <w:sz w:val="20"/>
        </w:rPr>
        <w:t xml:space="preserve">Included development objective: Standards-assisted review</w:t>
      </w:r>
    </w:p>
    <w:p>
      <w:pPr>
        <w:spacing w:before="0" w:after="50" w:line="250" w:lineRule="auto"/>
      </w:pPr>
      <w:r>
        <w:rPr>
          <w:rFonts w:ascii="Calibri" w:hAnsi="Calibri"/>
          <w:color w:val="000000"/>
          <w:sz w:val="20"/>
        </w:rPr>
        <w:t xml:space="preserve">Required boundary: Exact ruleset and method context accompany the interpretation.</w:t>
      </w:r>
    </w:p>
    <w:p>
      <w:pPr>
        <w:spacing w:before="0" w:after="50" w:line="250" w:lineRule="auto"/>
      </w:pPr>
      <w:r>
        <w:rPr>
          <w:rFonts w:ascii="Calibri" w:hAnsi="Calibri"/>
          <w:color w:val="000000"/>
          <w:sz w:val="20"/>
        </w:rPr>
        <w:t xml:space="preserve">Included development objective: Traceable correction</w:t>
      </w:r>
    </w:p>
    <w:p>
      <w:pPr>
        <w:spacing w:before="0" w:after="50" w:line="250" w:lineRule="auto"/>
      </w:pPr>
      <w:r>
        <w:rPr>
          <w:rFonts w:ascii="Calibri" w:hAnsi="Calibri"/>
          <w:color w:val="000000"/>
          <w:sz w:val="20"/>
        </w:rPr>
        <w:t xml:space="preserve">Required boundary: Original estimates and subsequent reviewer changes remain linked.</w:t>
      </w:r>
    </w:p>
    <w:p>
      <w:pPr>
        <w:spacing w:before="0" w:after="50" w:line="250" w:lineRule="auto"/>
      </w:pPr>
      <w:r>
        <w:rPr>
          <w:rFonts w:ascii="Calibri" w:hAnsi="Calibri"/>
          <w:color w:val="000000"/>
          <w:sz w:val="20"/>
        </w:rPr>
        <w:t xml:space="preserve">Included development objective: Export</w:t>
      </w:r>
    </w:p>
    <w:p>
      <w:pPr>
        <w:spacing w:before="0" w:after="50" w:line="250" w:lineRule="auto"/>
      </w:pPr>
      <w:r>
        <w:rPr>
          <w:rFonts w:ascii="Calibri" w:hAnsi="Calibri"/>
          <w:color w:val="000000"/>
          <w:sz w:val="20"/>
        </w:rPr>
        <w:t xml:space="preserve">Required boundary: Only the intended reviewed record state is released.</w:t>
      </w:r>
    </w:p>
    <w:p>
      <w:pPr>
        <w:pStyle w:val="Heading3"/>
        <w:keepNext/>
        <w:keepLines/>
        <w:spacing w:before="240" w:after="120" w:line="269" w:lineRule="auto"/>
      </w:pPr>
      <w:r>
        <w:rPr>
          <w:color w:val="000000"/>
        </w:rPr>
        <w:t>Evidence needed to advance</w:t>
      </w:r>
    </w:p>
    <w:p>
      <w:pPr>
        <w:pStyle w:val="Normal"/>
        <w:spacing w:before="0" w:after="50" w:line="250" w:lineRule="auto"/>
        <w:rPr/>
      </w:pPr>
      <w:r>
        <w:rPr>
          <w:rFonts w:ascii="Calibri" w:hAnsi="Calibri"/>
          <w:color w:val="000000"/>
          <w:sz w:val="20"/>
        </w:rPr>
        <w:t>Bench measurements should establish the optical measurement chain before biological agreement is evaluated. Representative plate studies should include difficult cases, independent review and prespecified handling of unreadable results. Workflow studies should then assess whether the interface helps users without encouraging inappropriate reliance on the automated estimate.</w:t>
      </w:r>
    </w:p>
    <w:p>
      <w:pPr>
        <w:pStyle w:val="Normal"/>
        <w:spacing w:before="0" w:after="50" w:line="250" w:lineRule="auto"/>
        <w:rPr/>
      </w:pPr>
      <w:r>
        <w:rPr>
          <w:rFonts w:ascii="Calibri" w:hAnsi="Calibri"/>
          <w:color w:val="000000"/>
          <w:sz w:val="20"/>
        </w:rPr>
        <w:t>Rapid AST, MIC estimation, genomic inference and predictive twins remain separate research tracks. They may reuse selected infrastructure, but success in Reader V1 does not validate their biological conclusions. This separation keeps the initial product objective sufficiently narrow to verify while preserving the broader platform vision.</w:t>
      </w:r>
    </w:p>
    <w:p>
      <w:pPr>
        <w:pStyle w:val="Heading3"/>
        <w:keepNext/>
        <w:keepLines/>
        <w:spacing w:before="240" w:after="120" w:line="269" w:lineRule="auto"/>
      </w:pPr>
      <w:r>
        <w:rPr>
          <w:color w:val="000000"/>
        </w:rPr>
        <w:t>The integrated instrument research family</w:t>
      </w:r>
    </w:p>
    <w:p>
      <w:pPr>
        <w:pStyle w:val="Normal"/>
        <w:spacing w:before="0" w:after="50" w:line="250" w:lineRule="auto"/>
        <w:rPr/>
      </w:pPr>
      <w:r>
        <w:rPr>
          <w:rFonts w:ascii="Calibri" w:hAnsi="Calibri"/>
          <w:color w:val="000000"/>
          <w:sz w:val="20"/>
        </w:rPr>
        <w:t>An integrated instrument could bring controlled observation, environmental monitoring, incubation-related functions and material handling into a coordinated laboratory workstation. Its purpose would be to make a longer biological process observable and reproducible. The appropriate physical arrangement remains open and should follow the selected assays, service requirements and risk assessment.</w:t>
      </w:r>
    </w:p>
    <w:p>
      <w:pPr>
        <w:pStyle w:val="Heading3"/>
        <w:keepNext/>
        <w:keepLines/>
        <w:spacing w:before="240" w:after="120" w:line="269" w:lineRule="auto"/>
      </w:pPr>
      <w:r>
        <w:rPr>
          <w:color w:val="000000"/>
        </w:rPr>
        <w:t>Integration creates new responsibilities</w:t>
      </w:r>
    </w:p>
    <w:p>
      <w:pPr>
        <w:pStyle w:val="Normal"/>
        <w:spacing w:before="0" w:after="50" w:line="250" w:lineRule="auto"/>
        <w:rPr/>
      </w:pPr>
      <w:r>
        <w:rPr>
          <w:rFonts w:ascii="Calibri" w:hAnsi="Calibri"/>
          <w:color w:val="000000"/>
          <w:sz w:val="20"/>
        </w:rPr>
        <w:t>Imaging a plate at one endpoint is different from maintaining conditions over time. A time-series instrument must control or measure relevant environmental variables, preserve time origins, detect interruptions and distinguish instrument faults from biological changes. Added motion or liquid handling introduces further requirements for identity, containment, cleaning and mechanical safety.</w:t>
      </w:r>
    </w:p>
    <w:p>
      <w:pPr>
        <w:spacing w:before="0" w:after="50" w:line="250" w:lineRule="auto"/>
      </w:pPr>
      <w:r>
        <w:rPr>
          <w:rFonts w:ascii="Calibri" w:hAnsi="Calibri"/>
          <w:color w:val="000000"/>
          <w:sz w:val="20"/>
        </w:rPr>
        <w:t xml:space="preserve">Candidate module: Controlled incubation</w:t>
      </w:r>
    </w:p>
    <w:p>
      <w:pPr>
        <w:spacing w:before="0" w:after="50" w:line="250" w:lineRule="auto"/>
      </w:pPr>
      <w:r>
        <w:rPr>
          <w:rFonts w:ascii="Calibri" w:hAnsi="Calibri"/>
          <w:color w:val="000000"/>
          <w:sz w:val="20"/>
        </w:rPr>
        <w:t xml:space="preserve">Research or engineering question: Can conditions be measured and maintained within the selected method’s requirements?</w:t>
      </w:r>
    </w:p>
    <w:p>
      <w:pPr>
        <w:spacing w:before="0" w:after="50" w:line="250" w:lineRule="auto"/>
      </w:pPr>
      <w:r>
        <w:rPr>
          <w:rFonts w:ascii="Calibri" w:hAnsi="Calibri"/>
          <w:color w:val="000000"/>
          <w:sz w:val="20"/>
        </w:rPr>
        <w:t xml:space="preserve">Candidate module: Scheduled imaging</w:t>
      </w:r>
    </w:p>
    <w:p>
      <w:pPr>
        <w:spacing w:before="0" w:after="50" w:line="250" w:lineRule="auto"/>
      </w:pPr>
      <w:r>
        <w:rPr>
          <w:rFonts w:ascii="Calibri" w:hAnsi="Calibri"/>
          <w:color w:val="000000"/>
          <w:sz w:val="20"/>
        </w:rPr>
        <w:t xml:space="preserve">Research or engineering question: Does repeated observation add useful information without disturbing the process?</w:t>
      </w:r>
    </w:p>
    <w:p>
      <w:pPr>
        <w:spacing w:before="0" w:after="50" w:line="250" w:lineRule="auto"/>
      </w:pPr>
      <w:r>
        <w:rPr>
          <w:rFonts w:ascii="Calibri" w:hAnsi="Calibri"/>
          <w:color w:val="000000"/>
          <w:sz w:val="20"/>
        </w:rPr>
        <w:t xml:space="preserve">Candidate module: Plate queue and indexing</w:t>
      </w:r>
    </w:p>
    <w:p>
      <w:pPr>
        <w:spacing w:before="0" w:after="50" w:line="250" w:lineRule="auto"/>
      </w:pPr>
      <w:r>
        <w:rPr>
          <w:rFonts w:ascii="Calibri" w:hAnsi="Calibri"/>
          <w:color w:val="000000"/>
          <w:sz w:val="20"/>
        </w:rPr>
        <w:t xml:space="preserve">Research or engineering question: Can identity and pose remain reliable through every transfer?</w:t>
      </w:r>
    </w:p>
    <w:p>
      <w:pPr>
        <w:spacing w:before="0" w:after="50" w:line="250" w:lineRule="auto"/>
      </w:pPr>
      <w:r>
        <w:rPr>
          <w:rFonts w:ascii="Calibri" w:hAnsi="Calibri"/>
          <w:color w:val="000000"/>
          <w:sz w:val="20"/>
        </w:rPr>
        <w:t xml:space="preserve">Candidate module: Broth microdilution integration</w:t>
      </w:r>
    </w:p>
    <w:p>
      <w:pPr>
        <w:spacing w:before="0" w:after="50" w:line="250" w:lineRule="auto"/>
      </w:pPr>
      <w:r>
        <w:rPr>
          <w:rFonts w:ascii="Calibri" w:hAnsi="Calibri"/>
          <w:color w:val="000000"/>
          <w:sz w:val="20"/>
        </w:rPr>
        <w:t xml:space="preserve">Research or engineering question: Can a separately qualified assay produce direct MIC results with appropriate controls?</w:t>
      </w:r>
    </w:p>
    <w:p>
      <w:pPr>
        <w:spacing w:before="0" w:after="50" w:line="250" w:lineRule="auto"/>
      </w:pPr>
      <w:r>
        <w:rPr>
          <w:rFonts w:ascii="Calibri" w:hAnsi="Calibri"/>
          <w:color w:val="000000"/>
          <w:sz w:val="20"/>
        </w:rPr>
        <w:t xml:space="preserve">Candidate module: Atmosphere monitoring</w:t>
      </w:r>
    </w:p>
    <w:p>
      <w:pPr>
        <w:spacing w:before="0" w:after="50" w:line="250" w:lineRule="auto"/>
      </w:pPr>
      <w:r>
        <w:rPr>
          <w:rFonts w:ascii="Calibri" w:hAnsi="Calibri"/>
          <w:color w:val="000000"/>
          <w:sz w:val="20"/>
        </w:rPr>
        <w:t xml:space="preserve">Research or engineering question: Which measurements are relevant to the intended organisms and assays?</w:t>
      </w:r>
    </w:p>
    <w:p>
      <w:pPr>
        <w:spacing w:before="0" w:after="50" w:line="250" w:lineRule="auto"/>
      </w:pPr>
      <w:r>
        <w:rPr>
          <w:rFonts w:ascii="Calibri" w:hAnsi="Calibri"/>
          <w:color w:val="000000"/>
          <w:sz w:val="20"/>
        </w:rPr>
        <w:t xml:space="preserve">Candidate module: Research sensing</w:t>
      </w:r>
    </w:p>
    <w:p>
      <w:pPr>
        <w:spacing w:before="0" w:after="50" w:line="250" w:lineRule="auto"/>
      </w:pPr>
      <w:r>
        <w:rPr>
          <w:rFonts w:ascii="Calibri" w:hAnsi="Calibri"/>
          <w:color w:val="000000"/>
          <w:sz w:val="20"/>
        </w:rPr>
        <w:t xml:space="preserve">Research or engineering question: Does each added channel provide independent information worth its burden?</w:t>
      </w:r>
    </w:p>
    <w:p>
      <w:pPr>
        <w:pStyle w:val="Heading3"/>
        <w:keepNext/>
        <w:keepLines/>
        <w:spacing w:before="240" w:after="120" w:line="269" w:lineRule="auto"/>
      </w:pPr>
      <w:r>
        <w:rPr>
          <w:color w:val="000000"/>
        </w:rPr>
        <w:t>Keep assay boundaries intact</w:t>
      </w:r>
    </w:p>
    <w:p>
      <w:pPr>
        <w:pStyle w:val="Normal"/>
        <w:spacing w:before="0" w:after="50" w:line="250" w:lineRule="auto"/>
        <w:rPr/>
      </w:pPr>
      <w:r>
        <w:rPr>
          <w:rFonts w:ascii="Calibri" w:hAnsi="Calibri"/>
          <w:color w:val="000000"/>
          <w:sz w:val="20"/>
        </w:rPr>
        <w:t>A direct MIC method, a disk diffusion reader and a research growth model are distinct functions even if they share an instrument housing. Each needs its own eligibility rules, controls and evidence. A research atmosphere or specialized optical mode should not be enabled within a clinical workflow merely because the hardware can support it.</w:t>
      </w:r>
    </w:p>
    <w:p>
      <w:pPr>
        <w:pStyle w:val="Normal"/>
        <w:spacing w:before="0" w:after="50" w:line="250" w:lineRule="auto"/>
        <w:rPr/>
      </w:pPr>
      <w:r>
        <w:rPr>
          <w:rFonts w:ascii="Calibri" w:hAnsi="Calibri"/>
          <w:color w:val="000000"/>
          <w:sz w:val="20"/>
        </w:rPr>
        <w:t>The development decision is therefore modular: select a useful combination, define the interfaces and demonstrate the integrated behaviour. A broad catalogue describes possibilities across the portfolio, not a requirement to install every module in one device.</w:t>
      </w:r>
    </w:p>
    <w:p>
      <w:pPr>
        <w:pStyle w:val="Heading3"/>
        <w:keepNext/>
        <w:keepLines/>
        <w:spacing w:before="240" w:after="120" w:line="269" w:lineRule="auto"/>
      </w:pPr>
      <w:r>
        <w:rPr>
          <w:color w:val="000000"/>
        </w:rPr>
        <w:t>The imaging and microscopy family</w:t>
      </w:r>
    </w:p>
    <w:p>
      <w:pPr>
        <w:pStyle w:val="Normal"/>
        <w:spacing w:before="0" w:after="50" w:line="250" w:lineRule="auto"/>
        <w:rPr/>
      </w:pPr>
      <w:r>
        <w:rPr>
          <w:rFonts w:ascii="Calibri" w:hAnsi="Calibri"/>
          <w:color w:val="000000"/>
          <w:sz w:val="20"/>
        </w:rPr>
        <w:t>The imaging family extends from whole-plate observation to selected microscopic or spectroscopic investigations. Different questions demand different fields of view, spatial resolution, contrast mechanisms and temporal sampling. A single camera arrangement is unlikely to provide the best measurement for every scale.</w:t>
      </w:r>
    </w:p>
    <w:p>
      <w:pPr>
        <w:pStyle w:val="Heading3"/>
        <w:keepNext/>
        <w:keepLines/>
        <w:spacing w:before="240" w:after="120" w:line="269" w:lineRule="auto"/>
      </w:pPr>
      <w:r>
        <w:rPr>
          <w:color w:val="000000"/>
        </w:rPr>
        <w:t>Choose the scale from the question</w:t>
      </w:r>
    </w:p>
    <w:p>
      <w:pPr>
        <w:pStyle w:val="Normal"/>
        <w:spacing w:before="0" w:after="50" w:line="250" w:lineRule="auto"/>
        <w:rPr/>
      </w:pPr>
      <w:r>
        <w:rPr>
          <w:rFonts w:ascii="Calibri" w:hAnsi="Calibri"/>
          <w:color w:val="000000"/>
          <w:sz w:val="20"/>
        </w:rPr>
        <w:t>Whole-plate imaging supports spatial context, zone measurements and colony distribution. Higher magnification can support cell-level or microcolony research, but reduces the area observed at one time and increases the burden of focusing, positioning and data handling. Spectral and phase-sensitive approaches may reveal information that ordinary colour images do not, while introducing their own calibration and interpretation requirements.</w:t>
      </w:r>
    </w:p>
    <w:p>
      <w:pPr>
        <w:spacing w:before="0" w:after="50" w:line="250" w:lineRule="auto"/>
      </w:pPr>
      <w:r>
        <w:rPr>
          <w:rFonts w:ascii="Calibri" w:hAnsi="Calibri"/>
          <w:color w:val="000000"/>
          <w:sz w:val="20"/>
        </w:rPr>
        <w:t xml:space="preserve">Observation scale: Whole plate</w:t>
      </w:r>
    </w:p>
    <w:p>
      <w:pPr>
        <w:spacing w:before="0" w:after="50" w:line="250" w:lineRule="auto"/>
      </w:pPr>
      <w:r>
        <w:rPr>
          <w:rFonts w:ascii="Calibri" w:hAnsi="Calibri"/>
          <w:color w:val="000000"/>
          <w:sz w:val="20"/>
        </w:rPr>
        <w:t xml:space="preserve">Candidate use: Zone geometry, readability and spatial overview</w:t>
      </w:r>
    </w:p>
    <w:p>
      <w:pPr>
        <w:spacing w:before="0" w:after="50" w:line="250" w:lineRule="auto"/>
      </w:pPr>
      <w:r>
        <w:rPr>
          <w:rFonts w:ascii="Calibri" w:hAnsi="Calibri"/>
          <w:color w:val="000000"/>
          <w:sz w:val="20"/>
        </w:rPr>
        <w:t xml:space="preserve">Main qualification issue: Distortion, scale and edge interpretation</w:t>
      </w:r>
    </w:p>
    <w:p>
      <w:pPr>
        <w:spacing w:before="0" w:after="50" w:line="250" w:lineRule="auto"/>
      </w:pPr>
      <w:r>
        <w:rPr>
          <w:rFonts w:ascii="Calibri" w:hAnsi="Calibri"/>
          <w:color w:val="000000"/>
          <w:sz w:val="20"/>
        </w:rPr>
        <w:t xml:space="preserve">Observation scale: Local colony region</w:t>
      </w:r>
    </w:p>
    <w:p>
      <w:pPr>
        <w:spacing w:before="0" w:after="50" w:line="250" w:lineRule="auto"/>
      </w:pPr>
      <w:r>
        <w:rPr>
          <w:rFonts w:ascii="Calibri" w:hAnsi="Calibri"/>
          <w:color w:val="000000"/>
          <w:sz w:val="20"/>
        </w:rPr>
        <w:t xml:space="preserve">Candidate use: Texture, boundary development and unusual growth</w:t>
      </w:r>
    </w:p>
    <w:p>
      <w:pPr>
        <w:spacing w:before="0" w:after="50" w:line="250" w:lineRule="auto"/>
      </w:pPr>
      <w:r>
        <w:rPr>
          <w:rFonts w:ascii="Calibri" w:hAnsi="Calibri"/>
          <w:color w:val="000000"/>
          <w:sz w:val="20"/>
        </w:rPr>
        <w:t xml:space="preserve">Main qualification issue: Selection bias and registration to the parent plate</w:t>
      </w:r>
    </w:p>
    <w:p>
      <w:pPr>
        <w:spacing w:before="0" w:after="50" w:line="250" w:lineRule="auto"/>
      </w:pPr>
      <w:r>
        <w:rPr>
          <w:rFonts w:ascii="Calibri" w:hAnsi="Calibri"/>
          <w:color w:val="000000"/>
          <w:sz w:val="20"/>
        </w:rPr>
        <w:t xml:space="preserve">Observation scale: Microscopic field</w:t>
      </w:r>
    </w:p>
    <w:p>
      <w:pPr>
        <w:spacing w:before="0" w:after="50" w:line="250" w:lineRule="auto"/>
      </w:pPr>
      <w:r>
        <w:rPr>
          <w:rFonts w:ascii="Calibri" w:hAnsi="Calibri"/>
          <w:color w:val="000000"/>
          <w:sz w:val="20"/>
        </w:rPr>
        <w:t xml:space="preserve">Candidate use: Cell or microcolony research</w:t>
      </w:r>
    </w:p>
    <w:p>
      <w:pPr>
        <w:spacing w:before="0" w:after="50" w:line="250" w:lineRule="auto"/>
      </w:pPr>
      <w:r>
        <w:rPr>
          <w:rFonts w:ascii="Calibri" w:hAnsi="Calibri"/>
          <w:color w:val="000000"/>
          <w:sz w:val="20"/>
        </w:rPr>
        <w:t xml:space="preserve">Main qualification issue: Focus, tracking, sampling representativeness and reference labels</w:t>
      </w:r>
    </w:p>
    <w:p>
      <w:pPr>
        <w:spacing w:before="0" w:after="50" w:line="250" w:lineRule="auto"/>
      </w:pPr>
      <w:r>
        <w:rPr>
          <w:rFonts w:ascii="Calibri" w:hAnsi="Calibri"/>
          <w:color w:val="000000"/>
          <w:sz w:val="20"/>
        </w:rPr>
        <w:t xml:space="preserve">Observation scale: Spectral measurement</w:t>
      </w:r>
    </w:p>
    <w:p>
      <w:pPr>
        <w:spacing w:before="0" w:after="50" w:line="250" w:lineRule="auto"/>
      </w:pPr>
      <w:r>
        <w:rPr>
          <w:rFonts w:ascii="Calibri" w:hAnsi="Calibri"/>
          <w:color w:val="000000"/>
          <w:sz w:val="20"/>
        </w:rPr>
        <w:t xml:space="preserve">Candidate use: Chemical or metabolic research signals</w:t>
      </w:r>
    </w:p>
    <w:p>
      <w:pPr>
        <w:spacing w:before="0" w:after="50" w:line="250" w:lineRule="auto"/>
      </w:pPr>
      <w:r>
        <w:rPr>
          <w:rFonts w:ascii="Calibri" w:hAnsi="Calibri"/>
          <w:color w:val="000000"/>
          <w:sz w:val="20"/>
        </w:rPr>
        <w:t xml:space="preserve">Main qualification issue: Background, spectral calibration and assay-specific meaning</w:t>
      </w:r>
    </w:p>
    <w:p>
      <w:pPr>
        <w:pStyle w:val="Heading3"/>
        <w:keepNext/>
        <w:keepLines/>
        <w:spacing w:before="240" w:after="120" w:line="269" w:lineRule="auto"/>
      </w:pPr>
      <w:r>
        <w:rPr>
          <w:color w:val="000000"/>
        </w:rPr>
        <w:t>Preserve context across scales</w:t>
      </w:r>
    </w:p>
    <w:p>
      <w:pPr>
        <w:pStyle w:val="Normal"/>
        <w:spacing w:before="0" w:after="50" w:line="250" w:lineRule="auto"/>
        <w:rPr/>
      </w:pPr>
      <w:r>
        <w:rPr>
          <w:rFonts w:ascii="Calibri" w:hAnsi="Calibri"/>
          <w:color w:val="000000"/>
          <w:sz w:val="20"/>
        </w:rPr>
        <w:t>A high-magnification field should retain its position within the parent specimen or plate. A reviewer needs to know whether the field was selected manually, by a prespecified sampling pattern or by an algorithm attracted to an unusual feature. Otherwise, a striking image can be mistaken for a representative observation.</w:t>
      </w:r>
    </w:p>
    <w:p>
      <w:pPr>
        <w:pStyle w:val="Normal"/>
        <w:spacing w:before="0" w:after="50" w:line="250" w:lineRule="auto"/>
        <w:rPr/>
      </w:pPr>
      <w:r>
        <w:rPr>
          <w:rFonts w:ascii="Calibri" w:hAnsi="Calibri"/>
          <w:color w:val="000000"/>
          <w:sz w:val="20"/>
        </w:rPr>
        <w:t>Published single-cell AST research illustrates that specialized imaging can support short assay windows in selected experimental settings. It does not show that whole-plate imaging automatically has the same timing or clinical scope.  The proposed imaging family should therefore qualify each scale and workflow on its own terms, with shared provenance rather than interchangeable claims.</w:t>
      </w:r>
    </w:p>
    <w:p>
      <w:pPr>
        <w:pStyle w:val="Heading3"/>
        <w:keepNext/>
        <w:keepLines/>
        <w:spacing w:before="240" w:after="120" w:line="269" w:lineRule="auto"/>
      </w:pPr>
      <w:r>
        <w:rPr>
          <w:color w:val="000000"/>
        </w:rPr>
        <w:t>The automation and robotics family</w:t>
      </w:r>
    </w:p>
    <w:p>
      <w:pPr>
        <w:pStyle w:val="Normal"/>
        <w:spacing w:before="0" w:after="50" w:line="250" w:lineRule="auto"/>
        <w:rPr/>
      </w:pPr>
      <w:r>
        <w:rPr>
          <w:rFonts w:ascii="Calibri" w:hAnsi="Calibri"/>
          <w:color w:val="000000"/>
          <w:sz w:val="20"/>
        </w:rPr>
        <w:t>Automation should remove a demonstrated source of variation or workload. Candidate functions include plate loading, indexing, scheduled observation, barcode association and transfer between qualified modules. More advanced liquid handling and robotic workflows belong to separately assessed development tracks.</w:t>
      </w:r>
    </w:p>
    <w:p>
      <w:pPr>
        <w:pStyle w:val="Heading3"/>
        <w:keepNext/>
        <w:keepLines/>
        <w:spacing w:before="240" w:after="120" w:line="269" w:lineRule="auto"/>
      </w:pPr>
      <w:r>
        <w:rPr>
          <w:color w:val="000000"/>
        </w:rPr>
        <w:t>Make every physical action accountable</w:t>
      </w:r>
    </w:p>
    <w:p>
      <w:pPr>
        <w:pStyle w:val="Normal"/>
        <w:spacing w:before="0" w:after="50" w:line="250" w:lineRule="auto"/>
        <w:rPr/>
      </w:pPr>
      <w:r>
        <w:rPr>
          <w:rFonts w:ascii="Calibri" w:hAnsi="Calibri"/>
          <w:color w:val="000000"/>
          <w:sz w:val="20"/>
        </w:rPr>
        <w:t>A motion command should have a permitted starting state, a target state, feedback and a defined response when completion is uncertain. The software record should describe what the instrument observed about the action, not merely what it requested. A command to move a plate is not evidence that the plate arrived in the correct position.</w:t>
      </w:r>
    </w:p>
    <w:p>
      <w:pPr>
        <w:spacing w:before="0" w:after="50" w:line="250" w:lineRule="auto"/>
      </w:pPr>
      <w:r>
        <w:rPr>
          <w:rFonts w:ascii="Calibri" w:hAnsi="Calibri"/>
          <w:color w:val="000000"/>
          <w:sz w:val="20"/>
        </w:rPr>
        <w:t xml:space="preserve">Automation function: Plate loading</w:t>
      </w:r>
    </w:p>
    <w:p>
      <w:pPr>
        <w:spacing w:before="0" w:after="50" w:line="250" w:lineRule="auto"/>
      </w:pPr>
      <w:r>
        <w:rPr>
          <w:rFonts w:ascii="Calibri" w:hAnsi="Calibri"/>
          <w:color w:val="000000"/>
          <w:sz w:val="20"/>
        </w:rPr>
        <w:t xml:space="preserve">Feedback needed: Identity, presence and permitted orientation</w:t>
      </w:r>
    </w:p>
    <w:p>
      <w:pPr>
        <w:spacing w:before="0" w:after="50" w:line="250" w:lineRule="auto"/>
      </w:pPr>
      <w:r>
        <w:rPr>
          <w:rFonts w:ascii="Calibri" w:hAnsi="Calibri"/>
          <w:color w:val="000000"/>
          <w:sz w:val="20"/>
        </w:rPr>
        <w:t xml:space="preserve">Failure response: Stop association and request resolution</w:t>
      </w:r>
    </w:p>
    <w:p>
      <w:pPr>
        <w:spacing w:before="0" w:after="50" w:line="250" w:lineRule="auto"/>
      </w:pPr>
      <w:r>
        <w:rPr>
          <w:rFonts w:ascii="Calibri" w:hAnsi="Calibri"/>
          <w:color w:val="000000"/>
          <w:sz w:val="20"/>
        </w:rPr>
        <w:t xml:space="preserve">Automation function: Indexing</w:t>
      </w:r>
    </w:p>
    <w:p>
      <w:pPr>
        <w:spacing w:before="0" w:after="50" w:line="250" w:lineRule="auto"/>
      </w:pPr>
      <w:r>
        <w:rPr>
          <w:rFonts w:ascii="Calibri" w:hAnsi="Calibri"/>
          <w:color w:val="000000"/>
          <w:sz w:val="20"/>
        </w:rPr>
        <w:t xml:space="preserve">Feedback needed: Position or pose confirmation</w:t>
      </w:r>
    </w:p>
    <w:p>
      <w:pPr>
        <w:spacing w:before="0" w:after="50" w:line="250" w:lineRule="auto"/>
      </w:pPr>
      <w:r>
        <w:rPr>
          <w:rFonts w:ascii="Calibri" w:hAnsi="Calibri"/>
          <w:color w:val="000000"/>
          <w:sz w:val="20"/>
        </w:rPr>
        <w:t xml:space="preserve">Failure response: Hold capture and verify the mechanism</w:t>
      </w:r>
    </w:p>
    <w:p>
      <w:pPr>
        <w:spacing w:before="0" w:after="50" w:line="250" w:lineRule="auto"/>
      </w:pPr>
      <w:r>
        <w:rPr>
          <w:rFonts w:ascii="Calibri" w:hAnsi="Calibri"/>
          <w:color w:val="000000"/>
          <w:sz w:val="20"/>
        </w:rPr>
        <w:t xml:space="preserve">Automation function: Scheduled observation</w:t>
      </w:r>
    </w:p>
    <w:p>
      <w:pPr>
        <w:spacing w:before="0" w:after="50" w:line="250" w:lineRule="auto"/>
      </w:pPr>
      <w:r>
        <w:rPr>
          <w:rFonts w:ascii="Calibri" w:hAnsi="Calibri"/>
          <w:color w:val="000000"/>
          <w:sz w:val="20"/>
        </w:rPr>
        <w:t xml:space="preserve">Feedback needed: Clock, readiness and capture acknowledgement</w:t>
      </w:r>
    </w:p>
    <w:p>
      <w:pPr>
        <w:spacing w:before="0" w:after="50" w:line="250" w:lineRule="auto"/>
      </w:pPr>
      <w:r>
        <w:rPr>
          <w:rFonts w:ascii="Calibri" w:hAnsi="Calibri"/>
          <w:color w:val="000000"/>
          <w:sz w:val="20"/>
        </w:rPr>
        <w:t xml:space="preserve">Failure response: Record the missed observation explicitly</w:t>
      </w:r>
    </w:p>
    <w:p>
      <w:pPr>
        <w:spacing w:before="0" w:after="50" w:line="250" w:lineRule="auto"/>
      </w:pPr>
      <w:r>
        <w:rPr>
          <w:rFonts w:ascii="Calibri" w:hAnsi="Calibri"/>
          <w:color w:val="000000"/>
          <w:sz w:val="20"/>
        </w:rPr>
        <w:t xml:space="preserve">Automation function: Module transfer</w:t>
      </w:r>
    </w:p>
    <w:p>
      <w:pPr>
        <w:spacing w:before="0" w:after="50" w:line="250" w:lineRule="auto"/>
      </w:pPr>
      <w:r>
        <w:rPr>
          <w:rFonts w:ascii="Calibri" w:hAnsi="Calibri"/>
          <w:color w:val="000000"/>
          <w:sz w:val="20"/>
        </w:rPr>
        <w:t xml:space="preserve">Feedback needed: Source and destination custody confirmation</w:t>
      </w:r>
    </w:p>
    <w:p>
      <w:pPr>
        <w:spacing w:before="0" w:after="50" w:line="250" w:lineRule="auto"/>
      </w:pPr>
      <w:r>
        <w:rPr>
          <w:rFonts w:ascii="Calibri" w:hAnsi="Calibri"/>
          <w:color w:val="000000"/>
          <w:sz w:val="20"/>
        </w:rPr>
        <w:t xml:space="preserve">Failure response: Quarantine the ambiguous record state</w:t>
      </w:r>
    </w:p>
    <w:p>
      <w:pPr>
        <w:spacing w:before="0" w:after="50" w:line="250" w:lineRule="auto"/>
      </w:pPr>
      <w:r>
        <w:rPr>
          <w:rFonts w:ascii="Calibri" w:hAnsi="Calibri"/>
          <w:color w:val="000000"/>
          <w:sz w:val="20"/>
        </w:rPr>
        <w:t xml:space="preserve">Automation function: Research liquid handling</w:t>
      </w:r>
    </w:p>
    <w:p>
      <w:pPr>
        <w:spacing w:before="0" w:after="50" w:line="250" w:lineRule="auto"/>
      </w:pPr>
      <w:r>
        <w:rPr>
          <w:rFonts w:ascii="Calibri" w:hAnsi="Calibri"/>
          <w:color w:val="000000"/>
          <w:sz w:val="20"/>
        </w:rPr>
        <w:t xml:space="preserve">Feedback needed: Qualified volume and path verification</w:t>
      </w:r>
    </w:p>
    <w:p>
      <w:pPr>
        <w:spacing w:before="0" w:after="50" w:line="250" w:lineRule="auto"/>
      </w:pPr>
      <w:r>
        <w:rPr>
          <w:rFonts w:ascii="Calibri" w:hAnsi="Calibri"/>
          <w:color w:val="000000"/>
          <w:sz w:val="20"/>
        </w:rPr>
        <w:t xml:space="preserve">Failure response: Apply the assay-specific interruption procedure</w:t>
      </w:r>
    </w:p>
    <w:p>
      <w:pPr>
        <w:pStyle w:val="Heading3"/>
        <w:keepNext/>
        <w:keepLines/>
        <w:spacing w:before="240" w:after="120" w:line="269" w:lineRule="auto"/>
      </w:pPr>
      <w:r>
        <w:rPr>
          <w:color w:val="000000"/>
        </w:rPr>
        <w:t>Separate safety from conversational control</w:t>
      </w:r>
    </w:p>
    <w:p>
      <w:pPr>
        <w:pStyle w:val="Normal"/>
        <w:spacing w:before="0" w:after="50" w:line="250" w:lineRule="auto"/>
        <w:rPr/>
      </w:pPr>
      <w:r>
        <w:rPr>
          <w:rFonts w:ascii="Calibri" w:hAnsi="Calibri"/>
          <w:color w:val="000000"/>
          <w:sz w:val="20"/>
        </w:rPr>
        <w:t>Operator assistance may explain a sequence or collect an annotation, but a learned language model should not become the sole authority for safety-critical motion or environmental control. Interlocks, command authorization and deterministic limits should remain effective when the interface or cloud service fails.</w:t>
      </w:r>
    </w:p>
    <w:p>
      <w:pPr>
        <w:pStyle w:val="Normal"/>
        <w:spacing w:before="0" w:after="50" w:line="250" w:lineRule="auto"/>
        <w:rPr/>
      </w:pPr>
      <w:r>
        <w:rPr>
          <w:rFonts w:ascii="Calibri" w:hAnsi="Calibri"/>
          <w:color w:val="000000"/>
          <w:sz w:val="20"/>
        </w:rPr>
        <w:t>The strongest early automation candidate is often the simplest one that makes a repeated operation more consistent. The development sequence should measure operator time, identity integrity, recovery burden and maintenance demand alongside mechanical cycle time. A faster mechanism that creates more ambiguous plate associations would not satisfy the product objective.</w:t>
      </w:r>
    </w:p>
    <w:p>
      <w:pPr>
        <w:pStyle w:val="Heading3"/>
        <w:keepNext/>
        <w:keepLines/>
        <w:spacing w:before="240" w:after="120" w:line="269" w:lineRule="auto"/>
      </w:pPr>
      <w:r>
        <w:rPr>
          <w:color w:val="000000"/>
        </w:rPr>
        <w:t>The research instrumentation family</w:t>
      </w:r>
    </w:p>
    <w:p>
      <w:pPr>
        <w:pStyle w:val="Normal"/>
        <w:spacing w:before="0" w:after="50" w:line="250" w:lineRule="auto"/>
        <w:rPr/>
      </w:pPr>
      <w:r>
        <w:rPr>
          <w:rFonts w:ascii="Calibri" w:hAnsi="Calibri"/>
          <w:color w:val="000000"/>
          <w:sz w:val="20"/>
        </w:rPr>
        <w:t>Research instrumentation should support investigators who need reproducible observations and transparent access to data. Its outputs may include raw images, calibrated measurements, temporal features and sensor traces. The value lies in the quality and interpretability of those observations, rather than in assigning a clinical category before the relevant assay has been validated.</w:t>
      </w:r>
    </w:p>
    <w:p>
      <w:pPr>
        <w:pStyle w:val="Heading3"/>
        <w:keepNext/>
        <w:keepLines/>
        <w:spacing w:before="240" w:after="120" w:line="269" w:lineRule="auto"/>
      </w:pPr>
      <w:r>
        <w:rPr>
          <w:color w:val="000000"/>
        </w:rPr>
        <w:t>A configurable but bounded environment</w:t>
      </w:r>
    </w:p>
    <w:p>
      <w:pPr>
        <w:pStyle w:val="Normal"/>
        <w:spacing w:before="0" w:after="50" w:line="250" w:lineRule="auto"/>
        <w:rPr/>
      </w:pPr>
      <w:r>
        <w:rPr>
          <w:rFonts w:ascii="Calibri" w:hAnsi="Calibri"/>
          <w:color w:val="000000"/>
          <w:sz w:val="20"/>
        </w:rPr>
        <w:t>Research configurations can expose additional optical modes, sampling schedules and analysis options. Those choices should be versioned and recorded. An investigator should be able to reconstruct the configuration that produced a dataset and distinguish an intentional experimental change from an unrecorded instrument drift.</w:t>
      </w:r>
    </w:p>
    <w:p>
      <w:pPr>
        <w:spacing w:before="0" w:after="50" w:line="250" w:lineRule="auto"/>
      </w:pPr>
      <w:r>
        <w:rPr>
          <w:rFonts w:ascii="Calibri" w:hAnsi="Calibri"/>
          <w:color w:val="000000"/>
          <w:sz w:val="20"/>
        </w:rPr>
        <w:t xml:space="preserve">Research function: Time-resolved phenomics</w:t>
      </w:r>
    </w:p>
    <w:p>
      <w:pPr>
        <w:spacing w:before="0" w:after="50" w:line="250" w:lineRule="auto"/>
      </w:pPr>
      <w:r>
        <w:rPr>
          <w:rFonts w:ascii="Calibri" w:hAnsi="Calibri"/>
          <w:color w:val="000000"/>
          <w:sz w:val="20"/>
        </w:rPr>
        <w:t xml:space="preserve">Proposed deliverable: Registered observations with biological and instrument time origins.</w:t>
      </w:r>
    </w:p>
    <w:p>
      <w:pPr>
        <w:spacing w:before="0" w:after="50" w:line="250" w:lineRule="auto"/>
      </w:pPr>
      <w:r>
        <w:rPr>
          <w:rFonts w:ascii="Calibri" w:hAnsi="Calibri"/>
          <w:color w:val="000000"/>
          <w:sz w:val="20"/>
        </w:rPr>
        <w:t xml:space="preserve">Research function: Multimodal comparison</w:t>
      </w:r>
    </w:p>
    <w:p>
      <w:pPr>
        <w:spacing w:before="0" w:after="50" w:line="250" w:lineRule="auto"/>
      </w:pPr>
      <w:r>
        <w:rPr>
          <w:rFonts w:ascii="Calibri" w:hAnsi="Calibri"/>
          <w:color w:val="000000"/>
          <w:sz w:val="20"/>
        </w:rPr>
        <w:t xml:space="preserve">Proposed deliverable: Synchronized channels with units, calibration and missingness states.</w:t>
      </w:r>
    </w:p>
    <w:p>
      <w:pPr>
        <w:spacing w:before="0" w:after="50" w:line="250" w:lineRule="auto"/>
      </w:pPr>
      <w:r>
        <w:rPr>
          <w:rFonts w:ascii="Calibri" w:hAnsi="Calibri"/>
          <w:color w:val="000000"/>
          <w:sz w:val="20"/>
        </w:rPr>
        <w:t xml:space="preserve">Research function: Algorithm development</w:t>
      </w:r>
    </w:p>
    <w:p>
      <w:pPr>
        <w:spacing w:before="0" w:after="50" w:line="250" w:lineRule="auto"/>
      </w:pPr>
      <w:r>
        <w:rPr>
          <w:rFonts w:ascii="Calibri" w:hAnsi="Calibri"/>
          <w:color w:val="000000"/>
          <w:sz w:val="20"/>
        </w:rPr>
        <w:t xml:space="preserve">Proposed deliverable: Original observations, annotation provenance and declared dataset splits.</w:t>
      </w:r>
    </w:p>
    <w:p>
      <w:pPr>
        <w:spacing w:before="0" w:after="50" w:line="250" w:lineRule="auto"/>
      </w:pPr>
      <w:r>
        <w:rPr>
          <w:rFonts w:ascii="Calibri" w:hAnsi="Calibri"/>
          <w:color w:val="000000"/>
          <w:sz w:val="20"/>
        </w:rPr>
        <w:t xml:space="preserve">Research function: Simulation research</w:t>
      </w:r>
    </w:p>
    <w:p>
      <w:pPr>
        <w:spacing w:before="0" w:after="50" w:line="250" w:lineRule="auto"/>
      </w:pPr>
      <w:r>
        <w:rPr>
          <w:rFonts w:ascii="Calibri" w:hAnsi="Calibri"/>
          <w:color w:val="000000"/>
          <w:sz w:val="20"/>
        </w:rPr>
        <w:t xml:space="preserve">Proposed deliverable: Model inputs, parameter assumptions, outputs and uncertainty.</w:t>
      </w:r>
    </w:p>
    <w:p>
      <w:pPr>
        <w:spacing w:before="0" w:after="50" w:line="250" w:lineRule="auto"/>
      </w:pPr>
      <w:r>
        <w:rPr>
          <w:rFonts w:ascii="Calibri" w:hAnsi="Calibri"/>
          <w:color w:val="000000"/>
          <w:sz w:val="20"/>
        </w:rPr>
        <w:t xml:space="preserve">Research function: Reproducibility support</w:t>
      </w:r>
    </w:p>
    <w:p>
      <w:pPr>
        <w:spacing w:before="0" w:after="50" w:line="250" w:lineRule="auto"/>
      </w:pPr>
      <w:r>
        <w:rPr>
          <w:rFonts w:ascii="Calibri" w:hAnsi="Calibri"/>
          <w:color w:val="000000"/>
          <w:sz w:val="20"/>
        </w:rPr>
        <w:t xml:space="preserve">Proposed deliverable: Exportable metadata, versioned configurations and analysis manifests.</w:t>
      </w:r>
    </w:p>
    <w:p>
      <w:pPr>
        <w:pStyle w:val="Heading3"/>
        <w:keepNext/>
        <w:keepLines/>
        <w:spacing w:before="240" w:after="120" w:line="269" w:lineRule="auto"/>
      </w:pPr>
      <w:r>
        <w:rPr>
          <w:color w:val="000000"/>
        </w:rPr>
        <w:t>Protect comparability</w:t>
      </w:r>
    </w:p>
    <w:p>
      <w:pPr>
        <w:pStyle w:val="Normal"/>
        <w:spacing w:before="0" w:after="50" w:line="250" w:lineRule="auto"/>
        <w:rPr/>
      </w:pPr>
      <w:r>
        <w:rPr>
          <w:rFonts w:ascii="Calibri" w:hAnsi="Calibri"/>
          <w:color w:val="000000"/>
          <w:sz w:val="20"/>
        </w:rPr>
        <w:t>Open access to settings is useful only when changes remain interpretable. For example, an exposure adjustment can alter image intensity without indicating a biological change. A different illumination mode can reveal another feature while breaking direct comparability with the prior series. The research interface should make these transitions explicit.</w:t>
      </w:r>
    </w:p>
    <w:p>
      <w:pPr>
        <w:pStyle w:val="Normal"/>
        <w:spacing w:before="0" w:after="50" w:line="250" w:lineRule="auto"/>
        <w:rPr/>
      </w:pPr>
      <w:r>
        <w:rPr>
          <w:rFonts w:ascii="Calibri" w:hAnsi="Calibri"/>
          <w:color w:val="000000"/>
          <w:sz w:val="20"/>
        </w:rPr>
        <w:t>Partnerships should define who owns observations, who can reuse them, what de-identification is required and which results may be published. Research use is not a blanket exemption from privacy, biosafety or instrument safety responsibilities. A well-designed research product gives investigators the information needed to meet those responsibilities and to evaluate whether its measurements answer their question.</w:t>
      </w:r>
    </w:p>
    <w:p>
      <w:pPr>
        <w:pStyle w:val="Heading3"/>
        <w:keepNext/>
        <w:keepLines/>
        <w:spacing w:before="240" w:after="120" w:line="269" w:lineRule="auto"/>
      </w:pPr>
      <w:r>
        <w:rPr>
          <w:color w:val="000000"/>
        </w:rPr>
        <w:t>Plate information management software</w:t>
      </w:r>
    </w:p>
    <w:p>
      <w:pPr>
        <w:pStyle w:val="Normal"/>
        <w:spacing w:before="0" w:after="50" w:line="250" w:lineRule="auto"/>
        <w:rPr/>
      </w:pPr>
      <w:r>
        <w:rPr>
          <w:rFonts w:ascii="Calibri" w:hAnsi="Calibri"/>
          <w:color w:val="000000"/>
          <w:sz w:val="20"/>
        </w:rPr>
        <w:t>Plate information management is a proposed software product in its own right. Laboratories and research groups may need reliable plate records even when their images come from different instruments. PIMS should provide a stable identity and provenance model across those acquisition sources.</w:t>
      </w:r>
    </w:p>
    <w:p>
      <w:pPr>
        <w:pStyle w:val="Heading3"/>
        <w:keepNext/>
        <w:keepLines/>
        <w:spacing w:before="240" w:after="120" w:line="269" w:lineRule="auto"/>
      </w:pPr>
      <w:r>
        <w:rPr>
          <w:color w:val="000000"/>
        </w:rPr>
        <w:t>Product functions</w:t>
      </w:r>
    </w:p>
    <w:p>
      <w:pPr>
        <w:pStyle w:val="Normal"/>
        <w:spacing w:before="0" w:after="50" w:line="250" w:lineRule="auto"/>
        <w:rPr/>
      </w:pPr>
      <w:r>
        <w:rPr>
          <w:rFonts w:ascii="Calibri" w:hAnsi="Calibri"/>
          <w:color w:val="000000"/>
          <w:sz w:val="20"/>
        </w:rPr>
        <w:t>The software should organize plate associations, observations, analysis versions, quality decisions and review states. Search should answer operational questions such as which records need review, which images used a superseded calibration and which exports remain unacknowledged. Retrieval should not depend on a staff member remembering a file naming convention.</w:t>
      </w:r>
    </w:p>
    <w:p>
      <w:pPr>
        <w:spacing w:before="0" w:after="50" w:line="250" w:lineRule="auto"/>
      </w:pPr>
      <w:r>
        <w:rPr>
          <w:rFonts w:ascii="Calibri" w:hAnsi="Calibri"/>
          <w:color w:val="000000"/>
          <w:sz w:val="20"/>
        </w:rPr>
        <w:t xml:space="preserve">User need: Find a plate record</w:t>
      </w:r>
    </w:p>
    <w:p>
      <w:pPr>
        <w:spacing w:before="0" w:after="50" w:line="250" w:lineRule="auto"/>
      </w:pPr>
      <w:r>
        <w:rPr>
          <w:rFonts w:ascii="Calibri" w:hAnsi="Calibri"/>
          <w:color w:val="000000"/>
          <w:sz w:val="20"/>
        </w:rPr>
        <w:t xml:space="preserve">Proposed PIMS function: Search permitted identifiers and metadata under role-based access.</w:t>
      </w:r>
    </w:p>
    <w:p>
      <w:pPr>
        <w:spacing w:before="0" w:after="50" w:line="250" w:lineRule="auto"/>
      </w:pPr>
      <w:r>
        <w:rPr>
          <w:rFonts w:ascii="Calibri" w:hAnsi="Calibri"/>
          <w:color w:val="000000"/>
          <w:sz w:val="20"/>
        </w:rPr>
        <w:t xml:space="preserve">User need: Explain a result</w:t>
      </w:r>
    </w:p>
    <w:p>
      <w:pPr>
        <w:spacing w:before="0" w:after="50" w:line="250" w:lineRule="auto"/>
      </w:pPr>
      <w:r>
        <w:rPr>
          <w:rFonts w:ascii="Calibri" w:hAnsi="Calibri"/>
          <w:color w:val="000000"/>
          <w:sz w:val="20"/>
        </w:rPr>
        <w:t xml:space="preserve">Proposed PIMS function: Follow the chain from original observation to review and export.</w:t>
      </w:r>
    </w:p>
    <w:p>
      <w:pPr>
        <w:spacing w:before="0" w:after="50" w:line="250" w:lineRule="auto"/>
      </w:pPr>
      <w:r>
        <w:rPr>
          <w:rFonts w:ascii="Calibri" w:hAnsi="Calibri"/>
          <w:color w:val="000000"/>
          <w:sz w:val="20"/>
        </w:rPr>
        <w:t xml:space="preserve">User need: Correct an association</w:t>
      </w:r>
    </w:p>
    <w:p>
      <w:pPr>
        <w:spacing w:before="0" w:after="50" w:line="250" w:lineRule="auto"/>
      </w:pPr>
      <w:r>
        <w:rPr>
          <w:rFonts w:ascii="Calibri" w:hAnsi="Calibri"/>
          <w:color w:val="000000"/>
          <w:sz w:val="20"/>
        </w:rPr>
        <w:t xml:space="preserve">Proposed PIMS function: Create an authorized reassociation event with a reason and preserved history.</w:t>
      </w:r>
    </w:p>
    <w:p>
      <w:pPr>
        <w:spacing w:before="0" w:after="50" w:line="250" w:lineRule="auto"/>
      </w:pPr>
      <w:r>
        <w:rPr>
          <w:rFonts w:ascii="Calibri" w:hAnsi="Calibri"/>
          <w:color w:val="000000"/>
          <w:sz w:val="20"/>
        </w:rPr>
        <w:t xml:space="preserve">User need: Reanalyse observations</w:t>
      </w:r>
    </w:p>
    <w:p>
      <w:pPr>
        <w:spacing w:before="0" w:after="50" w:line="250" w:lineRule="auto"/>
      </w:pPr>
      <w:r>
        <w:rPr>
          <w:rFonts w:ascii="Calibri" w:hAnsi="Calibri"/>
          <w:color w:val="000000"/>
          <w:sz w:val="20"/>
        </w:rPr>
        <w:t xml:space="preserve">Proposed PIMS function: Attach a new analysis version without replacing the original data.</w:t>
      </w:r>
    </w:p>
    <w:p>
      <w:pPr>
        <w:spacing w:before="0" w:after="50" w:line="250" w:lineRule="auto"/>
      </w:pPr>
      <w:r>
        <w:rPr>
          <w:rFonts w:ascii="Calibri" w:hAnsi="Calibri"/>
          <w:color w:val="000000"/>
          <w:sz w:val="20"/>
        </w:rPr>
        <w:t xml:space="preserve">User need: Manage retention</w:t>
      </w:r>
    </w:p>
    <w:p>
      <w:pPr>
        <w:spacing w:before="0" w:after="50" w:line="250" w:lineRule="auto"/>
      </w:pPr>
      <w:r>
        <w:rPr>
          <w:rFonts w:ascii="Calibri" w:hAnsi="Calibri"/>
          <w:color w:val="000000"/>
          <w:sz w:val="20"/>
        </w:rPr>
        <w:t xml:space="preserve">Proposed PIMS function: Apply data-class policies and preserve required audit evidence.</w:t>
      </w:r>
    </w:p>
    <w:p>
      <w:pPr>
        <w:pStyle w:val="Heading3"/>
        <w:keepNext/>
        <w:keepLines/>
        <w:spacing w:before="240" w:after="120" w:line="269" w:lineRule="auto"/>
      </w:pPr>
      <w:r>
        <w:rPr>
          <w:color w:val="000000"/>
        </w:rPr>
        <w:t>Product boundaries</w:t>
      </w:r>
    </w:p>
    <w:p>
      <w:pPr>
        <w:pStyle w:val="Normal"/>
        <w:spacing w:before="0" w:after="50" w:line="250" w:lineRule="auto"/>
        <w:rPr/>
      </w:pPr>
      <w:r>
        <w:rPr>
          <w:rFonts w:ascii="Calibri" w:hAnsi="Calibri"/>
          <w:color w:val="000000"/>
          <w:sz w:val="20"/>
        </w:rPr>
        <w:t>PIMS should integrate with the laboratory’s authoritative patient and order systems rather than create unnecessary duplicate identity stores. The appropriate source of truth for each field must be agreed during integration. A research deployment may use study identifiers and require no patient details at all.</w:t>
      </w:r>
    </w:p>
    <w:p>
      <w:pPr>
        <w:pStyle w:val="Normal"/>
        <w:spacing w:before="0" w:after="50" w:line="250" w:lineRule="auto"/>
        <w:rPr/>
      </w:pPr>
      <w:r>
        <w:rPr>
          <w:rFonts w:ascii="Calibri" w:hAnsi="Calibri"/>
          <w:color w:val="000000"/>
          <w:sz w:val="20"/>
        </w:rPr>
        <w:t>The initial product value can be evaluated through successful retrieval, identity consistency, correction completeness and reviewer usability. Predictive features can be added later without changing the meaning of the original observation record. The detailed PIMS chapter and interface appendices define the proposed record relationships and expected handling of measured, derived, imputed, simulated and unavailable values.</w:t>
      </w:r>
    </w:p>
    <w:p>
      <w:pPr>
        <w:pStyle w:val="Heading3"/>
        <w:keepNext/>
        <w:keepLines/>
        <w:spacing w:before="240" w:after="120" w:line="269" w:lineRule="auto"/>
      </w:pPr>
      <w:r>
        <w:rPr>
          <w:color w:val="000000"/>
        </w:rPr>
        <w:t>Analysis and decision support software</w:t>
      </w:r>
    </w:p>
    <w:p>
      <w:pPr>
        <w:pStyle w:val="Normal"/>
        <w:spacing w:before="0" w:after="50" w:line="250" w:lineRule="auto"/>
        <w:rPr/>
      </w:pPr>
      <w:r>
        <w:rPr>
          <w:rFonts w:ascii="Calibri" w:hAnsi="Calibri"/>
          <w:color w:val="000000"/>
          <w:sz w:val="20"/>
        </w:rPr>
        <w:t>Analysis software converts observations into candidate measurements and reviewable evidence. Decision support adds context that helps a qualified user understand the result. These functions should be distinguished from autonomous clinical decision-making and from the deterministic application of an eligible standards rule.</w:t>
      </w:r>
    </w:p>
    <w:p>
      <w:pPr>
        <w:pStyle w:val="Heading3"/>
        <w:keepNext/>
        <w:keepLines/>
        <w:spacing w:before="240" w:after="120" w:line="269" w:lineRule="auto"/>
      </w:pPr>
      <w:r>
        <w:rPr>
          <w:color w:val="000000"/>
        </w:rPr>
        <w:t>A layered analysis product</w:t>
      </w:r>
    </w:p>
    <w:p>
      <w:pPr>
        <w:pStyle w:val="Normal"/>
        <w:spacing w:before="0" w:after="50" w:line="250" w:lineRule="auto"/>
        <w:rPr/>
      </w:pPr>
      <w:r>
        <w:rPr>
          <w:rFonts w:ascii="Calibri" w:hAnsi="Calibri"/>
          <w:color w:val="000000"/>
          <w:sz w:val="20"/>
        </w:rPr>
        <w:t>The proposed software combines conventional image processing, task-specific learned models and explicit quality logic. A geometric method may be sufficient for one measurement, while a learned model may help with variable appearance or ambiguous segmentation. Every AI capability should be compared with a simpler baseline and judged by its effect on the intended workflow.</w:t>
      </w:r>
    </w:p>
    <w:p>
      <w:pPr>
        <w:spacing w:before="0" w:after="50" w:line="250" w:lineRule="auto"/>
      </w:pPr>
      <w:r>
        <w:rPr>
          <w:rFonts w:ascii="Calibri" w:hAnsi="Calibri"/>
          <w:color w:val="000000"/>
          <w:sz w:val="20"/>
        </w:rPr>
        <w:t xml:space="preserve">Software element: Image quality assessment</w:t>
      </w:r>
    </w:p>
    <w:p>
      <w:pPr>
        <w:spacing w:before="0" w:after="50" w:line="250" w:lineRule="auto"/>
      </w:pPr>
      <w:r>
        <w:rPr>
          <w:rFonts w:ascii="Calibri" w:hAnsi="Calibri"/>
          <w:color w:val="000000"/>
          <w:sz w:val="20"/>
        </w:rPr>
        <w:t xml:space="preserve">Proposed output: Specific readiness or readability findings</w:t>
      </w:r>
    </w:p>
    <w:p>
      <w:pPr>
        <w:spacing w:before="0" w:after="50" w:line="250" w:lineRule="auto"/>
      </w:pPr>
      <w:r>
        <w:rPr>
          <w:rFonts w:ascii="Calibri" w:hAnsi="Calibri"/>
          <w:color w:val="000000"/>
          <w:sz w:val="20"/>
        </w:rPr>
        <w:t xml:space="preserve">User control: Inspect evidence and reacquire where appropriate</w:t>
      </w:r>
    </w:p>
    <w:p>
      <w:pPr>
        <w:spacing w:before="0" w:after="50" w:line="250" w:lineRule="auto"/>
      </w:pPr>
      <w:r>
        <w:rPr>
          <w:rFonts w:ascii="Calibri" w:hAnsi="Calibri"/>
          <w:color w:val="000000"/>
          <w:sz w:val="20"/>
        </w:rPr>
        <w:t xml:space="preserve">Software element: Measurement assistance</w:t>
      </w:r>
    </w:p>
    <w:p>
      <w:pPr>
        <w:spacing w:before="0" w:after="50" w:line="250" w:lineRule="auto"/>
      </w:pPr>
      <w:r>
        <w:rPr>
          <w:rFonts w:ascii="Calibri" w:hAnsi="Calibri"/>
          <w:color w:val="000000"/>
          <w:sz w:val="20"/>
        </w:rPr>
        <w:t xml:space="preserve">Proposed output: Boundary and calibrated quantity</w:t>
      </w:r>
    </w:p>
    <w:p>
      <w:pPr>
        <w:spacing w:before="0" w:after="50" w:line="250" w:lineRule="auto"/>
      </w:pPr>
      <w:r>
        <w:rPr>
          <w:rFonts w:ascii="Calibri" w:hAnsi="Calibri"/>
          <w:color w:val="000000"/>
          <w:sz w:val="20"/>
        </w:rPr>
        <w:t xml:space="preserve">User control: Accept, adjust, reject or defer</w:t>
      </w:r>
    </w:p>
    <w:p>
      <w:pPr>
        <w:spacing w:before="0" w:after="50" w:line="250" w:lineRule="auto"/>
      </w:pPr>
      <w:r>
        <w:rPr>
          <w:rFonts w:ascii="Calibri" w:hAnsi="Calibri"/>
          <w:color w:val="000000"/>
          <w:sz w:val="20"/>
        </w:rPr>
        <w:t xml:space="preserve">Software element: Contextual interpretation</w:t>
      </w:r>
    </w:p>
    <w:p>
      <w:pPr>
        <w:spacing w:before="0" w:after="50" w:line="250" w:lineRule="auto"/>
      </w:pPr>
      <w:r>
        <w:rPr>
          <w:rFonts w:ascii="Calibri" w:hAnsi="Calibri"/>
          <w:color w:val="000000"/>
          <w:sz w:val="20"/>
        </w:rPr>
        <w:t xml:space="preserve">Proposed output: Eligible rule result and source version</w:t>
      </w:r>
    </w:p>
    <w:p>
      <w:pPr>
        <w:spacing w:before="0" w:after="50" w:line="250" w:lineRule="auto"/>
      </w:pPr>
      <w:r>
        <w:rPr>
          <w:rFonts w:ascii="Calibri" w:hAnsi="Calibri"/>
          <w:color w:val="000000"/>
          <w:sz w:val="20"/>
        </w:rPr>
        <w:t xml:space="preserve">User control: Confirm context and resolve exceptions</w:t>
      </w:r>
    </w:p>
    <w:p>
      <w:pPr>
        <w:spacing w:before="0" w:after="50" w:line="250" w:lineRule="auto"/>
      </w:pPr>
      <w:r>
        <w:rPr>
          <w:rFonts w:ascii="Calibri" w:hAnsi="Calibri"/>
          <w:color w:val="000000"/>
          <w:sz w:val="20"/>
        </w:rPr>
        <w:t xml:space="preserve">Software element: Research inference</w:t>
      </w:r>
    </w:p>
    <w:p>
      <w:pPr>
        <w:spacing w:before="0" w:after="50" w:line="250" w:lineRule="auto"/>
      </w:pPr>
      <w:r>
        <w:rPr>
          <w:rFonts w:ascii="Calibri" w:hAnsi="Calibri"/>
          <w:color w:val="000000"/>
          <w:sz w:val="20"/>
        </w:rPr>
        <w:t xml:space="preserve">Proposed output: Bounded prediction with uncertainty</w:t>
      </w:r>
    </w:p>
    <w:p>
      <w:pPr>
        <w:spacing w:before="0" w:after="50" w:line="250" w:lineRule="auto"/>
      </w:pPr>
      <w:r>
        <w:rPr>
          <w:rFonts w:ascii="Calibri" w:hAnsi="Calibri"/>
          <w:color w:val="000000"/>
          <w:sz w:val="20"/>
        </w:rPr>
        <w:t xml:space="preserve">User control: Treat as research and inspect supporting inputs</w:t>
      </w:r>
    </w:p>
    <w:p>
      <w:pPr>
        <w:spacing w:before="0" w:after="50" w:line="250" w:lineRule="auto"/>
      </w:pPr>
      <w:r>
        <w:rPr>
          <w:rFonts w:ascii="Calibri" w:hAnsi="Calibri"/>
          <w:color w:val="000000"/>
          <w:sz w:val="20"/>
        </w:rPr>
        <w:t xml:space="preserve">Software element: Evidence retrieval</w:t>
      </w:r>
    </w:p>
    <w:p>
      <w:pPr>
        <w:spacing w:before="0" w:after="50" w:line="250" w:lineRule="auto"/>
      </w:pPr>
      <w:r>
        <w:rPr>
          <w:rFonts w:ascii="Calibri" w:hAnsi="Calibri"/>
          <w:color w:val="000000"/>
          <w:sz w:val="20"/>
        </w:rPr>
        <w:t xml:space="preserve">Proposed output: Source-linked material</w:t>
      </w:r>
    </w:p>
    <w:p>
      <w:pPr>
        <w:spacing w:before="0" w:after="50" w:line="250" w:lineRule="auto"/>
      </w:pPr>
      <w:r>
        <w:rPr>
          <w:rFonts w:ascii="Calibri" w:hAnsi="Calibri"/>
          <w:color w:val="000000"/>
          <w:sz w:val="20"/>
        </w:rPr>
        <w:t xml:space="preserve">User control: Verify relevance before use</w:t>
      </w:r>
    </w:p>
    <w:p>
      <w:pPr>
        <w:pStyle w:val="Heading3"/>
        <w:keepNext/>
        <w:keepLines/>
        <w:spacing w:before="240" w:after="120" w:line="269" w:lineRule="auto"/>
      </w:pPr>
      <w:r>
        <w:rPr>
          <w:color w:val="000000"/>
        </w:rPr>
        <w:t>Keep explanations operational</w:t>
      </w:r>
    </w:p>
    <w:p>
      <w:pPr>
        <w:pStyle w:val="Normal"/>
        <w:spacing w:before="0" w:after="50" w:line="250" w:lineRule="auto"/>
        <w:rPr/>
      </w:pPr>
      <w:r>
        <w:rPr>
          <w:rFonts w:ascii="Calibri" w:hAnsi="Calibri"/>
          <w:color w:val="000000"/>
          <w:sz w:val="20"/>
        </w:rPr>
        <w:t xml:space="preserve">An explanation should identify what affected the result and what the user can do next. A coloured overlay may help locate a boundary, but it does not establish that the algorithm used a biologically valid feature. A confidence score should have a defined empirical meaning and should be evaluated on representative data.  </w:t>
      </w:r>
    </w:p>
    <w:p>
      <w:pPr>
        <w:pStyle w:val="Normal"/>
        <w:spacing w:before="0" w:after="50" w:line="250" w:lineRule="auto"/>
        <w:rPr/>
      </w:pPr>
      <w:r>
        <w:rPr>
          <w:rFonts w:ascii="Calibri" w:hAnsi="Calibri"/>
          <w:color w:val="000000"/>
          <w:sz w:val="20"/>
        </w:rPr>
        <w:t>The product should make uncertainty actionable through review, additional observation or abstention. It should also preserve a record of overrides so that developers can investigate recurring weaknesses. Human review is most useful when the interface exposes the evidence needed for independent judgement, rather than simply asking the user to confirm an automated answer.</w:t>
      </w:r>
    </w:p>
    <w:p>
      <w:pPr>
        <w:pStyle w:val="Heading3"/>
        <w:keepNext/>
        <w:keepLines/>
        <w:spacing w:before="240" w:after="120" w:line="269" w:lineRule="auto"/>
      </w:pPr>
      <w:r>
        <w:rPr>
          <w:color w:val="000000"/>
        </w:rPr>
        <w:t>Laboratory connectivity products</w:t>
      </w:r>
    </w:p>
    <w:p>
      <w:pPr>
        <w:pStyle w:val="Normal"/>
        <w:spacing w:before="0" w:after="50" w:line="250" w:lineRule="auto"/>
        <w:rPr/>
      </w:pPr>
      <w:r>
        <w:rPr>
          <w:rFonts w:ascii="Calibri" w:hAnsi="Calibri"/>
          <w:color w:val="000000"/>
          <w:sz w:val="20"/>
        </w:rPr>
        <w:t>Connectivity products should move laboratory information with its meaning intact. The challenge is not only transmitting a value; it is preserving identity, units, method, status, version and correction semantics across systems that may use different conventions.</w:t>
      </w:r>
    </w:p>
    <w:p>
      <w:pPr>
        <w:pStyle w:val="Heading3"/>
        <w:keepNext/>
        <w:keepLines/>
        <w:spacing w:before="240" w:after="120" w:line="269" w:lineRule="auto"/>
      </w:pPr>
      <w:r>
        <w:rPr>
          <w:color w:val="000000"/>
        </w:rPr>
        <w:t>Define a mapping before an interface</w:t>
      </w:r>
    </w:p>
    <w:p>
      <w:pPr>
        <w:pStyle w:val="Normal"/>
        <w:spacing w:before="0" w:after="50" w:line="250" w:lineRule="auto"/>
        <w:rPr/>
      </w:pPr>
      <w:r>
        <w:rPr>
          <w:rFonts w:ascii="Calibri" w:hAnsi="Calibri"/>
          <w:color w:val="000000"/>
          <w:sz w:val="20"/>
        </w:rPr>
        <w:t>Each integration needs a field-level agreement between the sending and receiving systems. The agreement should identify authoritative identifiers, required terminology, permitted result states and acknowledgement behaviour. Common messaging standards can support that agreement, but they do not remove the need for site-specific mapping and verification.</w:t>
      </w:r>
    </w:p>
    <w:p>
      <w:pPr>
        <w:spacing w:before="0" w:after="50" w:line="250" w:lineRule="auto"/>
      </w:pPr>
      <w:r>
        <w:rPr>
          <w:rFonts w:ascii="Calibri" w:hAnsi="Calibri"/>
          <w:color w:val="000000"/>
          <w:sz w:val="20"/>
        </w:rPr>
        <w:t xml:space="preserve">Information class: Order and identity</w:t>
      </w:r>
    </w:p>
    <w:p>
      <w:pPr>
        <w:spacing w:before="0" w:after="50" w:line="250" w:lineRule="auto"/>
      </w:pPr>
      <w:r>
        <w:rPr>
          <w:rFonts w:ascii="Calibri" w:hAnsi="Calibri"/>
          <w:color w:val="000000"/>
          <w:sz w:val="20"/>
        </w:rPr>
        <w:t xml:space="preserve">Integration requirement: Unambiguous association and handling of duplicate or changed identifiers.</w:t>
      </w:r>
    </w:p>
    <w:p>
      <w:pPr>
        <w:spacing w:before="0" w:after="50" w:line="250" w:lineRule="auto"/>
      </w:pPr>
      <w:r>
        <w:rPr>
          <w:rFonts w:ascii="Calibri" w:hAnsi="Calibri"/>
          <w:color w:val="000000"/>
          <w:sz w:val="20"/>
        </w:rPr>
        <w:t xml:space="preserve">Information class: Measured quantity</w:t>
      </w:r>
    </w:p>
    <w:p>
      <w:pPr>
        <w:spacing w:before="0" w:after="50" w:line="250" w:lineRule="auto"/>
      </w:pPr>
      <w:r>
        <w:rPr>
          <w:rFonts w:ascii="Calibri" w:hAnsi="Calibri"/>
          <w:color w:val="000000"/>
          <w:sz w:val="20"/>
        </w:rPr>
        <w:t xml:space="preserve">Integration requirement: Units, method and precision retained without silent conversion.</w:t>
      </w:r>
    </w:p>
    <w:p>
      <w:pPr>
        <w:spacing w:before="0" w:after="50" w:line="250" w:lineRule="auto"/>
      </w:pPr>
      <w:r>
        <w:rPr>
          <w:rFonts w:ascii="Calibri" w:hAnsi="Calibri"/>
          <w:color w:val="000000"/>
          <w:sz w:val="20"/>
        </w:rPr>
        <w:t xml:space="preserve">Information class: Interpretation</w:t>
      </w:r>
    </w:p>
    <w:p>
      <w:pPr>
        <w:spacing w:before="0" w:after="50" w:line="250" w:lineRule="auto"/>
      </w:pPr>
      <w:r>
        <w:rPr>
          <w:rFonts w:ascii="Calibri" w:hAnsi="Calibri"/>
          <w:color w:val="000000"/>
          <w:sz w:val="20"/>
        </w:rPr>
        <w:t xml:space="preserve">Integration requirement: Standards family, version and eligibility context preserved where supported.</w:t>
      </w:r>
    </w:p>
    <w:p>
      <w:pPr>
        <w:spacing w:before="0" w:after="50" w:line="250" w:lineRule="auto"/>
      </w:pPr>
      <w:r>
        <w:rPr>
          <w:rFonts w:ascii="Calibri" w:hAnsi="Calibri"/>
          <w:color w:val="000000"/>
          <w:sz w:val="20"/>
        </w:rPr>
        <w:t xml:space="preserve">Information class: Review status</w:t>
      </w:r>
    </w:p>
    <w:p>
      <w:pPr>
        <w:spacing w:before="0" w:after="50" w:line="250" w:lineRule="auto"/>
      </w:pPr>
      <w:r>
        <w:rPr>
          <w:rFonts w:ascii="Calibri" w:hAnsi="Calibri"/>
          <w:color w:val="000000"/>
          <w:sz w:val="20"/>
        </w:rPr>
        <w:t xml:space="preserve">Integration requirement: Preliminary, reviewed, rejected and corrected states mapped explicitly.</w:t>
      </w:r>
    </w:p>
    <w:p>
      <w:pPr>
        <w:spacing w:before="0" w:after="50" w:line="250" w:lineRule="auto"/>
      </w:pPr>
      <w:r>
        <w:rPr>
          <w:rFonts w:ascii="Calibri" w:hAnsi="Calibri"/>
          <w:color w:val="000000"/>
          <w:sz w:val="20"/>
        </w:rPr>
        <w:t xml:space="preserve">Information class: Correction</w:t>
      </w:r>
    </w:p>
    <w:p>
      <w:pPr>
        <w:spacing w:before="0" w:after="50" w:line="250" w:lineRule="auto"/>
      </w:pPr>
      <w:r>
        <w:rPr>
          <w:rFonts w:ascii="Calibri" w:hAnsi="Calibri"/>
          <w:color w:val="000000"/>
          <w:sz w:val="20"/>
        </w:rPr>
        <w:t xml:space="preserve">Integration requirement: Receiving system can identify the superseded record and the replacement.</w:t>
      </w:r>
    </w:p>
    <w:p>
      <w:pPr>
        <w:spacing w:before="0" w:after="50" w:line="250" w:lineRule="auto"/>
      </w:pPr>
      <w:r>
        <w:rPr>
          <w:rFonts w:ascii="Calibri" w:hAnsi="Calibri"/>
          <w:color w:val="000000"/>
          <w:sz w:val="20"/>
        </w:rPr>
        <w:t xml:space="preserve">Information class: Acknowledgement</w:t>
      </w:r>
    </w:p>
    <w:p>
      <w:pPr>
        <w:spacing w:before="0" w:after="50" w:line="250" w:lineRule="auto"/>
      </w:pPr>
      <w:r>
        <w:rPr>
          <w:rFonts w:ascii="Calibri" w:hAnsi="Calibri"/>
          <w:color w:val="000000"/>
          <w:sz w:val="20"/>
        </w:rPr>
        <w:t xml:space="preserve">Integration requirement: Delivery, acceptance and application processing states are distinguished.</w:t>
      </w:r>
    </w:p>
    <w:p>
      <w:pPr>
        <w:pStyle w:val="Heading3"/>
        <w:keepNext/>
        <w:keepLines/>
        <w:spacing w:before="240" w:after="120" w:line="269" w:lineRule="auto"/>
      </w:pPr>
      <w:r>
        <w:rPr>
          <w:color w:val="000000"/>
        </w:rPr>
        <w:t>Design for disagreement between systems</w:t>
      </w:r>
    </w:p>
    <w:p>
      <w:pPr>
        <w:pStyle w:val="Normal"/>
        <w:spacing w:before="0" w:after="50" w:line="250" w:lineRule="auto"/>
        <w:rPr/>
      </w:pPr>
      <w:r>
        <w:rPr>
          <w:rFonts w:ascii="Calibri" w:hAnsi="Calibri"/>
          <w:color w:val="000000"/>
          <w:sz w:val="20"/>
        </w:rPr>
        <w:t>A successful network request does not prove that a result reached the correct record. The product should reconcile acknowledgements and expose unresolved exports. Duplicate submissions should be idempotent where the receiving interface supports that behaviour. When a destination cannot represent a required field, the limitation should be resolved through the approved workflow rather than by dropping the field silently.</w:t>
      </w:r>
    </w:p>
    <w:p>
      <w:pPr>
        <w:pStyle w:val="Normal"/>
        <w:spacing w:before="0" w:after="50" w:line="250" w:lineRule="auto"/>
        <w:rPr/>
      </w:pPr>
      <w:r>
        <w:rPr>
          <w:rFonts w:ascii="Calibri" w:hAnsi="Calibri"/>
          <w:color w:val="000000"/>
          <w:sz w:val="20"/>
        </w:rPr>
        <w:t>Connectivity can be offered as adapters, supported integrations and partner interfaces. Each should carry a compatibility statement and a conformance test set. Changes in a laboratory information system, terminology dictionary or result schema should trigger a review of the integration evidence, even when the instrument’s measurement software has not changed.</w:t>
      </w:r>
    </w:p>
    <w:p>
      <w:pPr>
        <w:pStyle w:val="Heading3"/>
        <w:keepNext/>
        <w:keepLines/>
        <w:spacing w:before="240" w:after="120" w:line="269" w:lineRule="auto"/>
      </w:pPr>
      <w:r>
        <w:rPr>
          <w:color w:val="000000"/>
        </w:rPr>
        <w:t>Fleet and instrument management services</w:t>
      </w:r>
    </w:p>
    <w:p>
      <w:pPr>
        <w:pStyle w:val="Normal"/>
        <w:spacing w:before="0" w:after="50" w:line="250" w:lineRule="auto"/>
        <w:rPr/>
      </w:pPr>
      <w:r>
        <w:rPr>
          <w:rFonts w:ascii="Calibri" w:hAnsi="Calibri"/>
          <w:color w:val="000000"/>
          <w:sz w:val="20"/>
        </w:rPr>
        <w:t>Fleet services should help a laboratory understand the condition and configuration of its instruments. A useful fleet view reports calibration validity, software versions, storage health, outstanding faults and synchronization state. It should not require central access to every patient-linked image to provide those functions.</w:t>
      </w:r>
    </w:p>
    <w:p>
      <w:pPr>
        <w:pStyle w:val="Heading3"/>
        <w:keepNext/>
        <w:keepLines/>
        <w:spacing w:before="240" w:after="120" w:line="269" w:lineRule="auto"/>
      </w:pPr>
      <w:r>
        <w:rPr>
          <w:color w:val="000000"/>
        </w:rPr>
        <w:t>A proposed service model</w:t>
      </w:r>
    </w:p>
    <w:p>
      <w:pPr>
        <w:pStyle w:val="Normal"/>
        <w:spacing w:before="0" w:after="50" w:line="250" w:lineRule="auto"/>
        <w:rPr/>
      </w:pPr>
      <w:r>
        <w:rPr>
          <w:rFonts w:ascii="Calibri" w:hAnsi="Calibri"/>
          <w:color w:val="000000"/>
          <w:sz w:val="20"/>
        </w:rPr>
        <w:t>Routine telemetry should contain the minimum information needed for instrument support. A service operator may need a fault code, configuration identifier and diagnostic trace, while the laboratory retains control of clinical records. Access to a specific image for troubleshooting should be a separate, authorized action with an audit trail.</w:t>
      </w:r>
    </w:p>
    <w:p>
      <w:pPr>
        <w:pStyle w:val="Normal"/>
        <w:spacing w:before="0" w:after="50" w:line="250" w:lineRule="auto"/>
        <w:rPr/>
      </w:pPr>
      <w:r>
        <w:rPr>
          <w:rFonts w:ascii="Calibri" w:hAnsi="Calibri"/>
          <w:color w:val="000000"/>
          <w:sz w:val="20"/>
        </w:rPr>
        <w:t>The service can coordinate signed software packages, staged updates and rollback. Instruments in the middle of a run should retain their active qualified configuration. A fleet update should not create a mixture of rules or models within one result record.</w:t>
      </w:r>
    </w:p>
    <w:p>
      <w:pPr>
        <w:spacing w:before="0" w:after="50" w:line="250" w:lineRule="auto"/>
      </w:pPr>
      <w:r>
        <w:rPr>
          <w:rFonts w:ascii="Calibri" w:hAnsi="Calibri"/>
          <w:color w:val="000000"/>
          <w:sz w:val="20"/>
        </w:rPr>
        <w:t xml:space="preserve">Service measure: Calibration status by instrument</w:t>
      </w:r>
    </w:p>
    <w:p>
      <w:pPr>
        <w:spacing w:before="0" w:after="50" w:line="250" w:lineRule="auto"/>
      </w:pPr>
      <w:r>
        <w:rPr>
          <w:rFonts w:ascii="Calibri" w:hAnsi="Calibri"/>
          <w:color w:val="000000"/>
          <w:sz w:val="20"/>
        </w:rPr>
        <w:t xml:space="preserve">Why it matters: Prevents an apparently healthy device from using an expired or invalid measurement basis.</w:t>
      </w:r>
    </w:p>
    <w:p>
      <w:pPr>
        <w:spacing w:before="0" w:after="50" w:line="250" w:lineRule="auto"/>
      </w:pPr>
      <w:r>
        <w:rPr>
          <w:rFonts w:ascii="Calibri" w:hAnsi="Calibri"/>
          <w:color w:val="000000"/>
          <w:sz w:val="20"/>
        </w:rPr>
        <w:t xml:space="preserve">Service measure: Update success and rollback rate</w:t>
      </w:r>
    </w:p>
    <w:p>
      <w:pPr>
        <w:spacing w:before="0" w:after="50" w:line="250" w:lineRule="auto"/>
      </w:pPr>
      <w:r>
        <w:rPr>
          <w:rFonts w:ascii="Calibri" w:hAnsi="Calibri"/>
          <w:color w:val="000000"/>
          <w:sz w:val="20"/>
        </w:rPr>
        <w:t xml:space="preserve">Why it matters: Reveals whether change delivery itself creates operational risk.</w:t>
      </w:r>
    </w:p>
    <w:p>
      <w:pPr>
        <w:spacing w:before="0" w:after="50" w:line="250" w:lineRule="auto"/>
      </w:pPr>
      <w:r>
        <w:rPr>
          <w:rFonts w:ascii="Calibri" w:hAnsi="Calibri"/>
          <w:color w:val="000000"/>
          <w:sz w:val="20"/>
        </w:rPr>
        <w:t xml:space="preserve">Service measure: Unresolved fault duration</w:t>
      </w:r>
    </w:p>
    <w:p>
      <w:pPr>
        <w:spacing w:before="0" w:after="50" w:line="250" w:lineRule="auto"/>
      </w:pPr>
      <w:r>
        <w:rPr>
          <w:rFonts w:ascii="Calibri" w:hAnsi="Calibri"/>
          <w:color w:val="000000"/>
          <w:sz w:val="20"/>
        </w:rPr>
        <w:t xml:space="preserve">Why it matters: Measures time during which a laboratory may need an alternative workflow.</w:t>
      </w:r>
    </w:p>
    <w:p>
      <w:pPr>
        <w:spacing w:before="0" w:after="50" w:line="250" w:lineRule="auto"/>
      </w:pPr>
      <w:r>
        <w:rPr>
          <w:rFonts w:ascii="Calibri" w:hAnsi="Calibri"/>
          <w:color w:val="000000"/>
          <w:sz w:val="20"/>
        </w:rPr>
        <w:t xml:space="preserve">Service measure: Synchronization backlog</w:t>
      </w:r>
    </w:p>
    <w:p>
      <w:pPr>
        <w:spacing w:before="0" w:after="50" w:line="250" w:lineRule="auto"/>
      </w:pPr>
      <w:r>
        <w:rPr>
          <w:rFonts w:ascii="Calibri" w:hAnsi="Calibri"/>
          <w:color w:val="000000"/>
          <w:sz w:val="20"/>
        </w:rPr>
        <w:t xml:space="preserve">Why it matters: Distinguishes local work completed from records available centrally.</w:t>
      </w:r>
    </w:p>
    <w:p>
      <w:pPr>
        <w:spacing w:before="0" w:after="50" w:line="250" w:lineRule="auto"/>
      </w:pPr>
      <w:r>
        <w:rPr>
          <w:rFonts w:ascii="Calibri" w:hAnsi="Calibri"/>
          <w:color w:val="000000"/>
          <w:sz w:val="20"/>
        </w:rPr>
        <w:t xml:space="preserve">Service measure: Restore verification</w:t>
      </w:r>
    </w:p>
    <w:p>
      <w:pPr>
        <w:spacing w:before="0" w:after="50" w:line="250" w:lineRule="auto"/>
      </w:pPr>
      <w:r>
        <w:rPr>
          <w:rFonts w:ascii="Calibri" w:hAnsi="Calibri"/>
          <w:color w:val="000000"/>
          <w:sz w:val="20"/>
        </w:rPr>
        <w:t xml:space="preserve">Why it matters: Demonstrates recovery of usable records, not merely existence of a backup file.</w:t>
      </w:r>
    </w:p>
    <w:p>
      <w:pPr>
        <w:pStyle w:val="Heading3"/>
        <w:keepNext/>
        <w:keepLines/>
        <w:spacing w:before="240" w:after="120" w:line="269" w:lineRule="auto"/>
      </w:pPr>
      <w:r>
        <w:rPr>
          <w:color w:val="000000"/>
        </w:rPr>
        <w:t>Contract the responsibilities</w:t>
      </w:r>
    </w:p>
    <w:p>
      <w:pPr>
        <w:pStyle w:val="Normal"/>
        <w:spacing w:before="0" w:after="50" w:line="250" w:lineRule="auto"/>
        <w:rPr/>
      </w:pPr>
      <w:r>
        <w:rPr>
          <w:rFonts w:ascii="Calibri" w:hAnsi="Calibri"/>
          <w:color w:val="000000"/>
          <w:sz w:val="20"/>
        </w:rPr>
        <w:t>The laboratory, instrument provider and hosting provider should agree who can authorize remote actions, who responds to alerts and how incidents are escalated. Service availability targets should be negotiated against the deployment context and demonstrated operating data. This compendium does not assign a contractual uptime promise.</w:t>
      </w:r>
    </w:p>
    <w:p>
      <w:pPr>
        <w:pStyle w:val="Normal"/>
        <w:spacing w:before="0" w:after="50" w:line="250" w:lineRule="auto"/>
        <w:rPr/>
      </w:pPr>
      <w:r>
        <w:rPr>
          <w:rFonts w:ascii="Calibri" w:hAnsi="Calibri"/>
          <w:color w:val="000000"/>
          <w:sz w:val="20"/>
        </w:rPr>
        <w:t>A fleet service becomes valuable when it reduces uncertainty about instrument readiness and recovery. A dashboard full of nominally green indicators is inadequate if it cannot reveal stale telemetry, failed checks or a disconnected instrument.</w:t>
      </w:r>
    </w:p>
    <w:p>
      <w:pPr>
        <w:pStyle w:val="Heading3"/>
        <w:keepNext/>
        <w:keepLines/>
        <w:spacing w:before="240" w:after="120" w:line="269" w:lineRule="auto"/>
      </w:pPr>
      <w:r>
        <w:rPr>
          <w:color w:val="000000"/>
        </w:rPr>
        <w:t>Calibration and measurement services</w:t>
      </w:r>
    </w:p>
    <w:p>
      <w:pPr>
        <w:pStyle w:val="Normal"/>
        <w:spacing w:before="0" w:after="50" w:line="250" w:lineRule="auto"/>
        <w:rPr/>
      </w:pPr>
      <w:r>
        <w:rPr>
          <w:rFonts w:ascii="Calibri" w:hAnsi="Calibri"/>
          <w:color w:val="000000"/>
          <w:sz w:val="20"/>
        </w:rPr>
        <w:t>Calibration services connect instrument output to a defined measurement basis. For an imaging reader, the central task is spatial calibration at the relevant object plane, supported by checks of field dependence, stability and configuration control. Other sensing configurations require their own reference materials, transfer functions and uncertainty budgets.</w:t>
      </w:r>
    </w:p>
    <w:p>
      <w:pPr>
        <w:pStyle w:val="Heading3"/>
        <w:keepNext/>
        <w:keepLines/>
        <w:spacing w:before="240" w:after="120" w:line="269" w:lineRule="auto"/>
      </w:pPr>
      <w:r>
        <w:rPr>
          <w:color w:val="000000"/>
        </w:rPr>
        <w:t>Deliver a usable calibration record</w:t>
      </w:r>
    </w:p>
    <w:p>
      <w:pPr>
        <w:pStyle w:val="Normal"/>
        <w:spacing w:before="0" w:after="50" w:line="250" w:lineRule="auto"/>
        <w:rPr/>
      </w:pPr>
      <w:r>
        <w:rPr>
          <w:rFonts w:ascii="Calibri" w:hAnsi="Calibri"/>
          <w:color w:val="000000"/>
          <w:sz w:val="20"/>
        </w:rPr>
        <w:t>A service report should identify the instrument and configuration, the reference used, the measured residuals, the permitted operating range and the conditions that invalidate the calibration. A coefficient file without this context is insufficient for laboratory review or later investigation.</w:t>
      </w:r>
    </w:p>
    <w:p>
      <w:pPr>
        <w:pStyle w:val="Normal"/>
        <w:spacing w:before="0" w:after="50" w:line="250" w:lineRule="auto"/>
        <w:rPr/>
      </w:pPr>
      <w:r>
        <w:rPr>
          <w:rFonts w:ascii="Calibri" w:hAnsi="Calibri"/>
          <w:color w:val="000000"/>
          <w:sz w:val="20"/>
        </w:rPr>
        <w:t xml:space="preserve">The proposed service should also distinguish calibration from adjustment. Calibration characterizes a relationship; adjustment changes the instrument. After an adjustment, the resulting measurement performance needs to be established again. Routine checks can detect departure from an accepted state, but they should not be labelled a full calibration unless they fulfil that function. </w:t>
      </w:r>
    </w:p>
    <w:p>
      <w:pPr>
        <w:spacing w:before="0" w:after="50" w:line="250" w:lineRule="auto"/>
      </w:pPr>
      <w:r>
        <w:rPr>
          <w:rFonts w:ascii="Calibri" w:hAnsi="Calibri"/>
          <w:color w:val="000000"/>
          <w:sz w:val="20"/>
        </w:rPr>
        <w:t xml:space="preserve">Service output: Calibration certificate or report</w:t>
      </w:r>
    </w:p>
    <w:p>
      <w:pPr>
        <w:spacing w:before="0" w:after="50" w:line="250" w:lineRule="auto"/>
      </w:pPr>
      <w:r>
        <w:rPr>
          <w:rFonts w:ascii="Calibri" w:hAnsi="Calibri"/>
          <w:color w:val="000000"/>
          <w:sz w:val="20"/>
        </w:rPr>
        <w:t xml:space="preserve">Proposed content: Instrument identity, method, references, conditions, results and uncertainty basis.</w:t>
      </w:r>
    </w:p>
    <w:p>
      <w:pPr>
        <w:spacing w:before="0" w:after="50" w:line="250" w:lineRule="auto"/>
      </w:pPr>
      <w:r>
        <w:rPr>
          <w:rFonts w:ascii="Calibri" w:hAnsi="Calibri"/>
          <w:color w:val="000000"/>
          <w:sz w:val="20"/>
        </w:rPr>
        <w:t xml:space="preserve">Service output: Machine-readable calibration</w:t>
      </w:r>
    </w:p>
    <w:p>
      <w:pPr>
        <w:spacing w:before="0" w:after="50" w:line="250" w:lineRule="auto"/>
      </w:pPr>
      <w:r>
        <w:rPr>
          <w:rFonts w:ascii="Calibri" w:hAnsi="Calibri"/>
          <w:color w:val="000000"/>
          <w:sz w:val="20"/>
        </w:rPr>
        <w:t xml:space="preserve">Proposed content: Coefficients, valid region, version and relationship to the signed report.</w:t>
      </w:r>
    </w:p>
    <w:p>
      <w:pPr>
        <w:spacing w:before="0" w:after="50" w:line="250" w:lineRule="auto"/>
      </w:pPr>
      <w:r>
        <w:rPr>
          <w:rFonts w:ascii="Calibri" w:hAnsi="Calibri"/>
          <w:color w:val="000000"/>
          <w:sz w:val="20"/>
        </w:rPr>
        <w:t xml:space="preserve">Service output: Invalidation rules</w:t>
      </w:r>
    </w:p>
    <w:p>
      <w:pPr>
        <w:spacing w:before="0" w:after="50" w:line="250" w:lineRule="auto"/>
      </w:pPr>
      <w:r>
        <w:rPr>
          <w:rFonts w:ascii="Calibri" w:hAnsi="Calibri"/>
          <w:color w:val="000000"/>
          <w:sz w:val="20"/>
        </w:rPr>
        <w:t xml:space="preserve">Proposed content: Lens, focus, mounting, image pipeline or other changes that require review.</w:t>
      </w:r>
    </w:p>
    <w:p>
      <w:pPr>
        <w:spacing w:before="0" w:after="50" w:line="250" w:lineRule="auto"/>
      </w:pPr>
      <w:r>
        <w:rPr>
          <w:rFonts w:ascii="Calibri" w:hAnsi="Calibri"/>
          <w:color w:val="000000"/>
          <w:sz w:val="20"/>
        </w:rPr>
        <w:t xml:space="preserve">Service output: Routine verification guidance</w:t>
      </w:r>
    </w:p>
    <w:p>
      <w:pPr>
        <w:spacing w:before="0" w:after="50" w:line="250" w:lineRule="auto"/>
      </w:pPr>
      <w:r>
        <w:rPr>
          <w:rFonts w:ascii="Calibri" w:hAnsi="Calibri"/>
          <w:color w:val="000000"/>
          <w:sz w:val="20"/>
        </w:rPr>
        <w:t xml:space="preserve">Proposed content: Appropriate checks and escalation when results exceed the accepted range.</w:t>
      </w:r>
    </w:p>
    <w:p>
      <w:pPr>
        <w:spacing w:before="0" w:after="50" w:line="250" w:lineRule="auto"/>
      </w:pPr>
      <w:r>
        <w:rPr>
          <w:rFonts w:ascii="Calibri" w:hAnsi="Calibri"/>
          <w:color w:val="000000"/>
          <w:sz w:val="20"/>
        </w:rPr>
        <w:t xml:space="preserve">Service output: As-found and as-left records</w:t>
      </w:r>
    </w:p>
    <w:p>
      <w:pPr>
        <w:spacing w:before="0" w:after="50" w:line="250" w:lineRule="auto"/>
      </w:pPr>
      <w:r>
        <w:rPr>
          <w:rFonts w:ascii="Calibri" w:hAnsi="Calibri"/>
          <w:color w:val="000000"/>
          <w:sz w:val="20"/>
        </w:rPr>
        <w:t xml:space="preserve">Proposed content: Condition before service and condition after any intervention.</w:t>
      </w:r>
    </w:p>
    <w:p>
      <w:pPr>
        <w:pStyle w:val="Heading3"/>
        <w:keepNext/>
        <w:keepLines/>
        <w:spacing w:before="240" w:after="120" w:line="269" w:lineRule="auto"/>
      </w:pPr>
      <w:r>
        <w:rPr>
          <w:color w:val="000000"/>
        </w:rPr>
        <w:t>Make serviceability a design input</w:t>
      </w:r>
    </w:p>
    <w:p>
      <w:pPr>
        <w:pStyle w:val="Normal"/>
        <w:spacing w:before="0" w:after="50" w:line="250" w:lineRule="auto"/>
        <w:rPr/>
      </w:pPr>
      <w:r>
        <w:rPr>
          <w:rFonts w:ascii="Calibri" w:hAnsi="Calibri"/>
          <w:color w:val="000000"/>
          <w:sz w:val="20"/>
        </w:rPr>
        <w:t>Reference targets need accessible placement, stable mounting and protection from damage. The instrument should allow a service engineer to verify the measurement plane without dismantling unrelated assemblies. Calibration effort, required expertise and replacement logistics should therefore influence the design early, rather than being treated as an after-sales detail.</w:t>
      </w:r>
    </w:p>
    <w:p>
      <w:pPr>
        <w:pStyle w:val="Heading3"/>
        <w:keepNext/>
        <w:keepLines/>
        <w:spacing w:before="240" w:after="120" w:line="269" w:lineRule="auto"/>
      </w:pPr>
      <w:r>
        <w:rPr>
          <w:color w:val="000000"/>
        </w:rPr>
        <w:t>Maintenance and repair services</w:t>
      </w:r>
    </w:p>
    <w:p>
      <w:pPr>
        <w:pStyle w:val="Normal"/>
        <w:spacing w:before="0" w:after="50" w:line="250" w:lineRule="auto"/>
        <w:rPr/>
      </w:pPr>
      <w:r>
        <w:rPr>
          <w:rFonts w:ascii="Calibri" w:hAnsi="Calibri"/>
          <w:color w:val="000000"/>
          <w:sz w:val="20"/>
        </w:rPr>
        <w:t>Maintenance services preserve a qualified operating state and restore it after faults. They include inspection, cleaning-compatible component care, replacement, software recovery and requalification where a change can affect measurement. The scope should be specific to the instrument configuration and the laboratory’s use conditions.</w:t>
      </w:r>
    </w:p>
    <w:p>
      <w:pPr>
        <w:pStyle w:val="Heading3"/>
        <w:keepNext/>
        <w:keepLines/>
        <w:spacing w:before="240" w:after="120" w:line="269" w:lineRule="auto"/>
      </w:pPr>
      <w:r>
        <w:rPr>
          <w:color w:val="000000"/>
        </w:rPr>
        <w:t>Classify the intervention by its effect</w:t>
      </w:r>
    </w:p>
    <w:p>
      <w:pPr>
        <w:pStyle w:val="Normal"/>
        <w:spacing w:before="0" w:after="50" w:line="250" w:lineRule="auto"/>
        <w:rPr/>
      </w:pPr>
      <w:r>
        <w:rPr>
          <w:rFonts w:ascii="Calibri" w:hAnsi="Calibri"/>
          <w:color w:val="000000"/>
          <w:sz w:val="20"/>
        </w:rPr>
        <w:t>A replacement storage device may affect data integrity and recovery. A replacement light source may affect exposure, spectral response and contrast. A camera or lens change can alter the spatial measurement chain. These interventions should not share a generic “service complete” test.</w:t>
      </w:r>
    </w:p>
    <w:p>
      <w:pPr>
        <w:spacing w:before="0" w:after="50" w:line="250" w:lineRule="auto"/>
      </w:pPr>
      <w:r>
        <w:rPr>
          <w:rFonts w:ascii="Calibri" w:hAnsi="Calibri"/>
          <w:color w:val="000000"/>
          <w:sz w:val="20"/>
        </w:rPr>
        <w:t xml:space="preserve">Intervention: Lighting replacement</w:t>
      </w:r>
    </w:p>
    <w:p>
      <w:pPr>
        <w:spacing w:before="0" w:after="50" w:line="250" w:lineRule="auto"/>
      </w:pPr>
      <w:r>
        <w:rPr>
          <w:rFonts w:ascii="Calibri" w:hAnsi="Calibri"/>
          <w:color w:val="000000"/>
          <w:sz w:val="20"/>
        </w:rPr>
        <w:t xml:space="preserve">Evidence before return to use: Illumination uniformity, stability and image quality checks.</w:t>
      </w:r>
    </w:p>
    <w:p>
      <w:pPr>
        <w:spacing w:before="0" w:after="50" w:line="250" w:lineRule="auto"/>
      </w:pPr>
      <w:r>
        <w:rPr>
          <w:rFonts w:ascii="Calibri" w:hAnsi="Calibri"/>
          <w:color w:val="000000"/>
          <w:sz w:val="20"/>
        </w:rPr>
        <w:t xml:space="preserve">Intervention: Camera or lens work</w:t>
      </w:r>
    </w:p>
    <w:p>
      <w:pPr>
        <w:spacing w:before="0" w:after="50" w:line="250" w:lineRule="auto"/>
      </w:pPr>
      <w:r>
        <w:rPr>
          <w:rFonts w:ascii="Calibri" w:hAnsi="Calibri"/>
          <w:color w:val="000000"/>
          <w:sz w:val="20"/>
        </w:rPr>
        <w:t xml:space="preserve">Evidence before return to use: Configuration identity and appropriate spatial requalification.</w:t>
      </w:r>
    </w:p>
    <w:p>
      <w:pPr>
        <w:spacing w:before="0" w:after="50" w:line="250" w:lineRule="auto"/>
      </w:pPr>
      <w:r>
        <w:rPr>
          <w:rFonts w:ascii="Calibri" w:hAnsi="Calibri"/>
          <w:color w:val="000000"/>
          <w:sz w:val="20"/>
        </w:rPr>
        <w:t xml:space="preserve">Intervention: Cooling or power repair</w:t>
      </w:r>
    </w:p>
    <w:p>
      <w:pPr>
        <w:spacing w:before="0" w:after="50" w:line="250" w:lineRule="auto"/>
      </w:pPr>
      <w:r>
        <w:rPr>
          <w:rFonts w:ascii="Calibri" w:hAnsi="Calibri"/>
          <w:color w:val="000000"/>
          <w:sz w:val="20"/>
        </w:rPr>
        <w:t xml:space="preserve">Evidence before return to use: Stable operation under the declared load and fault monitoring.</w:t>
      </w:r>
    </w:p>
    <w:p>
      <w:pPr>
        <w:spacing w:before="0" w:after="50" w:line="250" w:lineRule="auto"/>
      </w:pPr>
      <w:r>
        <w:rPr>
          <w:rFonts w:ascii="Calibri" w:hAnsi="Calibri"/>
          <w:color w:val="000000"/>
          <w:sz w:val="20"/>
        </w:rPr>
        <w:t xml:space="preserve">Intervention: Storage replacement</w:t>
      </w:r>
    </w:p>
    <w:p>
      <w:pPr>
        <w:spacing w:before="0" w:after="50" w:line="250" w:lineRule="auto"/>
      </w:pPr>
      <w:r>
        <w:rPr>
          <w:rFonts w:ascii="Calibri" w:hAnsi="Calibri"/>
          <w:color w:val="000000"/>
          <w:sz w:val="20"/>
        </w:rPr>
        <w:t xml:space="preserve">Evidence before return to use: Verified software state, record restoration and write integrity.</w:t>
      </w:r>
    </w:p>
    <w:p>
      <w:pPr>
        <w:spacing w:before="0" w:after="50" w:line="250" w:lineRule="auto"/>
      </w:pPr>
      <w:r>
        <w:rPr>
          <w:rFonts w:ascii="Calibri" w:hAnsi="Calibri"/>
          <w:color w:val="000000"/>
          <w:sz w:val="20"/>
        </w:rPr>
        <w:t xml:space="preserve">Intervention: Mechanical adjustment</w:t>
      </w:r>
    </w:p>
    <w:p>
      <w:pPr>
        <w:spacing w:before="0" w:after="50" w:line="250" w:lineRule="auto"/>
      </w:pPr>
      <w:r>
        <w:rPr>
          <w:rFonts w:ascii="Calibri" w:hAnsi="Calibri"/>
          <w:color w:val="000000"/>
          <w:sz w:val="20"/>
        </w:rPr>
        <w:t xml:space="preserve">Evidence before return to use: Pose, alignment and any affected calibration checks.</w:t>
      </w:r>
    </w:p>
    <w:p>
      <w:pPr>
        <w:pStyle w:val="Heading3"/>
        <w:keepNext/>
        <w:keepLines/>
        <w:spacing w:before="240" w:after="120" w:line="269" w:lineRule="auto"/>
      </w:pPr>
      <w:r>
        <w:rPr>
          <w:color w:val="000000"/>
        </w:rPr>
        <w:t>Support recovery at the laboratory</w:t>
      </w:r>
    </w:p>
    <w:p>
      <w:pPr>
        <w:pStyle w:val="Normal"/>
        <w:spacing w:before="0" w:after="50" w:line="250" w:lineRule="auto"/>
        <w:rPr/>
      </w:pPr>
      <w:r>
        <w:rPr>
          <w:rFonts w:ascii="Calibri" w:hAnsi="Calibri"/>
          <w:color w:val="000000"/>
          <w:sz w:val="20"/>
        </w:rPr>
        <w:t>The service offer should define how users report a fault, what information is collected, when remote diagnosis is permitted and when a physical intervention is required. Spare-part planning should consider lead time, interchangeability and the evidence needed after substitution. A replacement that fits mechanically may still change the measurement behaviour.</w:t>
      </w:r>
    </w:p>
    <w:p>
      <w:pPr>
        <w:pStyle w:val="Normal"/>
        <w:spacing w:before="0" w:after="50" w:line="250" w:lineRule="auto"/>
        <w:rPr/>
      </w:pPr>
      <w:r>
        <w:rPr>
          <w:rFonts w:ascii="Calibri" w:hAnsi="Calibri"/>
          <w:color w:val="000000"/>
          <w:sz w:val="20"/>
        </w:rPr>
        <w:t>Maintenance records should link to instrument configuration history so that later analysis can identify observations acquired before and after a change. This also supports investigation of recurring faults. The measure of a successful service is restoration of a verified, usable function with its records intact, not simply replacement of the component that first appeared suspicious.</w:t>
      </w:r>
    </w:p>
    <w:p>
      <w:pPr>
        <w:pStyle w:val="Heading3"/>
        <w:keepNext/>
        <w:keepLines/>
        <w:spacing w:before="240" w:after="120" w:line="269" w:lineRule="auto"/>
      </w:pPr>
      <w:r>
        <w:rPr>
          <w:color w:val="000000"/>
        </w:rPr>
        <w:t>Training and competency services</w:t>
      </w:r>
    </w:p>
    <w:p>
      <w:pPr>
        <w:pStyle w:val="Normal"/>
        <w:spacing w:before="0" w:after="50" w:line="250" w:lineRule="auto"/>
        <w:rPr/>
      </w:pPr>
      <w:r>
        <w:rPr>
          <w:rFonts w:ascii="Calibri" w:hAnsi="Calibri"/>
          <w:color w:val="000000"/>
          <w:sz w:val="20"/>
        </w:rPr>
        <w:t>Training should enable users to recognize valid operation, uncertain evidence and situations requiring an alternative workflow. It should develop the ability to challenge the software when appropriate. Familiarity with the interface alone is not evidence of measurement or review competency.</w:t>
      </w:r>
    </w:p>
    <w:p>
      <w:pPr>
        <w:pStyle w:val="Heading3"/>
        <w:keepNext/>
        <w:keepLines/>
        <w:spacing w:before="240" w:after="120" w:line="269" w:lineRule="auto"/>
      </w:pPr>
      <w:r>
        <w:rPr>
          <w:color w:val="000000"/>
        </w:rPr>
        <w:t>Build training around realistic decisions</w:t>
      </w:r>
    </w:p>
    <w:p>
      <w:pPr>
        <w:pStyle w:val="Normal"/>
        <w:spacing w:before="0" w:after="50" w:line="250" w:lineRule="auto"/>
        <w:rPr/>
      </w:pPr>
      <w:r>
        <w:rPr>
          <w:rFonts w:ascii="Calibri" w:hAnsi="Calibri"/>
          <w:color w:val="000000"/>
          <w:sz w:val="20"/>
        </w:rPr>
        <w:t>A proposed training programme should include plate identity resolution, capture readiness, calibration status, overlay inspection, correction, rejection and export reconciliation. Difficult examples should be included deliberately: glare, unclear edges, incomplete context and disagreement between the visible image and the automated estimate.</w:t>
      </w:r>
    </w:p>
    <w:p>
      <w:pPr>
        <w:pStyle w:val="Normal"/>
        <w:spacing w:before="0" w:after="50" w:line="250" w:lineRule="auto"/>
        <w:rPr/>
      </w:pPr>
      <w:r>
        <w:rPr>
          <w:rFonts w:ascii="Calibri" w:hAnsi="Calibri"/>
          <w:color w:val="000000"/>
          <w:sz w:val="20"/>
        </w:rPr>
        <w:t>Competency evaluation should ask users to make decisions on cases they have not already memorized. The evaluation should preserve the distinction between learning the interface and demonstrating the judgement required for the laboratory’s intended role.</w:t>
      </w:r>
    </w:p>
    <w:p>
      <w:pPr>
        <w:spacing w:before="0" w:after="50" w:line="250" w:lineRule="auto"/>
      </w:pPr>
      <w:r>
        <w:rPr>
          <w:rFonts w:ascii="Calibri" w:hAnsi="Calibri"/>
          <w:color w:val="000000"/>
          <w:sz w:val="20"/>
        </w:rPr>
        <w:t xml:space="preserve">User role: Acquisition operator</w:t>
      </w:r>
    </w:p>
    <w:p>
      <w:pPr>
        <w:spacing w:before="0" w:after="50" w:line="250" w:lineRule="auto"/>
      </w:pPr>
      <w:r>
        <w:rPr>
          <w:rFonts w:ascii="Calibri" w:hAnsi="Calibri"/>
          <w:color w:val="000000"/>
          <w:sz w:val="20"/>
        </w:rPr>
        <w:t xml:space="preserve">Competency focus: Identity, readiness, failed capture and permitted recovery actions.</w:t>
      </w:r>
    </w:p>
    <w:p>
      <w:pPr>
        <w:spacing w:before="0" w:after="50" w:line="250" w:lineRule="auto"/>
      </w:pPr>
      <w:r>
        <w:rPr>
          <w:rFonts w:ascii="Calibri" w:hAnsi="Calibri"/>
          <w:color w:val="000000"/>
          <w:sz w:val="20"/>
        </w:rPr>
        <w:t xml:space="preserve">User role: Reviewer</w:t>
      </w:r>
    </w:p>
    <w:p>
      <w:pPr>
        <w:spacing w:before="0" w:after="50" w:line="250" w:lineRule="auto"/>
      </w:pPr>
      <w:r>
        <w:rPr>
          <w:rFonts w:ascii="Calibri" w:hAnsi="Calibri"/>
          <w:color w:val="000000"/>
          <w:sz w:val="20"/>
        </w:rPr>
        <w:t xml:space="preserve">Competency focus: Independent evidence inspection, uncertainty and justified corrections.</w:t>
      </w:r>
    </w:p>
    <w:p>
      <w:pPr>
        <w:spacing w:before="0" w:after="50" w:line="250" w:lineRule="auto"/>
      </w:pPr>
      <w:r>
        <w:rPr>
          <w:rFonts w:ascii="Calibri" w:hAnsi="Calibri"/>
          <w:color w:val="000000"/>
          <w:sz w:val="20"/>
        </w:rPr>
        <w:t xml:space="preserve">User role: Laboratory administrator</w:t>
      </w:r>
    </w:p>
    <w:p>
      <w:pPr>
        <w:spacing w:before="0" w:after="50" w:line="250" w:lineRule="auto"/>
      </w:pPr>
      <w:r>
        <w:rPr>
          <w:rFonts w:ascii="Calibri" w:hAnsi="Calibri"/>
          <w:color w:val="000000"/>
          <w:sz w:val="20"/>
        </w:rPr>
        <w:t xml:space="preserve">Competency focus: Access control, workflow configuration and exception monitoring.</w:t>
      </w:r>
    </w:p>
    <w:p>
      <w:pPr>
        <w:spacing w:before="0" w:after="50" w:line="250" w:lineRule="auto"/>
      </w:pPr>
      <w:r>
        <w:rPr>
          <w:rFonts w:ascii="Calibri" w:hAnsi="Calibri"/>
          <w:color w:val="000000"/>
          <w:sz w:val="20"/>
        </w:rPr>
        <w:t xml:space="preserve">User role: Service engineer</w:t>
      </w:r>
    </w:p>
    <w:p>
      <w:pPr>
        <w:spacing w:before="0" w:after="50" w:line="250" w:lineRule="auto"/>
      </w:pPr>
      <w:r>
        <w:rPr>
          <w:rFonts w:ascii="Calibri" w:hAnsi="Calibri"/>
          <w:color w:val="000000"/>
          <w:sz w:val="20"/>
        </w:rPr>
        <w:t xml:space="preserve">Competency focus: Configuration integrity, calibration impact and return-to-use evidence.</w:t>
      </w:r>
    </w:p>
    <w:p>
      <w:pPr>
        <w:spacing w:before="0" w:after="50" w:line="250" w:lineRule="auto"/>
      </w:pPr>
      <w:r>
        <w:rPr>
          <w:rFonts w:ascii="Calibri" w:hAnsi="Calibri"/>
          <w:color w:val="000000"/>
          <w:sz w:val="20"/>
        </w:rPr>
        <w:t xml:space="preserve">User role: Research investigator</w:t>
      </w:r>
    </w:p>
    <w:p>
      <w:pPr>
        <w:spacing w:before="0" w:after="50" w:line="250" w:lineRule="auto"/>
      </w:pPr>
      <w:r>
        <w:rPr>
          <w:rFonts w:ascii="Calibri" w:hAnsi="Calibri"/>
          <w:color w:val="000000"/>
          <w:sz w:val="20"/>
        </w:rPr>
        <w:t xml:space="preserve">Competency focus: Experimental metadata, sampling bias and measured versus simulated values.</w:t>
      </w:r>
    </w:p>
    <w:p>
      <w:pPr>
        <w:pStyle w:val="Heading3"/>
        <w:keepNext/>
        <w:keepLines/>
        <w:spacing w:before="240" w:after="120" w:line="269" w:lineRule="auto"/>
      </w:pPr>
      <w:r>
        <w:rPr>
          <w:color w:val="000000"/>
        </w:rPr>
        <w:t>Keep training current</w:t>
      </w:r>
    </w:p>
    <w:p>
      <w:pPr>
        <w:pStyle w:val="Normal"/>
        <w:spacing w:before="0" w:after="50" w:line="250" w:lineRule="auto"/>
        <w:rPr/>
      </w:pPr>
      <w:r>
        <w:rPr>
          <w:rFonts w:ascii="Calibri" w:hAnsi="Calibri"/>
          <w:color w:val="000000"/>
          <w:sz w:val="20"/>
        </w:rPr>
        <w:t>A substantial change in overlays, quality flags, rules interpretation or export behaviour may require targeted retraining. The change should be assessed for its effect on user decisions rather than simply whether a button moved. Training records should identify the product version and the relevant tasks.</w:t>
      </w:r>
    </w:p>
    <w:p>
      <w:pPr>
        <w:pStyle w:val="Normal"/>
        <w:spacing w:before="0" w:after="50" w:line="250" w:lineRule="auto"/>
        <w:rPr/>
      </w:pPr>
      <w:r>
        <w:rPr>
          <w:rFonts w:ascii="Calibri" w:hAnsi="Calibri"/>
          <w:color w:val="000000"/>
          <w:sz w:val="20"/>
        </w:rPr>
        <w:t>The service can include guided demonstrations, practice cases, assessed exercises and refresher material. Claims that training reduces errors or review time should be supported by evaluation, including whether users become excessively trusting of the automated output. Human review works only when the human has the information, time and competence to perform it.</w:t>
      </w:r>
    </w:p>
    <w:p>
      <w:pPr>
        <w:pStyle w:val="Heading3"/>
        <w:keepNext/>
        <w:keepLines/>
        <w:spacing w:before="240" w:after="120" w:line="269" w:lineRule="auto"/>
      </w:pPr>
      <w:r>
        <w:rPr>
          <w:color w:val="000000"/>
        </w:rPr>
        <w:t>Research and data partnership services</w:t>
      </w:r>
    </w:p>
    <w:p>
      <w:pPr>
        <w:pStyle w:val="Normal"/>
        <w:spacing w:before="0" w:after="50" w:line="250" w:lineRule="auto"/>
        <w:rPr/>
      </w:pPr>
      <w:r>
        <w:rPr>
          <w:rFonts w:ascii="Calibri" w:hAnsi="Calibri"/>
          <w:color w:val="000000"/>
          <w:sz w:val="20"/>
        </w:rPr>
        <w:t>Research support services can help partners turn a broad idea into a reproducible investigation. The useful deliverable is a defined question, a suitable observation plan, a provenance-preserving dataset and an analysis that distinguishes evidence from interpretation. Scientific conclusions remain the responsibility of the investigators and their review process.</w:t>
      </w:r>
    </w:p>
    <w:p>
      <w:pPr>
        <w:pStyle w:val="Heading3"/>
        <w:keepNext/>
        <w:keepLines/>
        <w:spacing w:before="240" w:after="120" w:line="269" w:lineRule="auto"/>
      </w:pPr>
      <w:r>
        <w:rPr>
          <w:color w:val="000000"/>
        </w:rPr>
        <w:t>Proposed support functions</w:t>
      </w:r>
    </w:p>
    <w:p>
      <w:pPr>
        <w:pStyle w:val="Normal"/>
        <w:spacing w:before="0" w:after="50" w:line="250" w:lineRule="auto"/>
        <w:rPr/>
      </w:pPr>
      <w:r>
        <w:rPr>
          <w:rFonts w:ascii="Calibri" w:hAnsi="Calibri"/>
          <w:color w:val="000000"/>
          <w:sz w:val="20"/>
        </w:rPr>
        <w:t>AMReye.AI could support instrument configuration, acquisition metadata, annotation workflows, data quality review, interface development and reproducible analysis packaging. Partners may also need help comparing candidate sensing approaches against a conventional baseline before committing to a larger study.</w:t>
      </w:r>
    </w:p>
    <w:p>
      <w:pPr>
        <w:spacing w:before="0" w:after="50" w:line="250" w:lineRule="auto"/>
      </w:pPr>
      <w:r>
        <w:rPr>
          <w:rFonts w:ascii="Calibri" w:hAnsi="Calibri"/>
          <w:color w:val="000000"/>
          <w:sz w:val="20"/>
        </w:rPr>
        <w:t xml:space="preserve">Partnership stage: Question definition</w:t>
      </w:r>
    </w:p>
    <w:p>
      <w:pPr>
        <w:spacing w:before="0" w:after="50" w:line="250" w:lineRule="auto"/>
      </w:pPr>
      <w:r>
        <w:rPr>
          <w:rFonts w:ascii="Calibri" w:hAnsi="Calibri"/>
          <w:color w:val="000000"/>
          <w:sz w:val="20"/>
        </w:rPr>
        <w:t xml:space="preserve">Concrete output: A bounded hypothesis and a measurable outcome.</w:t>
      </w:r>
    </w:p>
    <w:p>
      <w:pPr>
        <w:spacing w:before="0" w:after="50" w:line="250" w:lineRule="auto"/>
      </w:pPr>
      <w:r>
        <w:rPr>
          <w:rFonts w:ascii="Calibri" w:hAnsi="Calibri"/>
          <w:color w:val="000000"/>
          <w:sz w:val="20"/>
        </w:rPr>
        <w:t xml:space="preserve">Partnership stage: Feasibility assessment</w:t>
      </w:r>
    </w:p>
    <w:p>
      <w:pPr>
        <w:spacing w:before="0" w:after="50" w:line="250" w:lineRule="auto"/>
      </w:pPr>
      <w:r>
        <w:rPr>
          <w:rFonts w:ascii="Calibri" w:hAnsi="Calibri"/>
          <w:color w:val="000000"/>
          <w:sz w:val="20"/>
        </w:rPr>
        <w:t xml:space="preserve">Concrete output: Required signals, confounders, reference method and expected limitations.</w:t>
      </w:r>
    </w:p>
    <w:p>
      <w:pPr>
        <w:spacing w:before="0" w:after="50" w:line="250" w:lineRule="auto"/>
      </w:pPr>
      <w:r>
        <w:rPr>
          <w:rFonts w:ascii="Calibri" w:hAnsi="Calibri"/>
          <w:color w:val="000000"/>
          <w:sz w:val="20"/>
        </w:rPr>
        <w:t xml:space="preserve">Partnership stage: Dataset preparation</w:t>
      </w:r>
    </w:p>
    <w:p>
      <w:pPr>
        <w:spacing w:before="0" w:after="50" w:line="250" w:lineRule="auto"/>
      </w:pPr>
      <w:r>
        <w:rPr>
          <w:rFonts w:ascii="Calibri" w:hAnsi="Calibri"/>
          <w:color w:val="000000"/>
          <w:sz w:val="20"/>
        </w:rPr>
        <w:t xml:space="preserve">Concrete output: Data dictionary, provenance, access controls and annotation instructions.</w:t>
      </w:r>
    </w:p>
    <w:p>
      <w:pPr>
        <w:spacing w:before="0" w:after="50" w:line="250" w:lineRule="auto"/>
      </w:pPr>
      <w:r>
        <w:rPr>
          <w:rFonts w:ascii="Calibri" w:hAnsi="Calibri"/>
          <w:color w:val="000000"/>
          <w:sz w:val="20"/>
        </w:rPr>
        <w:t xml:space="preserve">Partnership stage: Analysis support</w:t>
      </w:r>
    </w:p>
    <w:p>
      <w:pPr>
        <w:spacing w:before="0" w:after="50" w:line="250" w:lineRule="auto"/>
      </w:pPr>
      <w:r>
        <w:rPr>
          <w:rFonts w:ascii="Calibri" w:hAnsi="Calibri"/>
          <w:color w:val="000000"/>
          <w:sz w:val="20"/>
        </w:rPr>
        <w:t xml:space="preserve">Concrete output: Reproducible processing with declared assumptions and exclusions.</w:t>
      </w:r>
    </w:p>
    <w:p>
      <w:pPr>
        <w:spacing w:before="0" w:after="50" w:line="250" w:lineRule="auto"/>
      </w:pPr>
      <w:r>
        <w:rPr>
          <w:rFonts w:ascii="Calibri" w:hAnsi="Calibri"/>
          <w:color w:val="000000"/>
          <w:sz w:val="20"/>
        </w:rPr>
        <w:t xml:space="preserve">Partnership stage: Publication support</w:t>
      </w:r>
    </w:p>
    <w:p>
      <w:pPr>
        <w:spacing w:before="0" w:after="50" w:line="250" w:lineRule="auto"/>
      </w:pPr>
      <w:r>
        <w:rPr>
          <w:rFonts w:ascii="Calibri" w:hAnsi="Calibri"/>
          <w:color w:val="000000"/>
          <w:sz w:val="20"/>
        </w:rPr>
        <w:t xml:space="preserve">Concrete output: Traceable figures, method descriptions and separation of original from external evidence.</w:t>
      </w:r>
    </w:p>
    <w:p>
      <w:pPr>
        <w:pStyle w:val="Heading3"/>
        <w:keepNext/>
        <w:keepLines/>
        <w:spacing w:before="240" w:after="120" w:line="269" w:lineRule="auto"/>
      </w:pPr>
      <w:r>
        <w:rPr>
          <w:color w:val="000000"/>
        </w:rPr>
        <w:t>Agree the evidence and rights in advance</w:t>
      </w:r>
    </w:p>
    <w:p>
      <w:pPr>
        <w:pStyle w:val="Normal"/>
        <w:spacing w:before="0" w:after="50" w:line="250" w:lineRule="auto"/>
        <w:rPr/>
      </w:pPr>
      <w:r>
        <w:rPr>
          <w:rFonts w:ascii="Calibri" w:hAnsi="Calibri"/>
          <w:color w:val="000000"/>
          <w:sz w:val="20"/>
        </w:rPr>
        <w:t>Data-sharing terms should address permitted reuse, confidentiality, publication review, attribution and handling of derived models. A partner’s access to an instrument should not imply permission to reuse identifiable records for unrelated model training. Similarly, a promising preliminary result should not become a public product claim before the relevant evidence review.</w:t>
      </w:r>
    </w:p>
    <w:p>
      <w:pPr>
        <w:pStyle w:val="Normal"/>
        <w:spacing w:before="0" w:after="50" w:line="250" w:lineRule="auto"/>
        <w:rPr/>
      </w:pPr>
      <w:r>
        <w:rPr>
          <w:rFonts w:ascii="Calibri" w:hAnsi="Calibri"/>
          <w:color w:val="000000"/>
          <w:sz w:val="20"/>
        </w:rPr>
        <w:t>Research support should be evaluated by reproducibility and usefulness: whether another analyst can understand the dataset, reconstruct the processing and identify the limits of the conclusion. A large volume of generated analysis is not a substitute for an answer to the original research question. The service should make uncertainty explicit enough to guide the next experiment or engineering decision.</w:t>
      </w:r>
    </w:p>
    <w:p>
      <w:pPr>
        <w:pStyle w:val="Heading3"/>
        <w:keepNext/>
        <w:keepLines/>
        <w:spacing w:before="240" w:after="120" w:line="269" w:lineRule="auto"/>
      </w:pPr>
      <w:r>
        <w:rPr>
          <w:color w:val="000000"/>
        </w:rPr>
        <w:t>The laboratory user experience</w:t>
      </w:r>
    </w:p>
    <w:p>
      <w:pPr>
        <w:pStyle w:val="Normal"/>
        <w:spacing w:before="0" w:after="50" w:line="250" w:lineRule="auto"/>
        <w:rPr/>
      </w:pPr>
      <w:r>
        <w:rPr>
          <w:rFonts w:ascii="Calibri" w:hAnsi="Calibri"/>
          <w:color w:val="000000"/>
          <w:sz w:val="20"/>
        </w:rPr>
        <w:t>The operator-facing experience should make the state of the plate and the state of the analysis immediately understandable. BAHU, the proposed Bio-Automation and Human User Interface concept, brings together acquisition, review and instrument orchestration while preserving the distinct responsibilities of each function.</w:t>
      </w:r>
    </w:p>
    <w:p>
      <w:pPr>
        <w:pStyle w:val="Heading3"/>
        <w:keepNext/>
        <w:keepLines/>
        <w:spacing w:before="240" w:after="120" w:line="269" w:lineRule="auto"/>
      </w:pPr>
      <w:r>
        <w:rPr>
          <w:color w:val="000000"/>
        </w:rPr>
        <w:t>Organize the interface around decisions</w:t>
      </w:r>
    </w:p>
    <w:p>
      <w:pPr>
        <w:pStyle w:val="Normal"/>
        <w:spacing w:before="0" w:after="50" w:line="250" w:lineRule="auto"/>
        <w:rPr/>
      </w:pPr>
      <w:r>
        <w:rPr>
          <w:rFonts w:ascii="Calibri" w:hAnsi="Calibri"/>
          <w:color w:val="000000"/>
          <w:sz w:val="20"/>
        </w:rPr>
        <w:t>Before capture, the user needs identity and readiness information. During review, the user needs the original image, the measurement overlay, quality findings and the relevant interpretation context. After release, the user needs export status and a reliable way to issue or inspect a correction.</w:t>
      </w:r>
    </w:p>
    <w:p>
      <w:pPr>
        <w:pStyle w:val="Normal"/>
        <w:spacing w:before="0" w:after="50" w:line="250" w:lineRule="auto"/>
        <w:rPr/>
      </w:pPr>
      <w:r>
        <w:rPr>
          <w:rFonts w:ascii="Calibri" w:hAnsi="Calibri"/>
          <w:color w:val="000000"/>
          <w:sz w:val="20"/>
        </w:rPr>
        <w:t>An interface should display “unavailable” differently from zero, “simulated” differently from observed and “pending review” differently from approved. These distinctions should appear in text as well as colour so that the workflow remains understandable under varied displays and accessibility needs.</w:t>
      </w:r>
    </w:p>
    <w:p>
      <w:pPr>
        <w:pStyle w:val="Heading3"/>
        <w:keepNext/>
        <w:keepLines/>
        <w:spacing w:before="240" w:after="120" w:line="269" w:lineRule="auto"/>
      </w:pPr>
      <w:r>
        <w:rPr>
          <w:color w:val="000000"/>
        </w:rPr>
        <w:t>Assistance without hidden authority</w:t>
      </w:r>
    </w:p>
    <w:p>
      <w:pPr>
        <w:pStyle w:val="Normal"/>
        <w:spacing w:before="0" w:after="50" w:line="250" w:lineRule="auto"/>
        <w:rPr/>
      </w:pPr>
      <w:r>
        <w:rPr>
          <w:rFonts w:ascii="Calibri" w:hAnsi="Calibri"/>
          <w:color w:val="000000"/>
          <w:sz w:val="20"/>
        </w:rPr>
        <w:t>Voice annotation, touchless controls, mobile monitoring and augmented overlays are proposed interaction options. Their usefulness depends on the environment and on whether they reduce or increase distraction. Voice transcription should be reviewable before becoming part of a released record. A remote screen should not imply permission to control local hardware. An augmented overlay should retain registration and visibility checks.</w:t>
      </w:r>
    </w:p>
    <w:p>
      <w:pPr>
        <w:spacing w:before="0" w:after="50" w:line="250" w:lineRule="auto"/>
      </w:pPr>
      <w:r>
        <w:rPr>
          <w:rFonts w:ascii="Calibri" w:hAnsi="Calibri"/>
          <w:color w:val="000000"/>
          <w:sz w:val="20"/>
        </w:rPr>
        <w:t xml:space="preserve">User question: What am I reviewing?</w:t>
      </w:r>
    </w:p>
    <w:p>
      <w:pPr>
        <w:spacing w:before="0" w:after="50" w:line="250" w:lineRule="auto"/>
      </w:pPr>
      <w:r>
        <w:rPr>
          <w:rFonts w:ascii="Calibri" w:hAnsi="Calibri"/>
          <w:color w:val="000000"/>
          <w:sz w:val="20"/>
        </w:rPr>
        <w:t xml:space="preserve">Information the interface should expose: Plate identity, observation time and original evidence.</w:t>
      </w:r>
    </w:p>
    <w:p>
      <w:pPr>
        <w:spacing w:before="0" w:after="50" w:line="250" w:lineRule="auto"/>
      </w:pPr>
      <w:r>
        <w:rPr>
          <w:rFonts w:ascii="Calibri" w:hAnsi="Calibri"/>
          <w:color w:val="000000"/>
          <w:sz w:val="20"/>
        </w:rPr>
        <w:t xml:space="preserve">User question: Why is it flagged?</w:t>
      </w:r>
    </w:p>
    <w:p>
      <w:pPr>
        <w:spacing w:before="0" w:after="50" w:line="250" w:lineRule="auto"/>
      </w:pPr>
      <w:r>
        <w:rPr>
          <w:rFonts w:ascii="Calibri" w:hAnsi="Calibri"/>
          <w:color w:val="000000"/>
          <w:sz w:val="20"/>
        </w:rPr>
        <w:t xml:space="preserve">Information the interface should expose: Specific quality issue and the affected measurement.</w:t>
      </w:r>
    </w:p>
    <w:p>
      <w:pPr>
        <w:spacing w:before="0" w:after="50" w:line="250" w:lineRule="auto"/>
      </w:pPr>
      <w:r>
        <w:rPr>
          <w:rFonts w:ascii="Calibri" w:hAnsi="Calibri"/>
          <w:color w:val="000000"/>
          <w:sz w:val="20"/>
        </w:rPr>
        <w:t xml:space="preserve">User question: What changed?</w:t>
      </w:r>
    </w:p>
    <w:p>
      <w:pPr>
        <w:spacing w:before="0" w:after="50" w:line="250" w:lineRule="auto"/>
      </w:pPr>
      <w:r>
        <w:rPr>
          <w:rFonts w:ascii="Calibri" w:hAnsi="Calibri"/>
          <w:color w:val="000000"/>
          <w:sz w:val="20"/>
        </w:rPr>
        <w:t xml:space="preserve">Information the interface should expose: Original value, revised value, reason and responsible actor.</w:t>
      </w:r>
    </w:p>
    <w:p>
      <w:pPr>
        <w:spacing w:before="0" w:after="50" w:line="250" w:lineRule="auto"/>
      </w:pPr>
      <w:r>
        <w:rPr>
          <w:rFonts w:ascii="Calibri" w:hAnsi="Calibri"/>
          <w:color w:val="000000"/>
          <w:sz w:val="20"/>
        </w:rPr>
        <w:t xml:space="preserve">User question: What can I do next?</w:t>
      </w:r>
    </w:p>
    <w:p>
      <w:pPr>
        <w:spacing w:before="0" w:after="50" w:line="250" w:lineRule="auto"/>
      </w:pPr>
      <w:r>
        <w:rPr>
          <w:rFonts w:ascii="Calibri" w:hAnsi="Calibri"/>
          <w:color w:val="000000"/>
          <w:sz w:val="20"/>
        </w:rPr>
        <w:t xml:space="preserve">Information the interface should expose: Permitted review, reacquisition, escalation or rejection action.</w:t>
      </w:r>
    </w:p>
    <w:p>
      <w:pPr>
        <w:pStyle w:val="Normal"/>
        <w:spacing w:before="0" w:after="50" w:line="250" w:lineRule="auto"/>
        <w:rPr/>
      </w:pPr>
      <w:r>
        <w:rPr>
          <w:rFonts w:ascii="Calibri" w:hAnsi="Calibri"/>
          <w:color w:val="000000"/>
          <w:sz w:val="20"/>
        </w:rPr>
        <w:t>The design should be evaluated with representative users performing realistic tasks. A visually attractive interface can still mislead if it conceals uncertainty, gives excessive prominence to an automated category or makes rejection harder than acceptance.</w:t>
      </w:r>
    </w:p>
    <w:p>
      <w:pPr>
        <w:pStyle w:val="Heading3"/>
        <w:keepNext/>
        <w:keepLines/>
        <w:spacing w:before="240" w:after="120" w:line="269" w:lineRule="auto"/>
      </w:pPr>
      <w:r>
        <w:rPr>
          <w:color w:val="000000"/>
        </w:rPr>
        <w:t>The technical partner proposition</w:t>
      </w:r>
    </w:p>
    <w:p>
      <w:pPr>
        <w:pStyle w:val="Normal"/>
        <w:spacing w:before="0" w:after="50" w:line="250" w:lineRule="auto"/>
        <w:rPr/>
      </w:pPr>
      <w:r>
        <w:rPr>
          <w:rFonts w:ascii="Calibri" w:hAnsi="Calibri"/>
          <w:color w:val="000000"/>
          <w:sz w:val="20"/>
        </w:rPr>
        <w:t>Technical partners need a clear account of the component they are being asked to develop, integrate or evaluate. The partnership proposition should define the interface, the operating conditions, the evidence expected and the responsibilities on either side. Broad platform language is insufficient for an engineering agreement.</w:t>
      </w:r>
    </w:p>
    <w:p>
      <w:pPr>
        <w:pStyle w:val="Heading3"/>
        <w:keepNext/>
        <w:keepLines/>
        <w:spacing w:before="240" w:after="120" w:line="269" w:lineRule="auto"/>
      </w:pPr>
      <w:r>
        <w:rPr>
          <w:color w:val="000000"/>
        </w:rPr>
        <w:t>Make the contribution inspectable</w:t>
      </w:r>
    </w:p>
    <w:p>
      <w:pPr>
        <w:pStyle w:val="Normal"/>
        <w:spacing w:before="0" w:after="50" w:line="250" w:lineRule="auto"/>
        <w:rPr/>
      </w:pPr>
      <w:r>
        <w:rPr>
          <w:rFonts w:ascii="Calibri" w:hAnsi="Calibri"/>
          <w:color w:val="000000"/>
          <w:sz w:val="20"/>
        </w:rPr>
        <w:t>An optics partner may contribute a qualified imaging path and calibration method. An electronics partner may contribute a power and control assembly with verified fault behaviour. A software partner may contribute an adapter with a conformance suite. A laboratory partner may evaluate a defined workflow using an agreed comparator and review process.</w:t>
      </w:r>
    </w:p>
    <w:p>
      <w:pPr>
        <w:spacing w:before="0" w:after="50" w:line="250" w:lineRule="auto"/>
      </w:pPr>
      <w:r>
        <w:rPr>
          <w:rFonts w:ascii="Calibri" w:hAnsi="Calibri"/>
          <w:color w:val="000000"/>
          <w:sz w:val="20"/>
        </w:rPr>
        <w:t xml:space="preserve">Partner contribution: Optical subsystem</w:t>
      </w:r>
    </w:p>
    <w:p>
      <w:pPr>
        <w:spacing w:before="0" w:after="50" w:line="250" w:lineRule="auto"/>
      </w:pPr>
      <w:r>
        <w:rPr>
          <w:rFonts w:ascii="Calibri" w:hAnsi="Calibri"/>
          <w:color w:val="000000"/>
          <w:sz w:val="20"/>
        </w:rPr>
        <w:t xml:space="preserve">Proposed acceptance evidence: Field coverage, image quality, stability and spatial measurement residuals.</w:t>
      </w:r>
    </w:p>
    <w:p>
      <w:pPr>
        <w:spacing w:before="0" w:after="50" w:line="250" w:lineRule="auto"/>
      </w:pPr>
      <w:r>
        <w:rPr>
          <w:rFonts w:ascii="Calibri" w:hAnsi="Calibri"/>
          <w:color w:val="000000"/>
          <w:sz w:val="20"/>
        </w:rPr>
        <w:t xml:space="preserve">Partner contribution: Control subsystem</w:t>
      </w:r>
    </w:p>
    <w:p>
      <w:pPr>
        <w:spacing w:before="0" w:after="50" w:line="250" w:lineRule="auto"/>
      </w:pPr>
      <w:r>
        <w:rPr>
          <w:rFonts w:ascii="Calibri" w:hAnsi="Calibri"/>
          <w:color w:val="000000"/>
          <w:sz w:val="20"/>
        </w:rPr>
        <w:t xml:space="preserve">Proposed acceptance evidence: State transitions, interlocks, failure response and timing behaviour.</w:t>
      </w:r>
    </w:p>
    <w:p>
      <w:pPr>
        <w:spacing w:before="0" w:after="50" w:line="250" w:lineRule="auto"/>
      </w:pPr>
      <w:r>
        <w:rPr>
          <w:rFonts w:ascii="Calibri" w:hAnsi="Calibri"/>
          <w:color w:val="000000"/>
          <w:sz w:val="20"/>
        </w:rPr>
        <w:t xml:space="preserve">Partner contribution: Data interface</w:t>
      </w:r>
    </w:p>
    <w:p>
      <w:pPr>
        <w:spacing w:before="0" w:after="50" w:line="250" w:lineRule="auto"/>
      </w:pPr>
      <w:r>
        <w:rPr>
          <w:rFonts w:ascii="Calibri" w:hAnsi="Calibri"/>
          <w:color w:val="000000"/>
          <w:sz w:val="20"/>
        </w:rPr>
        <w:t xml:space="preserve">Proposed acceptance evidence: Schema mapping, identity integrity, correction semantics and reconciliation.</w:t>
      </w:r>
    </w:p>
    <w:p>
      <w:pPr>
        <w:spacing w:before="0" w:after="50" w:line="250" w:lineRule="auto"/>
      </w:pPr>
      <w:r>
        <w:rPr>
          <w:rFonts w:ascii="Calibri" w:hAnsi="Calibri"/>
          <w:color w:val="000000"/>
          <w:sz w:val="20"/>
        </w:rPr>
        <w:t xml:space="preserve">Partner contribution: Research modality</w:t>
      </w:r>
    </w:p>
    <w:p>
      <w:pPr>
        <w:spacing w:before="0" w:after="50" w:line="250" w:lineRule="auto"/>
      </w:pPr>
      <w:r>
        <w:rPr>
          <w:rFonts w:ascii="Calibri" w:hAnsi="Calibri"/>
          <w:color w:val="000000"/>
          <w:sz w:val="20"/>
        </w:rPr>
        <w:t xml:space="preserve">Proposed acceptance evidence: Measurable signal, confounder assessment and incremental information value.</w:t>
      </w:r>
    </w:p>
    <w:p>
      <w:pPr>
        <w:spacing w:before="0" w:after="50" w:line="250" w:lineRule="auto"/>
      </w:pPr>
      <w:r>
        <w:rPr>
          <w:rFonts w:ascii="Calibri" w:hAnsi="Calibri"/>
          <w:color w:val="000000"/>
          <w:sz w:val="20"/>
        </w:rPr>
        <w:t xml:space="preserve">Partner contribution: Manufacturing process</w:t>
      </w:r>
    </w:p>
    <w:p>
      <w:pPr>
        <w:spacing w:before="0" w:after="50" w:line="250" w:lineRule="auto"/>
      </w:pPr>
      <w:r>
        <w:rPr>
          <w:rFonts w:ascii="Calibri" w:hAnsi="Calibri"/>
          <w:color w:val="000000"/>
          <w:sz w:val="20"/>
        </w:rPr>
        <w:t xml:space="preserve">Proposed acceptance evidence: Repeatable assembly, inspection records and configuration traceability.</w:t>
      </w:r>
    </w:p>
    <w:p>
      <w:pPr>
        <w:pStyle w:val="Heading3"/>
        <w:keepNext/>
        <w:keepLines/>
        <w:spacing w:before="240" w:after="120" w:line="269" w:lineRule="auto"/>
      </w:pPr>
      <w:r>
        <w:rPr>
          <w:color w:val="000000"/>
        </w:rPr>
        <w:t>Share interfaces before fixing form</w:t>
      </w:r>
    </w:p>
    <w:p>
      <w:pPr>
        <w:pStyle w:val="Normal"/>
        <w:spacing w:before="0" w:after="50" w:line="250" w:lineRule="auto"/>
        <w:rPr/>
      </w:pPr>
      <w:r>
        <w:rPr>
          <w:rFonts w:ascii="Calibri" w:hAnsi="Calibri"/>
          <w:color w:val="000000"/>
          <w:sz w:val="20"/>
        </w:rPr>
        <w:t>The physical product remains malleable. Interfaces can nevertheless specify coordinate frames, timestamps, electrical limits, data types and quality states. This allows alternative layouts to be compared without losing the ability to assess their behaviour.</w:t>
      </w:r>
    </w:p>
    <w:p>
      <w:pPr>
        <w:pStyle w:val="Normal"/>
        <w:spacing w:before="0" w:after="50" w:line="250" w:lineRule="auto"/>
        <w:rPr/>
      </w:pPr>
      <w:r>
        <w:rPr>
          <w:rFonts w:ascii="Calibri" w:hAnsi="Calibri"/>
          <w:color w:val="000000"/>
          <w:sz w:val="20"/>
        </w:rPr>
        <w:t>Partners should also agree how design changes are reviewed and how a supplied component’s evidence transfers to the integrated product. A component test can support an argument about the system, but it does not automatically establish system performance. A productive partnership makes that integration gap visible and assigns responsibility for closing it.</w:t>
      </w:r>
    </w:p>
    <w:p>
      <w:pPr>
        <w:pStyle w:val="Heading3"/>
        <w:keepNext/>
        <w:keepLines/>
        <w:spacing w:before="240" w:after="120" w:line="269" w:lineRule="auto"/>
      </w:pPr>
      <w:r>
        <w:rPr>
          <w:color w:val="000000"/>
        </w:rPr>
        <w:t>The responsible investment proposition</w:t>
      </w:r>
    </w:p>
    <w:p>
      <w:pPr>
        <w:pStyle w:val="Normal"/>
        <w:spacing w:before="0" w:after="50" w:line="250" w:lineRule="auto"/>
        <w:rPr/>
      </w:pPr>
      <w:r>
        <w:rPr>
          <w:rFonts w:ascii="Calibri" w:hAnsi="Calibri"/>
          <w:color w:val="000000"/>
          <w:sz w:val="20"/>
        </w:rPr>
        <w:t>A responsible investment review should examine whether the programme is converting uncertainty into evidence in a sensible order. The breadth of the proposed platform is relevant, but it should be assessed alongside the narrower product path that can be built, evaluated and supported first.</w:t>
      </w:r>
    </w:p>
    <w:p>
      <w:pPr>
        <w:pStyle w:val="Heading3"/>
        <w:keepNext/>
        <w:keepLines/>
        <w:spacing w:before="240" w:after="120" w:line="269" w:lineRule="auto"/>
      </w:pPr>
      <w:r>
        <w:rPr>
          <w:color w:val="000000"/>
        </w:rPr>
        <w:t>Review the evidence behind the opportunity</w:t>
      </w:r>
    </w:p>
    <w:p>
      <w:pPr>
        <w:pStyle w:val="Normal"/>
        <w:spacing w:before="0" w:after="50" w:line="250" w:lineRule="auto"/>
        <w:rPr/>
      </w:pPr>
      <w:r>
        <w:rPr>
          <w:rFonts w:ascii="Calibri" w:hAnsi="Calibri"/>
          <w:color w:val="000000"/>
          <w:sz w:val="20"/>
        </w:rPr>
        <w:t>For Reader V1, the essential questions concern measurement performance, laboratory usability, integration and serviceability. For an integrated instrument, the review expands to environmental control, handling, assay boundaries and production complexity. For predictive twins or genomic inference, the central uncertainty includes whether the available observations support the intended biological conclusion.</w:t>
      </w:r>
    </w:p>
    <w:p>
      <w:pPr>
        <w:spacing w:before="0" w:after="50" w:line="250" w:lineRule="auto"/>
      </w:pPr>
      <w:r>
        <w:rPr>
          <w:rFonts w:ascii="Calibri" w:hAnsi="Calibri"/>
          <w:color w:val="000000"/>
          <w:sz w:val="20"/>
        </w:rPr>
        <w:t xml:space="preserve">Review dimension: Technical feasibility</w:t>
      </w:r>
    </w:p>
    <w:p>
      <w:pPr>
        <w:spacing w:before="0" w:after="50" w:line="250" w:lineRule="auto"/>
      </w:pPr>
      <w:r>
        <w:rPr>
          <w:rFonts w:ascii="Calibri" w:hAnsi="Calibri"/>
          <w:color w:val="000000"/>
          <w:sz w:val="20"/>
        </w:rPr>
        <w:t xml:space="preserve">Evidence that would strengthen the case: Repeatable measurements and successful tests of declared failure modes.</w:t>
      </w:r>
    </w:p>
    <w:p>
      <w:pPr>
        <w:spacing w:before="0" w:after="50" w:line="250" w:lineRule="auto"/>
      </w:pPr>
      <w:r>
        <w:rPr>
          <w:rFonts w:ascii="Calibri" w:hAnsi="Calibri"/>
          <w:color w:val="000000"/>
          <w:sz w:val="20"/>
        </w:rPr>
        <w:t xml:space="preserve">Review dimension: Workflow value</w:t>
      </w:r>
    </w:p>
    <w:p>
      <w:pPr>
        <w:spacing w:before="0" w:after="50" w:line="250" w:lineRule="auto"/>
      </w:pPr>
      <w:r>
        <w:rPr>
          <w:rFonts w:ascii="Calibri" w:hAnsi="Calibri"/>
          <w:color w:val="000000"/>
          <w:sz w:val="20"/>
        </w:rPr>
        <w:t xml:space="preserve">Evidence that would strengthen the case: Demonstrated usefulness to representative laboratory users.</w:t>
      </w:r>
    </w:p>
    <w:p>
      <w:pPr>
        <w:spacing w:before="0" w:after="50" w:line="250" w:lineRule="auto"/>
      </w:pPr>
      <w:r>
        <w:rPr>
          <w:rFonts w:ascii="Calibri" w:hAnsi="Calibri"/>
          <w:color w:val="000000"/>
          <w:sz w:val="20"/>
        </w:rPr>
        <w:t xml:space="preserve">Review dimension: Product readiness</w:t>
      </w:r>
    </w:p>
    <w:p>
      <w:pPr>
        <w:spacing w:before="0" w:after="50" w:line="250" w:lineRule="auto"/>
      </w:pPr>
      <w:r>
        <w:rPr>
          <w:rFonts w:ascii="Calibri" w:hAnsi="Calibri"/>
          <w:color w:val="000000"/>
          <w:sz w:val="20"/>
        </w:rPr>
        <w:t xml:space="preserve">Evidence that would strengthen the case: Defined configuration, documentation, training and service process.</w:t>
      </w:r>
    </w:p>
    <w:p>
      <w:pPr>
        <w:spacing w:before="0" w:after="50" w:line="250" w:lineRule="auto"/>
      </w:pPr>
      <w:r>
        <w:rPr>
          <w:rFonts w:ascii="Calibri" w:hAnsi="Calibri"/>
          <w:color w:val="000000"/>
          <w:sz w:val="20"/>
        </w:rPr>
        <w:t xml:space="preserve">Review dimension: Regulatory path</w:t>
      </w:r>
    </w:p>
    <w:p>
      <w:pPr>
        <w:spacing w:before="0" w:after="50" w:line="250" w:lineRule="auto"/>
      </w:pPr>
      <w:r>
        <w:rPr>
          <w:rFonts w:ascii="Calibri" w:hAnsi="Calibri"/>
          <w:color w:val="000000"/>
          <w:sz w:val="20"/>
        </w:rPr>
        <w:t xml:space="preserve">Evidence that would strengthen the case: Intended-use assessment and a credible evidence programme.</w:t>
      </w:r>
    </w:p>
    <w:p>
      <w:pPr>
        <w:spacing w:before="0" w:after="50" w:line="250" w:lineRule="auto"/>
      </w:pPr>
      <w:r>
        <w:rPr>
          <w:rFonts w:ascii="Calibri" w:hAnsi="Calibri"/>
          <w:color w:val="000000"/>
          <w:sz w:val="20"/>
        </w:rPr>
        <w:t xml:space="preserve">Review dimension: Scalability</w:t>
      </w:r>
    </w:p>
    <w:p>
      <w:pPr>
        <w:spacing w:before="0" w:after="50" w:line="250" w:lineRule="auto"/>
      </w:pPr>
      <w:r>
        <w:rPr>
          <w:rFonts w:ascii="Calibri" w:hAnsi="Calibri"/>
          <w:color w:val="000000"/>
          <w:sz w:val="20"/>
        </w:rPr>
        <w:t xml:space="preserve">Evidence that would strengthen the case: Repeatable assembly, qualified substitutions and sustainable support requirements.</w:t>
      </w:r>
    </w:p>
    <w:p>
      <w:pPr>
        <w:pStyle w:val="Heading3"/>
        <w:keepNext/>
        <w:keepLines/>
        <w:spacing w:before="240" w:after="120" w:line="269" w:lineRule="auto"/>
      </w:pPr>
      <w:r>
        <w:rPr>
          <w:color w:val="000000"/>
        </w:rPr>
        <w:t>Avoid premature extrapolation</w:t>
      </w:r>
    </w:p>
    <w:p>
      <w:pPr>
        <w:pStyle w:val="Normal"/>
        <w:spacing w:before="0" w:after="50" w:line="250" w:lineRule="auto"/>
        <w:rPr/>
      </w:pPr>
      <w:r>
        <w:rPr>
          <w:rFonts w:ascii="Calibri" w:hAnsi="Calibri"/>
          <w:color w:val="000000"/>
          <w:sz w:val="20"/>
        </w:rPr>
        <w:t>An attractive prototype demonstration is not a substitute for representative validation. An external paper does not supply product accuracy. A component BOM does not include every cost of a supported, authorized product. These distinctions make development milestones more meaningful and prevent a broad vision from obscuring the next decision.</w:t>
      </w:r>
    </w:p>
    <w:p>
      <w:pPr>
        <w:pStyle w:val="Normal"/>
        <w:spacing w:before="0" w:after="50" w:line="250" w:lineRule="auto"/>
        <w:rPr/>
      </w:pPr>
      <w:r>
        <w:rPr>
          <w:rFonts w:ascii="Calibri" w:hAnsi="Calibri"/>
          <w:sz w:val="20"/>
        </w:rPr>
        <w:t>Detailed financial assumptions and scenario models are retained in the Bill of Materials and Financial Planning companion.</w:t>
      </w:r>
    </w:p>
    <w:p>
      <w:pPr>
        <w:pStyle w:val="Heading3"/>
        <w:keepNext/>
        <w:keepLines/>
        <w:spacing w:before="240" w:after="120" w:line="269" w:lineRule="auto"/>
      </w:pPr>
      <w:r>
        <w:rPr>
          <w:color w:val="000000"/>
        </w:rPr>
        <w:t>Lab in a box as a system concept</w:t>
      </w:r>
    </w:p>
    <w:p>
      <w:pPr>
        <w:pStyle w:val="Normal"/>
        <w:spacing w:before="0" w:after="50" w:line="250" w:lineRule="auto"/>
        <w:rPr/>
      </w:pPr>
      <w:r>
        <w:rPr>
          <w:rFonts w:ascii="Calibri" w:hAnsi="Calibri"/>
          <w:color w:val="000000"/>
          <w:sz w:val="20"/>
        </w:rPr>
        <w:t>“</w:t>
      </w:r>
      <w:r>
        <w:rPr>
          <w:rFonts w:ascii="Calibri" w:hAnsi="Calibri"/>
          <w:color w:val="000000"/>
          <w:sz w:val="20"/>
        </w:rPr>
        <w:t>Lab in a box” describes the integration of several laboratory functions into a coordinated instrument or system. It does not mean that all laboratory responsibilities are physically contained in a small enclosure. Specimen handling, quality management, review, biosafety and reporting can still depend on the surrounding laboratory.</w:t>
      </w:r>
    </w:p>
    <w:p>
      <w:pPr>
        <w:pStyle w:val="Heading3"/>
        <w:keepNext/>
        <w:keepLines/>
        <w:spacing w:before="240" w:after="120" w:line="269" w:lineRule="auto"/>
      </w:pPr>
      <w:r>
        <w:rPr>
          <w:color w:val="000000"/>
        </w:rPr>
        <w:t>Apply the term to functions</w:t>
      </w:r>
    </w:p>
    <w:p>
      <w:pPr>
        <w:pStyle w:val="Normal"/>
        <w:spacing w:before="0" w:after="50" w:line="250" w:lineRule="auto"/>
        <w:rPr/>
      </w:pPr>
      <w:r>
        <w:rPr>
          <w:rFonts w:ascii="Calibri" w:hAnsi="Calibri"/>
          <w:color w:val="000000"/>
          <w:sz w:val="20"/>
        </w:rPr>
        <w:t>For AMReye.AI, the concept could include plate observation, selected environmental functions, scheduled capture, analysis, record management and later handling modules. The appropriate combination depends on the intended application. An endpoint reader and a research workstation may share software while needing very different hardware.</w:t>
      </w:r>
    </w:p>
    <w:p>
      <w:pPr>
        <w:spacing w:before="0" w:after="50" w:line="250" w:lineRule="auto"/>
      </w:pPr>
      <w:r>
        <w:rPr>
          <w:rFonts w:ascii="Calibri" w:hAnsi="Calibri"/>
          <w:color w:val="000000"/>
          <w:sz w:val="20"/>
        </w:rPr>
        <w:t xml:space="preserve">Functional boundary: Observation</w:t>
      </w:r>
    </w:p>
    <w:p>
      <w:pPr>
        <w:spacing w:before="0" w:after="50" w:line="250" w:lineRule="auto"/>
      </w:pPr>
      <w:r>
        <w:rPr>
          <w:rFonts w:ascii="Calibri" w:hAnsi="Calibri"/>
          <w:color w:val="000000"/>
          <w:sz w:val="20"/>
        </w:rPr>
        <w:t xml:space="preserve">Design question: Which signals must be acquired, at what scale and with what traceability?</w:t>
      </w:r>
    </w:p>
    <w:p>
      <w:pPr>
        <w:spacing w:before="0" w:after="50" w:line="250" w:lineRule="auto"/>
      </w:pPr>
      <w:r>
        <w:rPr>
          <w:rFonts w:ascii="Calibri" w:hAnsi="Calibri"/>
          <w:color w:val="000000"/>
          <w:sz w:val="20"/>
        </w:rPr>
        <w:t xml:space="preserve">Functional boundary: Biological conditions</w:t>
      </w:r>
    </w:p>
    <w:p>
      <w:pPr>
        <w:spacing w:before="0" w:after="50" w:line="250" w:lineRule="auto"/>
      </w:pPr>
      <w:r>
        <w:rPr>
          <w:rFonts w:ascii="Calibri" w:hAnsi="Calibri"/>
          <w:color w:val="000000"/>
          <w:sz w:val="20"/>
        </w:rPr>
        <w:t xml:space="preserve">Design question: Which conditions are controlled, monitored or supplied by the laboratory?</w:t>
      </w:r>
    </w:p>
    <w:p>
      <w:pPr>
        <w:spacing w:before="0" w:after="50" w:line="250" w:lineRule="auto"/>
      </w:pPr>
      <w:r>
        <w:rPr>
          <w:rFonts w:ascii="Calibri" w:hAnsi="Calibri"/>
          <w:color w:val="000000"/>
          <w:sz w:val="20"/>
        </w:rPr>
        <w:t xml:space="preserve">Functional boundary: Material handling</w:t>
      </w:r>
    </w:p>
    <w:p>
      <w:pPr>
        <w:spacing w:before="0" w:after="50" w:line="250" w:lineRule="auto"/>
      </w:pPr>
      <w:r>
        <w:rPr>
          <w:rFonts w:ascii="Calibri" w:hAnsi="Calibri"/>
          <w:color w:val="000000"/>
          <w:sz w:val="20"/>
        </w:rPr>
        <w:t xml:space="preserve">Design question: Which transfers are automated and how is custody confirmed?</w:t>
      </w:r>
    </w:p>
    <w:p>
      <w:pPr>
        <w:spacing w:before="0" w:after="50" w:line="250" w:lineRule="auto"/>
      </w:pPr>
      <w:r>
        <w:rPr>
          <w:rFonts w:ascii="Calibri" w:hAnsi="Calibri"/>
          <w:color w:val="000000"/>
          <w:sz w:val="20"/>
        </w:rPr>
        <w:t xml:space="preserve">Functional boundary: Computation</w:t>
      </w:r>
    </w:p>
    <w:p>
      <w:pPr>
        <w:spacing w:before="0" w:after="50" w:line="250" w:lineRule="auto"/>
      </w:pPr>
      <w:r>
        <w:rPr>
          <w:rFonts w:ascii="Calibri" w:hAnsi="Calibri"/>
          <w:color w:val="000000"/>
          <w:sz w:val="20"/>
        </w:rPr>
        <w:t xml:space="preserve">Design question: Which functions must remain available locally and which can be remote?</w:t>
      </w:r>
    </w:p>
    <w:p>
      <w:pPr>
        <w:spacing w:before="0" w:after="50" w:line="250" w:lineRule="auto"/>
      </w:pPr>
      <w:r>
        <w:rPr>
          <w:rFonts w:ascii="Calibri" w:hAnsi="Calibri"/>
          <w:color w:val="000000"/>
          <w:sz w:val="20"/>
        </w:rPr>
        <w:t xml:space="preserve">Functional boundary: Review and service</w:t>
      </w:r>
    </w:p>
    <w:p>
      <w:pPr>
        <w:spacing w:before="0" w:after="50" w:line="250" w:lineRule="auto"/>
      </w:pPr>
      <w:r>
        <w:rPr>
          <w:rFonts w:ascii="Calibri" w:hAnsi="Calibri"/>
          <w:color w:val="000000"/>
          <w:sz w:val="20"/>
        </w:rPr>
        <w:t xml:space="preserve">Design question: How can people inspect evidence, recover from faults and maintain calibration?</w:t>
      </w:r>
    </w:p>
    <w:p>
      <w:pPr>
        <w:pStyle w:val="Heading3"/>
        <w:keepNext/>
        <w:keepLines/>
        <w:spacing w:before="240" w:after="120" w:line="269" w:lineRule="auto"/>
      </w:pPr>
      <w:r>
        <w:rPr>
          <w:color w:val="000000"/>
        </w:rPr>
        <w:t>Integration should simplify the useful workflow</w:t>
      </w:r>
    </w:p>
    <w:p>
      <w:pPr>
        <w:pStyle w:val="Normal"/>
        <w:spacing w:before="0" w:after="50" w:line="250" w:lineRule="auto"/>
        <w:rPr/>
      </w:pPr>
      <w:r>
        <w:rPr>
          <w:rFonts w:ascii="Calibri" w:hAnsi="Calibri"/>
          <w:color w:val="000000"/>
          <w:sz w:val="20"/>
        </w:rPr>
        <w:t>Combining modules may reduce handling, but it can also couple failures. A thermal disturbance may affect optics; a software update may affect scheduling; a mechanical fault may obstruct a plate needed for review. The design should therefore expose functional boundaries and preserve safe failure behaviour even when modules share a housing.</w:t>
      </w:r>
    </w:p>
    <w:p>
      <w:pPr>
        <w:pStyle w:val="Normal"/>
        <w:spacing w:before="0" w:after="50" w:line="250" w:lineRule="auto"/>
        <w:rPr/>
      </w:pPr>
      <w:r>
        <w:rPr>
          <w:rFonts w:ascii="Calibri" w:hAnsi="Calibri"/>
          <w:color w:val="000000"/>
          <w:sz w:val="20"/>
        </w:rPr>
        <w:t>The term is useful when it helps explain a coherent workflow. It becomes misleading if it suggests universal assay coverage, independence from laboratory expertise or readiness that has not been demonstrated. The product should be described through the functions it has qualified and the environment in which those functions remain reliable.</w:t>
      </w:r>
    </w:p>
    <w:p>
      <w:pPr>
        <w:pStyle w:val="Heading3"/>
        <w:keepNext/>
        <w:keepLines/>
        <w:spacing w:before="240" w:after="120" w:line="269" w:lineRule="auto"/>
      </w:pPr>
      <w:r>
        <w:rPr>
          <w:color w:val="000000"/>
        </w:rPr>
        <w:t>Lab on a chip as an assay concept</w:t>
      </w:r>
    </w:p>
    <w:p>
      <w:pPr>
        <w:pStyle w:val="Normal"/>
        <w:spacing w:before="0" w:after="50" w:line="250" w:lineRule="auto"/>
        <w:rPr/>
      </w:pPr>
      <w:r>
        <w:rPr>
          <w:rFonts w:ascii="Calibri" w:hAnsi="Calibri"/>
          <w:color w:val="000000"/>
          <w:sz w:val="20"/>
        </w:rPr>
        <w:t>“</w:t>
      </w:r>
      <w:r>
        <w:rPr>
          <w:rFonts w:ascii="Calibri" w:hAnsi="Calibri"/>
          <w:color w:val="000000"/>
          <w:sz w:val="20"/>
        </w:rPr>
        <w:t>Lab on a chip” refers to miniaturized fluidic or analytical structures that perform selected laboratory operations. Such devices can position small samples near sensors, reduce reagent volumes or support parallel observations. Their suitability depends on the assay and on the complete path from sample preparation to interpretable output.</w:t>
      </w:r>
    </w:p>
    <w:p>
      <w:pPr>
        <w:pStyle w:val="Heading3"/>
        <w:keepNext/>
        <w:keepLines/>
        <w:spacing w:before="240" w:after="120" w:line="269" w:lineRule="auto"/>
      </w:pPr>
      <w:r>
        <w:rPr>
          <w:color w:val="000000"/>
        </w:rPr>
        <w:t>Miniaturization changes the measurement problem</w:t>
      </w:r>
    </w:p>
    <w:p>
      <w:pPr>
        <w:pStyle w:val="Normal"/>
        <w:spacing w:before="0" w:after="50" w:line="250" w:lineRule="auto"/>
        <w:rPr/>
      </w:pPr>
      <w:r>
        <w:rPr>
          <w:rFonts w:ascii="Calibri" w:hAnsi="Calibri"/>
          <w:color w:val="000000"/>
          <w:sz w:val="20"/>
        </w:rPr>
        <w:t>At small scales, surface interactions, fluidic resistance, bubbles, evaporation and cell positioning can become central sources of variation. A chip that produces a useful signal in a research study may still require substantial work on sample compatibility, manufacturing consistency, storage and operator handling.</w:t>
      </w:r>
    </w:p>
    <w:p>
      <w:pPr>
        <w:pStyle w:val="Normal"/>
        <w:spacing w:before="0" w:after="50" w:line="250" w:lineRule="auto"/>
        <w:rPr/>
      </w:pPr>
      <w:r>
        <w:rPr>
          <w:rFonts w:ascii="Calibri" w:hAnsi="Calibri"/>
          <w:color w:val="000000"/>
          <w:sz w:val="20"/>
        </w:rPr>
        <w:t xml:space="preserve">Published microfluidic single-cell imaging and impedance studies provide examples of rapid phenotypic research approaches. Their timing and performance belong to their particular methods and tested samples. They do not establish that a conventional plate reader can provide the same result.  </w:t>
      </w:r>
    </w:p>
    <w:p>
      <w:pPr>
        <w:spacing w:before="0" w:after="50" w:line="250" w:lineRule="auto"/>
      </w:pPr>
      <w:r>
        <w:rPr>
          <w:rFonts w:ascii="Calibri" w:hAnsi="Calibri"/>
          <w:color w:val="000000"/>
          <w:sz w:val="20"/>
        </w:rPr>
        <w:t xml:space="preserve">Chip-level advantage to investigate: Small sample volumes</w:t>
      </w:r>
    </w:p>
    <w:p>
      <w:pPr>
        <w:spacing w:before="0" w:after="50" w:line="250" w:lineRule="auto"/>
      </w:pPr>
      <w:r>
        <w:rPr>
          <w:rFonts w:ascii="Calibri" w:hAnsi="Calibri"/>
          <w:color w:val="000000"/>
          <w:sz w:val="20"/>
        </w:rPr>
        <w:t xml:space="preserve">Corresponding development burden: Accurate delivery, losses to surfaces and representative sampling.</w:t>
      </w:r>
    </w:p>
    <w:p>
      <w:pPr>
        <w:spacing w:before="0" w:after="50" w:line="250" w:lineRule="auto"/>
      </w:pPr>
      <w:r>
        <w:rPr>
          <w:rFonts w:ascii="Calibri" w:hAnsi="Calibri"/>
          <w:color w:val="000000"/>
          <w:sz w:val="20"/>
        </w:rPr>
        <w:t xml:space="preserve">Chip-level advantage to investigate: Close sensor coupling</w:t>
      </w:r>
    </w:p>
    <w:p>
      <w:pPr>
        <w:spacing w:before="0" w:after="50" w:line="250" w:lineRule="auto"/>
      </w:pPr>
      <w:r>
        <w:rPr>
          <w:rFonts w:ascii="Calibri" w:hAnsi="Calibri"/>
          <w:color w:val="000000"/>
          <w:sz w:val="20"/>
        </w:rPr>
        <w:t xml:space="preserve">Corresponding development burden: Electrode or optical stability and assay compatibility.</w:t>
      </w:r>
    </w:p>
    <w:p>
      <w:pPr>
        <w:spacing w:before="0" w:after="50" w:line="250" w:lineRule="auto"/>
      </w:pPr>
      <w:r>
        <w:rPr>
          <w:rFonts w:ascii="Calibri" w:hAnsi="Calibri"/>
          <w:color w:val="000000"/>
          <w:sz w:val="20"/>
        </w:rPr>
        <w:t xml:space="preserve">Chip-level advantage to investigate: Parallel test regions</w:t>
      </w:r>
    </w:p>
    <w:p>
      <w:pPr>
        <w:spacing w:before="0" w:after="50" w:line="250" w:lineRule="auto"/>
      </w:pPr>
      <w:r>
        <w:rPr>
          <w:rFonts w:ascii="Calibri" w:hAnsi="Calibri"/>
          <w:color w:val="000000"/>
          <w:sz w:val="20"/>
        </w:rPr>
        <w:t xml:space="preserve">Corresponding development burden: Uniform exposure conditions and channel-to-channel comparability.</w:t>
      </w:r>
    </w:p>
    <w:p>
      <w:pPr>
        <w:spacing w:before="0" w:after="50" w:line="250" w:lineRule="auto"/>
      </w:pPr>
      <w:r>
        <w:rPr>
          <w:rFonts w:ascii="Calibri" w:hAnsi="Calibri"/>
          <w:color w:val="000000"/>
          <w:sz w:val="20"/>
        </w:rPr>
        <w:t xml:space="preserve">Chip-level advantage to investigate: Rapid observation</w:t>
      </w:r>
    </w:p>
    <w:p>
      <w:pPr>
        <w:spacing w:before="0" w:after="50" w:line="250" w:lineRule="auto"/>
      </w:pPr>
      <w:r>
        <w:rPr>
          <w:rFonts w:ascii="Calibri" w:hAnsi="Calibri"/>
          <w:color w:val="000000"/>
          <w:sz w:val="20"/>
        </w:rPr>
        <w:t xml:space="preserve">Corresponding development burden: A validated relationship between the early signal and the intended result.</w:t>
      </w:r>
    </w:p>
    <w:p>
      <w:pPr>
        <w:spacing w:before="0" w:after="50" w:line="250" w:lineRule="auto"/>
      </w:pPr>
      <w:r>
        <w:rPr>
          <w:rFonts w:ascii="Calibri" w:hAnsi="Calibri"/>
          <w:color w:val="000000"/>
          <w:sz w:val="20"/>
        </w:rPr>
        <w:t xml:space="preserve">Chip-level advantage to investigate: Disposable formats</w:t>
      </w:r>
    </w:p>
    <w:p>
      <w:pPr>
        <w:spacing w:before="0" w:after="50" w:line="250" w:lineRule="auto"/>
      </w:pPr>
      <w:r>
        <w:rPr>
          <w:rFonts w:ascii="Calibri" w:hAnsi="Calibri"/>
          <w:color w:val="000000"/>
          <w:sz w:val="20"/>
        </w:rPr>
        <w:t xml:space="preserve">Corresponding development burden: Manufacturing variation, shelf life and waste handling.</w:t>
      </w:r>
    </w:p>
    <w:p>
      <w:pPr>
        <w:pStyle w:val="Heading3"/>
        <w:keepNext/>
        <w:keepLines/>
        <w:spacing w:before="240" w:after="120" w:line="269" w:lineRule="auto"/>
      </w:pPr>
      <w:r>
        <w:rPr>
          <w:color w:val="000000"/>
        </w:rPr>
        <w:t>A separate product track</w:t>
      </w:r>
    </w:p>
    <w:p>
      <w:pPr>
        <w:pStyle w:val="Normal"/>
        <w:spacing w:before="0" w:after="50" w:line="250" w:lineRule="auto"/>
        <w:rPr/>
      </w:pPr>
      <w:r>
        <w:rPr>
          <w:rFonts w:ascii="Calibri" w:hAnsi="Calibri"/>
          <w:color w:val="000000"/>
          <w:sz w:val="20"/>
        </w:rPr>
        <w:t>A chip-based assay could become a complementary research or product family. It should have its own intended use, consumable specification, reader interface and validation programme. Shared PIMS records can preserve provenance across formats, but the software should not collapse chip results and disk diffusion measurements into an interchangeable quantity.</w:t>
      </w:r>
    </w:p>
    <w:p>
      <w:pPr>
        <w:pStyle w:val="Normal"/>
        <w:spacing w:before="0" w:after="50" w:line="250" w:lineRule="auto"/>
        <w:rPr/>
      </w:pPr>
      <w:r>
        <w:rPr>
          <w:rFonts w:ascii="Calibri" w:hAnsi="Calibri"/>
          <w:color w:val="000000"/>
          <w:sz w:val="20"/>
        </w:rPr>
        <w:t>The near-term question is whether a particular miniaturized format solves a defined assay limitation better than a simpler alternative. The terminology should describe that mechanism, not function as a general promise of speed or precision.</w:t>
      </w:r>
    </w:p>
    <w:p>
      <w:pPr>
        <w:pStyle w:val="Heading3"/>
        <w:keepNext/>
        <w:keepLines/>
        <w:spacing w:before="240" w:after="120" w:line="269" w:lineRule="auto"/>
      </w:pPr>
      <w:r>
        <w:rPr>
          <w:color w:val="000000"/>
        </w:rPr>
        <w:t>Portfolio dependencies and sequencing</w:t>
      </w:r>
    </w:p>
    <w:p>
      <w:pPr>
        <w:pStyle w:val="Normal"/>
        <w:spacing w:before="0" w:after="50" w:line="250" w:lineRule="auto"/>
        <w:rPr/>
      </w:pPr>
      <w:r>
        <w:rPr>
          <w:rFonts w:ascii="Calibri" w:hAnsi="Calibri"/>
          <w:color w:val="000000"/>
          <w:sz w:val="20"/>
        </w:rPr>
        <w:t>The portfolio should advance through dependencies that can be tested. Shared infrastructure can reduce duplicated work, but evidence should transfer only where the relevant assumptions remain valid. A stable plate identity model may support several product families; an optical calibration for one camera arrangement usually does not.</w:t>
      </w:r>
    </w:p>
    <w:p>
      <w:pPr>
        <w:pStyle w:val="Heading3"/>
        <w:keepNext/>
        <w:keepLines/>
        <w:spacing w:before="240" w:after="120" w:line="269" w:lineRule="auto"/>
      </w:pPr>
      <w:r>
        <w:rPr>
          <w:color w:val="000000"/>
        </w:rPr>
        <w:t>Proposed dependency sequence</w:t>
      </w:r>
    </w:p>
    <w:p>
      <w:pPr>
        <w:pStyle w:val="Normal"/>
        <w:spacing w:before="0" w:after="50" w:line="250" w:lineRule="auto"/>
        <w:rPr/>
      </w:pPr>
      <w:r>
        <w:rPr>
          <w:rFonts w:ascii="Calibri" w:hAnsi="Calibri"/>
          <w:color w:val="000000"/>
          <w:sz w:val="20"/>
        </w:rPr>
        <w:t>First establish reliable acquisition, spatial calibration and record lineage. Then evaluate endpoint measurement and human review. Add laboratory interfaces and service processes around the qualified workflow. Investigate time-series capture and additional modalities when a specific research question requires them. Integrated handling, predictive models and custom hardware should follow their own feasibility evidence.</w:t>
      </w:r>
    </w:p>
    <w:p>
      <w:pPr>
        <w:spacing w:before="0" w:after="50" w:line="250" w:lineRule="auto"/>
      </w:pPr>
      <w:r>
        <w:rPr>
          <w:rFonts w:ascii="Calibri" w:hAnsi="Calibri"/>
          <w:color w:val="000000"/>
          <w:sz w:val="20"/>
        </w:rPr>
        <w:t xml:space="preserve">Shared element: Identity and audit model</w:t>
      </w:r>
    </w:p>
    <w:p>
      <w:pPr>
        <w:spacing w:before="0" w:after="50" w:line="250" w:lineRule="auto"/>
      </w:pPr>
      <w:r>
        <w:rPr>
          <w:rFonts w:ascii="Calibri" w:hAnsi="Calibri"/>
          <w:color w:val="000000"/>
          <w:sz w:val="20"/>
        </w:rPr>
        <w:t xml:space="preserve">Potential reuse: Across readers and research instruments</w:t>
      </w:r>
    </w:p>
    <w:p>
      <w:pPr>
        <w:spacing w:before="0" w:after="50" w:line="250" w:lineRule="auto"/>
      </w:pPr>
      <w:r>
        <w:rPr>
          <w:rFonts w:ascii="Calibri" w:hAnsi="Calibri"/>
          <w:color w:val="000000"/>
          <w:sz w:val="20"/>
        </w:rPr>
        <w:t xml:space="preserve">Reassessment needed: New custody events and data classes</w:t>
      </w:r>
    </w:p>
    <w:p>
      <w:pPr>
        <w:spacing w:before="0" w:after="50" w:line="250" w:lineRule="auto"/>
      </w:pPr>
      <w:r>
        <w:rPr>
          <w:rFonts w:ascii="Calibri" w:hAnsi="Calibri"/>
          <w:color w:val="000000"/>
          <w:sz w:val="20"/>
        </w:rPr>
        <w:t xml:space="preserve">Shared element: User access model</w:t>
      </w:r>
    </w:p>
    <w:p>
      <w:pPr>
        <w:spacing w:before="0" w:after="50" w:line="250" w:lineRule="auto"/>
      </w:pPr>
      <w:r>
        <w:rPr>
          <w:rFonts w:ascii="Calibri" w:hAnsi="Calibri"/>
          <w:color w:val="000000"/>
          <w:sz w:val="20"/>
        </w:rPr>
        <w:t xml:space="preserve">Potential reuse: Across software products</w:t>
      </w:r>
    </w:p>
    <w:p>
      <w:pPr>
        <w:spacing w:before="0" w:after="50" w:line="250" w:lineRule="auto"/>
      </w:pPr>
      <w:r>
        <w:rPr>
          <w:rFonts w:ascii="Calibri" w:hAnsi="Calibri"/>
          <w:color w:val="000000"/>
          <w:sz w:val="20"/>
        </w:rPr>
        <w:t xml:space="preserve">Reassessment needed: New roles, remote actions and sensitive data</w:t>
      </w:r>
    </w:p>
    <w:p>
      <w:pPr>
        <w:spacing w:before="0" w:after="50" w:line="250" w:lineRule="auto"/>
      </w:pPr>
      <w:r>
        <w:rPr>
          <w:rFonts w:ascii="Calibri" w:hAnsi="Calibri"/>
          <w:color w:val="000000"/>
          <w:sz w:val="20"/>
        </w:rPr>
        <w:t xml:space="preserve">Shared element: Capture pipeline</w:t>
      </w:r>
    </w:p>
    <w:p>
      <w:pPr>
        <w:spacing w:before="0" w:after="50" w:line="250" w:lineRule="auto"/>
      </w:pPr>
      <w:r>
        <w:rPr>
          <w:rFonts w:ascii="Calibri" w:hAnsi="Calibri"/>
          <w:color w:val="000000"/>
          <w:sz w:val="20"/>
        </w:rPr>
        <w:t xml:space="preserve">Potential reuse: Across related optical configurations</w:t>
      </w:r>
    </w:p>
    <w:p>
      <w:pPr>
        <w:spacing w:before="0" w:after="50" w:line="250" w:lineRule="auto"/>
      </w:pPr>
      <w:r>
        <w:rPr>
          <w:rFonts w:ascii="Calibri" w:hAnsi="Calibri"/>
          <w:color w:val="000000"/>
          <w:sz w:val="20"/>
        </w:rPr>
        <w:t xml:space="preserve">Reassessment needed: Sensor, lens, processing and timing changes</w:t>
      </w:r>
    </w:p>
    <w:p>
      <w:pPr>
        <w:spacing w:before="0" w:after="50" w:line="250" w:lineRule="auto"/>
      </w:pPr>
      <w:r>
        <w:rPr>
          <w:rFonts w:ascii="Calibri" w:hAnsi="Calibri"/>
          <w:color w:val="000000"/>
          <w:sz w:val="20"/>
        </w:rPr>
        <w:t xml:space="preserve">Shared element: Measurement algorithm</w:t>
      </w:r>
    </w:p>
    <w:p>
      <w:pPr>
        <w:spacing w:before="0" w:after="50" w:line="250" w:lineRule="auto"/>
      </w:pPr>
      <w:r>
        <w:rPr>
          <w:rFonts w:ascii="Calibri" w:hAnsi="Calibri"/>
          <w:color w:val="000000"/>
          <w:sz w:val="20"/>
        </w:rPr>
        <w:t xml:space="preserve">Potential reuse: Within a declared image domain</w:t>
      </w:r>
    </w:p>
    <w:p>
      <w:pPr>
        <w:spacing w:before="0" w:after="50" w:line="250" w:lineRule="auto"/>
      </w:pPr>
      <w:r>
        <w:rPr>
          <w:rFonts w:ascii="Calibri" w:hAnsi="Calibri"/>
          <w:color w:val="000000"/>
          <w:sz w:val="20"/>
        </w:rPr>
        <w:t xml:space="preserve">Reassessment needed: New media, geometry or appearance distributions</w:t>
      </w:r>
    </w:p>
    <w:p>
      <w:pPr>
        <w:spacing w:before="0" w:after="50" w:line="250" w:lineRule="auto"/>
      </w:pPr>
      <w:r>
        <w:rPr>
          <w:rFonts w:ascii="Calibri" w:hAnsi="Calibri"/>
          <w:color w:val="000000"/>
          <w:sz w:val="20"/>
        </w:rPr>
        <w:t xml:space="preserve">Shared element: Standards engine</w:t>
      </w:r>
    </w:p>
    <w:p>
      <w:pPr>
        <w:spacing w:before="0" w:after="50" w:line="250" w:lineRule="auto"/>
      </w:pPr>
      <w:r>
        <w:rPr>
          <w:rFonts w:ascii="Calibri" w:hAnsi="Calibri"/>
          <w:color w:val="000000"/>
          <w:sz w:val="20"/>
        </w:rPr>
        <w:t xml:space="preserve">Potential reuse: Across eligible measurement sources</w:t>
      </w:r>
    </w:p>
    <w:p>
      <w:pPr>
        <w:spacing w:before="0" w:after="50" w:line="250" w:lineRule="auto"/>
      </w:pPr>
      <w:r>
        <w:rPr>
          <w:rFonts w:ascii="Calibri" w:hAnsi="Calibri"/>
          <w:color w:val="000000"/>
          <w:sz w:val="20"/>
        </w:rPr>
        <w:t xml:space="preserve">Reassessment needed: Method compatibility and source-specific verification</w:t>
      </w:r>
    </w:p>
    <w:p>
      <w:pPr>
        <w:pStyle w:val="Heading3"/>
        <w:keepNext/>
        <w:keepLines/>
        <w:spacing w:before="240" w:after="120" w:line="269" w:lineRule="auto"/>
      </w:pPr>
      <w:r>
        <w:rPr>
          <w:color w:val="000000"/>
        </w:rPr>
        <w:t>Preserve optionality through interfaces</w:t>
      </w:r>
    </w:p>
    <w:p>
      <w:pPr>
        <w:pStyle w:val="Normal"/>
        <w:spacing w:before="0" w:after="50" w:line="250" w:lineRule="auto"/>
        <w:rPr/>
      </w:pPr>
      <w:r>
        <w:rPr>
          <w:rFonts w:ascii="Calibri" w:hAnsi="Calibri"/>
          <w:color w:val="000000"/>
          <w:sz w:val="20"/>
        </w:rPr>
        <w:t>The platform should avoid making an early enclosure, processor or model version a permanent conceptual boundary. Stable interfaces allow alternative components to be evaluated against the same requirements. Optionality is useful when it enables a better verified design, rather than delaying all decisions indefinitely.</w:t>
      </w:r>
    </w:p>
    <w:p>
      <w:pPr>
        <w:pStyle w:val="Normal"/>
        <w:spacing w:before="0" w:after="50" w:line="250" w:lineRule="auto"/>
        <w:rPr/>
      </w:pPr>
      <w:r>
        <w:rPr>
          <w:rFonts w:ascii="Calibri" w:hAnsi="Calibri"/>
          <w:color w:val="000000"/>
          <w:sz w:val="20"/>
        </w:rPr>
        <w:t>Portfolio reviews should ask which uncertainty the next stage resolves and which future choices it enables. A module that adds complexity without answering an important question should be deferred. This approach allows ambitious research to proceed while the first product remains focused enough to evaluate thoroughly.</w:t>
      </w:r>
    </w:p>
    <w:p>
      <w:pPr>
        <w:pStyle w:val="Heading3"/>
        <w:keepNext/>
        <w:keepLines/>
        <w:spacing w:before="240" w:after="120" w:line="269" w:lineRule="auto"/>
      </w:pPr>
      <w:r>
        <w:rPr>
          <w:color w:val="000000"/>
        </w:rPr>
        <w:t>How a proposed capability becomes a product</w:t>
      </w:r>
    </w:p>
    <w:p>
      <w:pPr>
        <w:pStyle w:val="Normal"/>
        <w:spacing w:before="0" w:after="50" w:line="250" w:lineRule="auto"/>
        <w:rPr/>
      </w:pPr>
      <w:r>
        <w:rPr>
          <w:rFonts w:ascii="Calibri" w:hAnsi="Calibri"/>
          <w:color w:val="000000"/>
          <w:sz w:val="20"/>
        </w:rPr>
        <w:t>A proposed capability becomes a product when its purpose, configuration, performance limits and support responsibilities are sufficiently defined and evidenced for the intended use. A functioning demonstration is an important step, but it is not the final criterion.</w:t>
      </w:r>
    </w:p>
    <w:p>
      <w:pPr>
        <w:pStyle w:val="Heading3"/>
        <w:keepNext/>
        <w:keepLines/>
        <w:spacing w:before="240" w:after="120" w:line="269" w:lineRule="auto"/>
      </w:pPr>
      <w:r>
        <w:rPr>
          <w:color w:val="000000"/>
        </w:rPr>
        <w:t>A capability transition</w:t>
      </w:r>
    </w:p>
    <w:p>
      <w:pPr>
        <w:pStyle w:val="Normal"/>
        <w:spacing w:before="0" w:after="50" w:line="250" w:lineRule="auto"/>
        <w:rPr/>
      </w:pPr>
      <w:r>
        <w:rPr>
          <w:rFonts w:ascii="Calibri" w:hAnsi="Calibri"/>
          <w:color w:val="000000"/>
          <w:sz w:val="20"/>
        </w:rPr>
        <w:t>Consider a proposed condensation detector. It begins as a hypothesis that image features can identify a condition that compromises reading. Development needs representative examples, a conventional baseline and a definition of the condition that should trigger action. Evaluation must then determine whether the detector catches relevant failures without unnecessarily rejecting useful observations. The interface must communicate the finding and support an appropriate recovery action.</w:t>
      </w:r>
    </w:p>
    <w:p>
      <w:pPr>
        <w:pStyle w:val="Normal"/>
        <w:spacing w:before="0" w:after="50" w:line="250" w:lineRule="auto"/>
        <w:rPr/>
      </w:pPr>
      <w:r>
        <w:rPr>
          <w:rFonts w:ascii="Calibri" w:hAnsi="Calibri"/>
          <w:color w:val="000000"/>
          <w:sz w:val="20"/>
        </w:rPr>
        <w:t>The same logic applies to a sensor, an AI model or an integration adapter: define what failure means, measure performance in the intended context and make the resulting limitation operationally manageable.</w:t>
      </w:r>
    </w:p>
    <w:p>
      <w:pPr>
        <w:spacing w:before="0" w:after="50" w:line="250" w:lineRule="auto"/>
      </w:pPr>
      <w:r>
        <w:rPr>
          <w:rFonts w:ascii="Calibri" w:hAnsi="Calibri"/>
          <w:color w:val="000000"/>
          <w:sz w:val="20"/>
        </w:rPr>
        <w:t xml:space="preserve">Transition: Idea to feasibility</w:t>
      </w:r>
    </w:p>
    <w:p>
      <w:pPr>
        <w:spacing w:before="0" w:after="50" w:line="250" w:lineRule="auto"/>
      </w:pPr>
      <w:r>
        <w:rPr>
          <w:rFonts w:ascii="Calibri" w:hAnsi="Calibri"/>
          <w:color w:val="000000"/>
          <w:sz w:val="20"/>
        </w:rPr>
        <w:t xml:space="preserve">Evidence expected: A measurable signal or behaviour linked to a useful question.</w:t>
      </w:r>
    </w:p>
    <w:p>
      <w:pPr>
        <w:spacing w:before="0" w:after="50" w:line="250" w:lineRule="auto"/>
      </w:pPr>
      <w:r>
        <w:rPr>
          <w:rFonts w:ascii="Calibri" w:hAnsi="Calibri"/>
          <w:color w:val="000000"/>
          <w:sz w:val="20"/>
        </w:rPr>
        <w:t xml:space="preserve">Transition: Feasibility to engineering</w:t>
      </w:r>
    </w:p>
    <w:p>
      <w:pPr>
        <w:spacing w:before="0" w:after="50" w:line="250" w:lineRule="auto"/>
      </w:pPr>
      <w:r>
        <w:rPr>
          <w:rFonts w:ascii="Calibri" w:hAnsi="Calibri"/>
          <w:color w:val="000000"/>
          <w:sz w:val="20"/>
        </w:rPr>
        <w:t xml:space="preserve">Evidence expected: Defined interfaces, operating range and reproducible implementation.</w:t>
      </w:r>
    </w:p>
    <w:p>
      <w:pPr>
        <w:spacing w:before="0" w:after="50" w:line="250" w:lineRule="auto"/>
      </w:pPr>
      <w:r>
        <w:rPr>
          <w:rFonts w:ascii="Calibri" w:hAnsi="Calibri"/>
          <w:color w:val="000000"/>
          <w:sz w:val="20"/>
        </w:rPr>
        <w:t xml:space="preserve">Transition: Engineering to evaluation</w:t>
      </w:r>
    </w:p>
    <w:p>
      <w:pPr>
        <w:spacing w:before="0" w:after="50" w:line="250" w:lineRule="auto"/>
      </w:pPr>
      <w:r>
        <w:rPr>
          <w:rFonts w:ascii="Calibri" w:hAnsi="Calibri"/>
          <w:color w:val="000000"/>
          <w:sz w:val="20"/>
        </w:rPr>
        <w:t xml:space="preserve">Evidence expected: Controlled configuration and prespecified assessment methods.</w:t>
      </w:r>
    </w:p>
    <w:p>
      <w:pPr>
        <w:spacing w:before="0" w:after="50" w:line="250" w:lineRule="auto"/>
      </w:pPr>
      <w:r>
        <w:rPr>
          <w:rFonts w:ascii="Calibri" w:hAnsi="Calibri"/>
          <w:color w:val="000000"/>
          <w:sz w:val="20"/>
        </w:rPr>
        <w:t xml:space="preserve">Transition: Evaluation to deployment</w:t>
      </w:r>
    </w:p>
    <w:p>
      <w:pPr>
        <w:spacing w:before="0" w:after="50" w:line="250" w:lineRule="auto"/>
      </w:pPr>
      <w:r>
        <w:rPr>
          <w:rFonts w:ascii="Calibri" w:hAnsi="Calibri"/>
          <w:color w:val="000000"/>
          <w:sz w:val="20"/>
        </w:rPr>
        <w:t xml:space="preserve">Evidence expected: Acceptable evidence, user information, support and applicable authorization.</w:t>
      </w:r>
    </w:p>
    <w:p>
      <w:pPr>
        <w:spacing w:before="0" w:after="50" w:line="250" w:lineRule="auto"/>
      </w:pPr>
      <w:r>
        <w:rPr>
          <w:rFonts w:ascii="Calibri" w:hAnsi="Calibri"/>
          <w:color w:val="000000"/>
          <w:sz w:val="20"/>
        </w:rPr>
        <w:t xml:space="preserve">Transition: Deployment to sustained product</w:t>
      </w:r>
    </w:p>
    <w:p>
      <w:pPr>
        <w:spacing w:before="0" w:after="50" w:line="250" w:lineRule="auto"/>
      </w:pPr>
      <w:r>
        <w:rPr>
          <w:rFonts w:ascii="Calibri" w:hAnsi="Calibri"/>
          <w:color w:val="000000"/>
          <w:sz w:val="20"/>
        </w:rPr>
        <w:t xml:space="preserve">Evidence expected: Monitoring, correction, maintenance and controlled change.</w:t>
      </w:r>
    </w:p>
    <w:p>
      <w:pPr>
        <w:pStyle w:val="Heading3"/>
        <w:keepNext/>
        <w:keepLines/>
        <w:spacing w:before="240" w:after="120" w:line="269" w:lineRule="auto"/>
      </w:pPr>
      <w:r>
        <w:rPr>
          <w:color w:val="000000"/>
        </w:rPr>
        <w:t>A disciplined claim boundary</w:t>
      </w:r>
    </w:p>
    <w:p>
      <w:pPr>
        <w:pStyle w:val="Normal"/>
        <w:spacing w:before="0" w:after="50" w:line="250" w:lineRule="auto"/>
        <w:rPr/>
      </w:pPr>
      <w:r>
        <w:rPr>
          <w:rFonts w:ascii="Calibri" w:hAnsi="Calibri"/>
          <w:color w:val="000000"/>
          <w:sz w:val="20"/>
        </w:rPr>
        <w:t>The claim should describe the function and conditions actually evaluated. A detector that identifies one type of artifact does not establish universal image quality. An algorithm that performs well at one site does not establish transferability. A sensor that agrees with another sensor does not prove both are correct.</w:t>
      </w:r>
    </w:p>
    <w:p>
      <w:pPr>
        <w:pStyle w:val="Normal"/>
        <w:spacing w:before="0" w:after="50" w:line="250" w:lineRule="auto"/>
        <w:rPr/>
      </w:pPr>
      <w:r>
        <w:rPr>
          <w:rFonts w:ascii="Calibri" w:hAnsi="Calibri"/>
          <w:color w:val="000000"/>
          <w:sz w:val="20"/>
        </w:rPr>
        <w:t>Product development therefore includes the ability to say when the function cannot support the requested decision. Explicit limitations, abstention and recovery are part of the product design, not merely qualifications added after the technology has been built.</w:t>
      </w:r>
    </w:p>
    <w:p>
      <w:pPr>
        <w:pStyle w:val="Heading1"/>
        <w:keepNext/>
        <w:keepLines/>
        <w:pageBreakBefore w:val="0"/>
      </w:pPr>
      <w:bookmarkStart w:id="200002" w:name="P1_chapter_3"/>
      <w:r>
        <w:rPr>
          <w:color w:val="000000"/>
        </w:rPr>
        <w:t>Intended applications and expansion boundaries</w:t>
      </w:r>
      <w:bookmarkStart w:id="95005" w:name="product_6"/>
      <w:bookmarkEnd w:id="95005"/>
      <w:bookmarkEnd w:id="200002"/>
    </w:p>
    <w:p>
      <w:pPr>
        <w:pStyle w:val="Heading3"/>
        <w:keepNext/>
        <w:keepLines/>
        <w:spacing w:before="240" w:after="120" w:line="269" w:lineRule="auto"/>
      </w:pPr>
      <w:r>
        <w:rPr>
          <w:color w:val="000000"/>
        </w:rPr>
        <w:t>Applications and intended use boundaries</w:t>
      </w:r>
    </w:p>
    <w:p>
      <w:pPr>
        <w:pStyle w:val="Normal"/>
        <w:keepNext/>
        <w:spacing w:before="0" w:after="50" w:line="250" w:lineRule="auto"/>
        <w:rPr/>
      </w:pPr>
      <w:r>
        <w:rPr>
          <w:rFonts w:ascii="Calibri" w:hAnsi="Calibri"/>
          <w:b/>
          <w:color w:val="000000"/>
          <w:sz w:val="20"/>
        </w:rPr>
        <w:t>Each application needs its own intended use</w:t>
      </w:r>
    </w:p>
    <w:p>
      <w:pPr>
        <w:pStyle w:val="Normal"/>
        <w:spacing w:before="0" w:after="50" w:line="250" w:lineRule="auto"/>
        <w:rPr/>
      </w:pPr>
      <w:r>
        <w:rPr>
          <w:rFonts w:ascii="Calibri" w:hAnsi="Calibri"/>
          <w:color w:val="000000"/>
          <w:sz w:val="20"/>
        </w:rPr>
        <w:t>AMReye.AI is conceived as a platform with several product and research families. Shared imaging, data and service infrastructure can support different applications, but a common platform does not make their evidence interchangeable. The intended use should state the user, specimen or material, method, output and decision supported.</w:t>
      </w:r>
    </w:p>
    <w:p>
      <w:pPr>
        <w:pStyle w:val="Heading3"/>
        <w:keepNext/>
        <w:keepLines/>
        <w:spacing w:before="240" w:after="120" w:line="269" w:lineRule="auto"/>
      </w:pPr>
      <w:r>
        <w:rPr>
          <w:color w:val="000000"/>
        </w:rPr>
        <w:t>Organize applications by the evidence transition</w:t>
      </w:r>
    </w:p>
    <w:p>
      <w:pPr>
        <w:pStyle w:val="Normal"/>
        <w:spacing w:before="0" w:after="50" w:line="250" w:lineRule="auto"/>
        <w:rPr/>
      </w:pPr>
      <w:r>
        <w:rPr>
          <w:rFonts w:ascii="Calibri" w:hAnsi="Calibri"/>
          <w:color w:val="000000"/>
          <w:sz w:val="20"/>
        </w:rPr>
        <w:t>Endpoint reading begins with a prepared, incubated plate and seeks a traceable measurement within an established workflow. Direct-from-specimen testing changes preparation and biological interpretation. A research observation system may investigate growth patterns without producing a clinical result. Each transition changes the study design and risk assessment.</w:t>
      </w:r>
    </w:p>
    <w:p>
      <w:pPr>
        <w:spacing w:before="0" w:after="50" w:line="250" w:lineRule="auto"/>
      </w:pPr>
      <w:r>
        <w:rPr>
          <w:rFonts w:ascii="Calibri" w:hAnsi="Calibri"/>
          <w:color w:val="000000"/>
          <w:sz w:val="20"/>
        </w:rPr>
        <w:t xml:space="preserve">Application class: Endpoint reader</w:t>
      </w:r>
    </w:p>
    <w:p>
      <w:pPr>
        <w:spacing w:before="0" w:after="50" w:line="250" w:lineRule="auto"/>
      </w:pPr>
      <w:r>
        <w:rPr>
          <w:rFonts w:ascii="Calibri" w:hAnsi="Calibri"/>
          <w:color w:val="000000"/>
          <w:sz w:val="20"/>
        </w:rPr>
        <w:t xml:space="preserve">Proposed contribution: Calibrated imaging, measurement and review</w:t>
      </w:r>
    </w:p>
    <w:p>
      <w:pPr>
        <w:spacing w:before="0" w:after="50" w:line="250" w:lineRule="auto"/>
      </w:pPr>
      <w:r>
        <w:rPr>
          <w:rFonts w:ascii="Calibri" w:hAnsi="Calibri"/>
          <w:color w:val="000000"/>
          <w:sz w:val="20"/>
        </w:rPr>
        <w:t xml:space="preserve">Principal evidence boundary: Agreement within a specified method and domain.</w:t>
      </w:r>
    </w:p>
    <w:p>
      <w:pPr>
        <w:spacing w:before="0" w:after="50" w:line="250" w:lineRule="auto"/>
      </w:pPr>
      <w:r>
        <w:rPr>
          <w:rFonts w:ascii="Calibri" w:hAnsi="Calibri"/>
          <w:color w:val="000000"/>
          <w:sz w:val="20"/>
        </w:rPr>
        <w:t xml:space="preserve">Application class: Temporal research</w:t>
      </w:r>
    </w:p>
    <w:p>
      <w:pPr>
        <w:spacing w:before="0" w:after="50" w:line="250" w:lineRule="auto"/>
      </w:pPr>
      <w:r>
        <w:rPr>
          <w:rFonts w:ascii="Calibri" w:hAnsi="Calibri"/>
          <w:color w:val="000000"/>
          <w:sz w:val="20"/>
        </w:rPr>
        <w:t xml:space="preserve">Proposed contribution: Repeated observations and growth features</w:t>
      </w:r>
    </w:p>
    <w:p>
      <w:pPr>
        <w:spacing w:before="0" w:after="50" w:line="250" w:lineRule="auto"/>
      </w:pPr>
      <w:r>
        <w:rPr>
          <w:rFonts w:ascii="Calibri" w:hAnsi="Calibri"/>
          <w:color w:val="000000"/>
          <w:sz w:val="20"/>
        </w:rPr>
        <w:t xml:space="preserve">Principal evidence boundary: Validity of the measured or predicted quantity.</w:t>
      </w:r>
    </w:p>
    <w:p>
      <w:pPr>
        <w:spacing w:before="0" w:after="50" w:line="250" w:lineRule="auto"/>
      </w:pPr>
      <w:r>
        <w:rPr>
          <w:rFonts w:ascii="Calibri" w:hAnsi="Calibri"/>
          <w:color w:val="000000"/>
          <w:sz w:val="20"/>
        </w:rPr>
        <w:t xml:space="preserve">Application class: Integrated instrument</w:t>
      </w:r>
    </w:p>
    <w:p>
      <w:pPr>
        <w:spacing w:before="0" w:after="50" w:line="250" w:lineRule="auto"/>
      </w:pPr>
      <w:r>
        <w:rPr>
          <w:rFonts w:ascii="Calibri" w:hAnsi="Calibri"/>
          <w:color w:val="000000"/>
          <w:sz w:val="20"/>
        </w:rPr>
        <w:t xml:space="preserve">Proposed contribution: Coordinated handling and observation</w:t>
      </w:r>
    </w:p>
    <w:p>
      <w:pPr>
        <w:spacing w:before="0" w:after="50" w:line="250" w:lineRule="auto"/>
      </w:pPr>
      <w:r>
        <w:rPr>
          <w:rFonts w:ascii="Calibri" w:hAnsi="Calibri"/>
          <w:color w:val="000000"/>
          <w:sz w:val="20"/>
        </w:rPr>
        <w:t xml:space="preserve">Principal evidence boundary: Whole-workflow performance and safety.</w:t>
      </w:r>
    </w:p>
    <w:p>
      <w:pPr>
        <w:spacing w:before="0" w:after="50" w:line="250" w:lineRule="auto"/>
      </w:pPr>
      <w:r>
        <w:rPr>
          <w:rFonts w:ascii="Calibri" w:hAnsi="Calibri"/>
          <w:color w:val="000000"/>
          <w:sz w:val="20"/>
        </w:rPr>
        <w:t xml:space="preserve">Application class: Molecular integration</w:t>
      </w:r>
    </w:p>
    <w:p>
      <w:pPr>
        <w:spacing w:before="0" w:after="50" w:line="250" w:lineRule="auto"/>
      </w:pPr>
      <w:r>
        <w:rPr>
          <w:rFonts w:ascii="Calibri" w:hAnsi="Calibri"/>
          <w:color w:val="000000"/>
          <w:sz w:val="20"/>
        </w:rPr>
        <w:t xml:space="preserve">Proposed contribution: Linked external assay evidence</w:t>
      </w:r>
    </w:p>
    <w:p>
      <w:pPr>
        <w:spacing w:before="0" w:after="50" w:line="250" w:lineRule="auto"/>
      </w:pPr>
      <w:r>
        <w:rPr>
          <w:rFonts w:ascii="Calibri" w:hAnsi="Calibri"/>
          <w:color w:val="000000"/>
          <w:sz w:val="20"/>
        </w:rPr>
        <w:t xml:space="preserve">Principal evidence boundary: Correct identity, semantics and assay scope.</w:t>
      </w:r>
    </w:p>
    <w:p>
      <w:pPr>
        <w:spacing w:before="0" w:after="50" w:line="250" w:lineRule="auto"/>
      </w:pPr>
      <w:r>
        <w:rPr>
          <w:rFonts w:ascii="Calibri" w:hAnsi="Calibri"/>
          <w:color w:val="000000"/>
          <w:sz w:val="20"/>
        </w:rPr>
        <w:t xml:space="preserve">Application class: Nonclinical research</w:t>
      </w:r>
    </w:p>
    <w:p>
      <w:pPr>
        <w:spacing w:before="0" w:after="50" w:line="250" w:lineRule="auto"/>
      </w:pPr>
      <w:r>
        <w:rPr>
          <w:rFonts w:ascii="Calibri" w:hAnsi="Calibri"/>
          <w:color w:val="000000"/>
          <w:sz w:val="20"/>
        </w:rPr>
        <w:t xml:space="preserve">Proposed contribution: Environmental, industrial or teaching records</w:t>
      </w:r>
    </w:p>
    <w:p>
      <w:pPr>
        <w:spacing w:before="0" w:after="50" w:line="250" w:lineRule="auto"/>
      </w:pPr>
      <w:r>
        <w:rPr>
          <w:rFonts w:ascii="Calibri" w:hAnsi="Calibri"/>
          <w:color w:val="000000"/>
          <w:sz w:val="20"/>
        </w:rPr>
        <w:t xml:space="preserve">Principal evidence boundary: Sector-specific methods and permitted decisions.</w:t>
      </w:r>
    </w:p>
    <w:p>
      <w:pPr>
        <w:pStyle w:val="Heading3"/>
        <w:keepNext/>
        <w:keepLines/>
        <w:spacing w:before="240" w:after="120" w:line="269" w:lineRule="auto"/>
      </w:pPr>
      <w:r>
        <w:rPr>
          <w:color w:val="000000"/>
        </w:rPr>
        <w:t>Shared infrastructure creates practical value</w:t>
      </w:r>
    </w:p>
    <w:p>
      <w:pPr>
        <w:pStyle w:val="Normal"/>
        <w:spacing w:before="0" w:after="50" w:line="250" w:lineRule="auto"/>
        <w:rPr/>
      </w:pPr>
      <w:r>
        <w:rPr>
          <w:rFonts w:ascii="Calibri" w:hAnsi="Calibri"/>
          <w:color w:val="000000"/>
          <w:sz w:val="20"/>
        </w:rPr>
        <w:t>PIMS can preserve identity and provenance across these workflows. Calibration services, software quality controls and training materials can also be reused where their scope remains applicable. Biological models and clinical interpretation rules require more careful qualification.</w:t>
      </w:r>
    </w:p>
    <w:p>
      <w:pPr>
        <w:pStyle w:val="Normal"/>
        <w:spacing w:before="0" w:after="50" w:line="250" w:lineRule="auto"/>
        <w:rPr/>
      </w:pPr>
      <w:r>
        <w:rPr>
          <w:rFonts w:ascii="Calibri" w:hAnsi="Calibri"/>
          <w:color w:val="000000"/>
          <w:sz w:val="20"/>
        </w:rPr>
        <w:t>The applications in this part are product intentions and research pathways. They are not a list of current cleared indications or deployed capabilities. The proposed portfolio should advance through explicit evidence gates, with the endpoint Reader V1 remaining the near-term priority and broader functions evaluated individually before external performance claims are made.</w:t>
      </w:r>
    </w:p>
    <w:p>
      <w:pPr>
        <w:pStyle w:val="Heading3"/>
        <w:keepNext/>
        <w:keepLines/>
        <w:spacing w:before="240" w:after="120" w:line="269" w:lineRule="auto"/>
      </w:pPr>
      <w:r>
        <w:rPr>
          <w:color w:val="000000"/>
        </w:rPr>
        <w:t>Routine endpoint disk diffusion</w:t>
      </w:r>
    </w:p>
    <w:p>
      <w:pPr>
        <w:pStyle w:val="Normal"/>
        <w:keepNext/>
        <w:spacing w:before="0" w:after="50" w:line="250" w:lineRule="auto"/>
        <w:rPr/>
      </w:pPr>
      <w:r>
        <w:rPr>
          <w:rFonts w:ascii="Calibri" w:hAnsi="Calibri"/>
          <w:b/>
          <w:color w:val="000000"/>
          <w:sz w:val="20"/>
        </w:rPr>
        <w:t>Routine endpoint reading is the first measurement priority</w:t>
      </w:r>
    </w:p>
    <w:p>
      <w:pPr>
        <w:pStyle w:val="Normal"/>
        <w:spacing w:before="0" w:after="50" w:line="250" w:lineRule="auto"/>
        <w:rPr/>
      </w:pPr>
      <w:r>
        <w:rPr>
          <w:rFonts w:ascii="Calibri" w:hAnsi="Calibri"/>
          <w:color w:val="000000"/>
          <w:sz w:val="20"/>
        </w:rPr>
        <w:t xml:space="preserve">The Reader V1 concept supports imaging and measurement of eligible disk-diffusion plates at the appropriate endpoint. It aims to reduce avoidable variability in capture, measurement transcription and record retrieval while retaining mandatory expert review. The biological method and applicable interpretation rules remain independently controlled.   </w:t>
      </w:r>
    </w:p>
    <w:p>
      <w:pPr>
        <w:pStyle w:val="Heading3"/>
        <w:keepNext/>
        <w:keepLines/>
        <w:spacing w:before="240" w:after="120" w:line="269" w:lineRule="auto"/>
      </w:pPr>
      <w:r>
        <w:rPr>
          <w:color w:val="000000"/>
        </w:rPr>
        <w:t>Proposed operational sequence</w:t>
      </w:r>
    </w:p>
    <w:p>
      <w:pPr>
        <w:pStyle w:val="Normal"/>
        <w:spacing w:before="0" w:after="50" w:line="250" w:lineRule="auto"/>
        <w:rPr/>
      </w:pPr>
      <w:r>
        <w:rPr>
          <w:rFonts w:ascii="Calibri" w:hAnsi="Calibri"/>
          <w:color w:val="000000"/>
          <w:sz w:val="20"/>
        </w:rPr>
        <w:t>The operator associates the plate with its authorized record and confirms workflow eligibility. The reader checks capture readiness and image quality, applies a qualified spatial calibration and proposes disk and zone measurements. The reviewer inspects the image, resolves flags and approves or corrects the result through a traceable record.</w:t>
      </w:r>
    </w:p>
    <w:p>
      <w:pPr>
        <w:spacing w:before="0" w:after="50" w:line="250" w:lineRule="auto"/>
      </w:pPr>
      <w:r>
        <w:rPr>
          <w:rFonts w:ascii="Calibri" w:hAnsi="Calibri"/>
          <w:color w:val="000000"/>
          <w:sz w:val="20"/>
        </w:rPr>
        <w:t xml:space="preserve">Stage: Identity</w:t>
      </w:r>
    </w:p>
    <w:p>
      <w:pPr>
        <w:spacing w:before="0" w:after="50" w:line="250" w:lineRule="auto"/>
      </w:pPr>
      <w:r>
        <w:rPr>
          <w:rFonts w:ascii="Calibri" w:hAnsi="Calibri"/>
          <w:color w:val="000000"/>
          <w:sz w:val="20"/>
        </w:rPr>
        <w:t xml:space="preserve">Required outcome: Correct plate and case association before analysis.</w:t>
      </w:r>
    </w:p>
    <w:p>
      <w:pPr>
        <w:spacing w:before="0" w:after="50" w:line="250" w:lineRule="auto"/>
      </w:pPr>
      <w:r>
        <w:rPr>
          <w:rFonts w:ascii="Calibri" w:hAnsi="Calibri"/>
          <w:color w:val="000000"/>
          <w:sz w:val="20"/>
        </w:rPr>
        <w:t xml:space="preserve">Stage: Capture</w:t>
      </w:r>
    </w:p>
    <w:p>
      <w:pPr>
        <w:spacing w:before="0" w:after="50" w:line="250" w:lineRule="auto"/>
      </w:pPr>
      <w:r>
        <w:rPr>
          <w:rFonts w:ascii="Calibri" w:hAnsi="Calibri"/>
          <w:color w:val="000000"/>
          <w:sz w:val="20"/>
        </w:rPr>
        <w:t xml:space="preserve">Required outcome: Complete, readable image with preserved acquisition context.</w:t>
      </w:r>
    </w:p>
    <w:p>
      <w:pPr>
        <w:spacing w:before="0" w:after="50" w:line="250" w:lineRule="auto"/>
      </w:pPr>
      <w:r>
        <w:rPr>
          <w:rFonts w:ascii="Calibri" w:hAnsi="Calibri"/>
          <w:color w:val="000000"/>
          <w:sz w:val="20"/>
        </w:rPr>
        <w:t xml:space="preserve">Stage: Measurement</w:t>
      </w:r>
    </w:p>
    <w:p>
      <w:pPr>
        <w:spacing w:before="0" w:after="50" w:line="250" w:lineRule="auto"/>
      </w:pPr>
      <w:r>
        <w:rPr>
          <w:rFonts w:ascii="Calibri" w:hAnsi="Calibri"/>
          <w:color w:val="000000"/>
          <w:sz w:val="20"/>
        </w:rPr>
        <w:t xml:space="preserve">Required outcome: Diameter in mm with calibration and quality provenance.</w:t>
      </w:r>
    </w:p>
    <w:p>
      <w:pPr>
        <w:spacing w:before="0" w:after="50" w:line="250" w:lineRule="auto"/>
      </w:pPr>
      <w:r>
        <w:rPr>
          <w:rFonts w:ascii="Calibri" w:hAnsi="Calibri"/>
          <w:color w:val="000000"/>
          <w:sz w:val="20"/>
        </w:rPr>
        <w:t xml:space="preserve">Stage: Interpretation</w:t>
      </w:r>
    </w:p>
    <w:p>
      <w:pPr>
        <w:spacing w:before="0" w:after="50" w:line="250" w:lineRule="auto"/>
      </w:pPr>
      <w:r>
        <w:rPr>
          <w:rFonts w:ascii="Calibri" w:hAnsi="Calibri"/>
          <w:color w:val="000000"/>
          <w:sz w:val="20"/>
        </w:rPr>
        <w:t xml:space="preserve">Required outcome: Eligible organism-drug-method mapping and rule version.</w:t>
      </w:r>
    </w:p>
    <w:p>
      <w:pPr>
        <w:spacing w:before="0" w:after="50" w:line="250" w:lineRule="auto"/>
      </w:pPr>
      <w:r>
        <w:rPr>
          <w:rFonts w:ascii="Calibri" w:hAnsi="Calibri"/>
          <w:color w:val="000000"/>
          <w:sz w:val="20"/>
        </w:rPr>
        <w:t xml:space="preserve">Stage: Review</w:t>
      </w:r>
    </w:p>
    <w:p>
      <w:pPr>
        <w:spacing w:before="0" w:after="50" w:line="250" w:lineRule="auto"/>
      </w:pPr>
      <w:r>
        <w:rPr>
          <w:rFonts w:ascii="Calibri" w:hAnsi="Calibri"/>
          <w:color w:val="000000"/>
          <w:sz w:val="20"/>
        </w:rPr>
        <w:t xml:space="preserve">Required outcome: Authorized decision with any correction reason.</w:t>
      </w:r>
    </w:p>
    <w:p>
      <w:pPr>
        <w:spacing w:before="0" w:after="50" w:line="250" w:lineRule="auto"/>
      </w:pPr>
      <w:r>
        <w:rPr>
          <w:rFonts w:ascii="Calibri" w:hAnsi="Calibri"/>
          <w:color w:val="000000"/>
          <w:sz w:val="20"/>
        </w:rPr>
        <w:t xml:space="preserve">Stage: Export</w:t>
      </w:r>
    </w:p>
    <w:p>
      <w:pPr>
        <w:spacing w:before="0" w:after="50" w:line="250" w:lineRule="auto"/>
      </w:pPr>
      <w:r>
        <w:rPr>
          <w:rFonts w:ascii="Calibri" w:hAnsi="Calibri"/>
          <w:color w:val="000000"/>
          <w:sz w:val="20"/>
        </w:rPr>
        <w:t xml:space="preserve">Required outcome: Reviewed result and status transferred without semantic loss.</w:t>
      </w:r>
    </w:p>
    <w:p>
      <w:pPr>
        <w:pStyle w:val="Heading3"/>
        <w:keepNext/>
        <w:keepLines/>
        <w:spacing w:before="240" w:after="120" w:line="269" w:lineRule="auto"/>
      </w:pPr>
      <w:r>
        <w:rPr>
          <w:color w:val="000000"/>
        </w:rPr>
        <w:t>Measure the actual benefit</w:t>
      </w:r>
    </w:p>
    <w:p>
      <w:pPr>
        <w:pStyle w:val="Normal"/>
        <w:spacing w:before="0" w:after="50" w:line="250" w:lineRule="auto"/>
        <w:rPr/>
      </w:pPr>
      <w:r>
        <w:rPr>
          <w:rFonts w:ascii="Calibri" w:hAnsi="Calibri"/>
          <w:color w:val="000000"/>
          <w:sz w:val="20"/>
        </w:rPr>
        <w:t>Evaluation should compare the proposed workflow with an appropriate reference reading process. Relevant outcomes include measurement bias, agreement, consequential category errors, unreadable cases, review effort and transcription failures. Faster image processing alone does not establish faster specimen-to-result service.</w:t>
      </w:r>
    </w:p>
    <w:p>
      <w:pPr>
        <w:pStyle w:val="Normal"/>
        <w:spacing w:before="0" w:after="50" w:line="250" w:lineRule="auto"/>
        <w:rPr/>
      </w:pPr>
      <w:r>
        <w:rPr>
          <w:rFonts w:ascii="Calibri" w:hAnsi="Calibri"/>
          <w:color w:val="000000"/>
          <w:sz w:val="20"/>
        </w:rPr>
        <w:t>The study should retain difficult plate appearances and document why a case was excluded or repeated. An endpoint reader should not infer that an unreadable boundary has zero diameter or assign a susceptibility category from an incomplete record. Its reliability depends on recognizing when the available observation cannot support the intended result.</w:t>
      </w:r>
    </w:p>
    <w:p>
      <w:pPr>
        <w:pStyle w:val="Heading3"/>
        <w:keepNext/>
        <w:keepLines/>
        <w:spacing w:before="240" w:after="120" w:line="269" w:lineRule="auto"/>
      </w:pPr>
      <w:r>
        <w:rPr>
          <w:color w:val="000000"/>
        </w:rPr>
        <w:t>Clinical laboratory review workflows</w:t>
      </w:r>
    </w:p>
    <w:p>
      <w:pPr>
        <w:pStyle w:val="Normal"/>
        <w:keepNext/>
        <w:spacing w:before="0" w:after="50" w:line="250" w:lineRule="auto"/>
        <w:rPr/>
      </w:pPr>
      <w:r>
        <w:rPr>
          <w:rFonts w:ascii="Calibri" w:hAnsi="Calibri"/>
          <w:b/>
          <w:color w:val="000000"/>
          <w:sz w:val="20"/>
        </w:rPr>
        <w:t>Review is a designed part of the product</w:t>
      </w:r>
    </w:p>
    <w:p>
      <w:pPr>
        <w:pStyle w:val="Normal"/>
        <w:spacing w:before="0" w:after="50" w:line="250" w:lineRule="auto"/>
        <w:rPr/>
      </w:pPr>
      <w:r>
        <w:rPr>
          <w:rFonts w:ascii="Calibri" w:hAnsi="Calibri"/>
          <w:color w:val="000000"/>
          <w:sz w:val="20"/>
        </w:rPr>
        <w:t>A clinical laboratory workflow requires clear responsibility for the result. Mandatory human review should be supported by an interface that makes important evidence visible and enables efficient correction. A nominal approval button is insufficient if the reviewer cannot inspect the original image, measurement basis or unresolved flags.</w:t>
      </w:r>
    </w:p>
    <w:p>
      <w:pPr>
        <w:pStyle w:val="Heading3"/>
        <w:keepNext/>
        <w:keepLines/>
        <w:spacing w:before="240" w:after="120" w:line="269" w:lineRule="auto"/>
      </w:pPr>
      <w:r>
        <w:rPr>
          <w:color w:val="000000"/>
        </w:rPr>
        <w:t>Proposed review workspace</w:t>
      </w:r>
    </w:p>
    <w:p>
      <w:pPr>
        <w:pStyle w:val="Normal"/>
        <w:spacing w:before="0" w:after="50" w:line="250" w:lineRule="auto"/>
        <w:rPr/>
      </w:pPr>
      <w:r>
        <w:rPr>
          <w:rFonts w:ascii="Calibri" w:hAnsi="Calibri"/>
          <w:color w:val="000000"/>
          <w:sz w:val="20"/>
        </w:rPr>
        <w:t>The workspace should present plate identity, method context, image quality and the proposed measurement together. Relevant standards information should be available through the controlled rules service. Reviewers need a way to mark a result unreadable, request a repeat or escalate a discrepancy without fabricating a numerical value.</w:t>
      </w:r>
    </w:p>
    <w:p>
      <w:pPr>
        <w:spacing w:before="0" w:after="50" w:line="250" w:lineRule="auto"/>
      </w:pPr>
      <w:r>
        <w:rPr>
          <w:rFonts w:ascii="Calibri" w:hAnsi="Calibri"/>
          <w:color w:val="000000"/>
          <w:sz w:val="20"/>
        </w:rPr>
        <w:t xml:space="preserve">Review action: Accept a measurement</w:t>
      </w:r>
    </w:p>
    <w:p>
      <w:pPr>
        <w:spacing w:before="0" w:after="50" w:line="250" w:lineRule="auto"/>
      </w:pPr>
      <w:r>
        <w:rPr>
          <w:rFonts w:ascii="Calibri" w:hAnsi="Calibri"/>
          <w:color w:val="000000"/>
          <w:sz w:val="20"/>
        </w:rPr>
        <w:t xml:space="preserve">Required trace: Reviewer identity, time and exact output version.</w:t>
      </w:r>
    </w:p>
    <w:p>
      <w:pPr>
        <w:spacing w:before="0" w:after="50" w:line="250" w:lineRule="auto"/>
      </w:pPr>
      <w:r>
        <w:rPr>
          <w:rFonts w:ascii="Calibri" w:hAnsi="Calibri"/>
          <w:color w:val="000000"/>
          <w:sz w:val="20"/>
        </w:rPr>
        <w:t xml:space="preserve">Review action: Correct a boundary</w:t>
      </w:r>
    </w:p>
    <w:p>
      <w:pPr>
        <w:spacing w:before="0" w:after="50" w:line="250" w:lineRule="auto"/>
      </w:pPr>
      <w:r>
        <w:rPr>
          <w:rFonts w:ascii="Calibri" w:hAnsi="Calibri"/>
          <w:color w:val="000000"/>
          <w:sz w:val="20"/>
        </w:rPr>
        <w:t xml:space="preserve">Required trace: Original and revised geometry with reason.</w:t>
      </w:r>
    </w:p>
    <w:p>
      <w:pPr>
        <w:spacing w:before="0" w:after="50" w:line="250" w:lineRule="auto"/>
      </w:pPr>
      <w:r>
        <w:rPr>
          <w:rFonts w:ascii="Calibri" w:hAnsi="Calibri"/>
          <w:color w:val="000000"/>
          <w:sz w:val="20"/>
        </w:rPr>
        <w:t xml:space="preserve">Review action: Resolve an identity issue</w:t>
      </w:r>
    </w:p>
    <w:p>
      <w:pPr>
        <w:spacing w:before="0" w:after="50" w:line="250" w:lineRule="auto"/>
      </w:pPr>
      <w:r>
        <w:rPr>
          <w:rFonts w:ascii="Calibri" w:hAnsi="Calibri"/>
          <w:color w:val="000000"/>
          <w:sz w:val="20"/>
        </w:rPr>
        <w:t xml:space="preserve">Required trace: Authorized reassociation and affected analyses.</w:t>
      </w:r>
    </w:p>
    <w:p>
      <w:pPr>
        <w:spacing w:before="0" w:after="50" w:line="250" w:lineRule="auto"/>
      </w:pPr>
      <w:r>
        <w:rPr>
          <w:rFonts w:ascii="Calibri" w:hAnsi="Calibri"/>
          <w:color w:val="000000"/>
          <w:sz w:val="20"/>
        </w:rPr>
        <w:t xml:space="preserve">Review action: Reject a capture</w:t>
      </w:r>
    </w:p>
    <w:p>
      <w:pPr>
        <w:spacing w:before="0" w:after="50" w:line="250" w:lineRule="auto"/>
      </w:pPr>
      <w:r>
        <w:rPr>
          <w:rFonts w:ascii="Calibri" w:hAnsi="Calibri"/>
          <w:color w:val="000000"/>
          <w:sz w:val="20"/>
        </w:rPr>
        <w:t xml:space="preserve">Required trace: Failure reason and subsequent workflow state.</w:t>
      </w:r>
    </w:p>
    <w:p>
      <w:pPr>
        <w:spacing w:before="0" w:after="50" w:line="250" w:lineRule="auto"/>
      </w:pPr>
      <w:r>
        <w:rPr>
          <w:rFonts w:ascii="Calibri" w:hAnsi="Calibri"/>
          <w:color w:val="000000"/>
          <w:sz w:val="20"/>
        </w:rPr>
        <w:t xml:space="preserve">Review action: Release an export</w:t>
      </w:r>
    </w:p>
    <w:p>
      <w:pPr>
        <w:spacing w:before="0" w:after="50" w:line="250" w:lineRule="auto"/>
      </w:pPr>
      <w:r>
        <w:rPr>
          <w:rFonts w:ascii="Calibri" w:hAnsi="Calibri"/>
          <w:color w:val="000000"/>
          <w:sz w:val="20"/>
        </w:rPr>
        <w:t xml:space="preserve">Required trace: Approved record version and destination mapping.</w:t>
      </w:r>
    </w:p>
    <w:p>
      <w:pPr>
        <w:pStyle w:val="Heading3"/>
        <w:keepNext/>
        <w:keepLines/>
        <w:spacing w:before="240" w:after="120" w:line="269" w:lineRule="auto"/>
      </w:pPr>
      <w:r>
        <w:rPr>
          <w:color w:val="000000"/>
        </w:rPr>
        <w:t>Corrections must invalidate dependent approval</w:t>
      </w:r>
    </w:p>
    <w:p>
      <w:pPr>
        <w:pStyle w:val="Normal"/>
        <w:spacing w:before="0" w:after="50" w:line="250" w:lineRule="auto"/>
        <w:rPr/>
      </w:pPr>
      <w:r>
        <w:rPr>
          <w:rFonts w:ascii="Calibri" w:hAnsi="Calibri"/>
          <w:color w:val="000000"/>
          <w:sz w:val="20"/>
        </w:rPr>
        <w:t>If a measurement or relevant context changes after approval, the prior decision should not automatically apply to the revised result. The system needs a defined re-review path. A receiving laboratory system should be able to distinguish a replacement report from a new independent test.</w:t>
      </w:r>
    </w:p>
    <w:p>
      <w:pPr>
        <w:pStyle w:val="Normal"/>
        <w:spacing w:before="0" w:after="50" w:line="250" w:lineRule="auto"/>
        <w:rPr/>
      </w:pPr>
      <w:r>
        <w:rPr>
          <w:rFonts w:ascii="Calibri" w:hAnsi="Calibri"/>
          <w:color w:val="000000"/>
          <w:sz w:val="20"/>
        </w:rPr>
        <w:t>Usability studies should include experienced and less-experienced intended users under realistic workload. They should measure whether users detect deliberately introduced identity, calibration and interpretation problems. Review time and satisfaction matter, but the central question is whether the complete workflow produces an accurate, understandable and accountable result under the conditions in which it will be used.</w:t>
      </w:r>
    </w:p>
    <w:p>
      <w:pPr>
        <w:pStyle w:val="Heading3"/>
        <w:keepNext/>
        <w:keepLines/>
        <w:spacing w:before="240" w:after="120" w:line="269" w:lineRule="auto"/>
      </w:pPr>
      <w:r>
        <w:rPr>
          <w:color w:val="000000"/>
        </w:rPr>
        <w:t>Urinary tract infection workflows</w:t>
      </w:r>
    </w:p>
    <w:p>
      <w:pPr>
        <w:pStyle w:val="Normal"/>
        <w:keepNext/>
        <w:spacing w:before="0" w:after="50" w:line="250" w:lineRule="auto"/>
        <w:rPr/>
      </w:pPr>
      <w:r>
        <w:rPr>
          <w:rFonts w:ascii="Calibri" w:hAnsi="Calibri"/>
          <w:b/>
          <w:color w:val="000000"/>
          <w:sz w:val="20"/>
        </w:rPr>
        <w:t>UTI workflows contain several distinct testing questions</w:t>
      </w:r>
    </w:p>
    <w:p>
      <w:pPr>
        <w:pStyle w:val="Normal"/>
        <w:spacing w:before="0" w:after="50" w:line="250" w:lineRule="auto"/>
        <w:rPr/>
      </w:pPr>
      <w:r>
        <w:rPr>
          <w:rFonts w:ascii="Calibri" w:hAnsi="Calibri"/>
          <w:color w:val="000000"/>
          <w:sz w:val="20"/>
        </w:rPr>
        <w:t>Urinary tract infection is an important proposed application area, but “UTI testing” does not describe a single assay. Specimen assessment, growth detection, organism identification and susceptibility testing answer different questions. Reader V1's endpoint scope begins after an eligible isolate and plate preparation; it does not currently establish a direct urine diagnosis.</w:t>
      </w:r>
    </w:p>
    <w:p>
      <w:pPr>
        <w:pStyle w:val="Heading3"/>
        <w:keepNext/>
        <w:keepLines/>
        <w:spacing w:before="240" w:after="120" w:line="269" w:lineRule="auto"/>
      </w:pPr>
      <w:r>
        <w:rPr>
          <w:color w:val="000000"/>
        </w:rPr>
        <w:t>Separate the proposed pathways</w:t>
      </w:r>
    </w:p>
    <w:p>
      <w:pPr>
        <w:pStyle w:val="Normal"/>
        <w:spacing w:before="0" w:after="50" w:line="250" w:lineRule="auto"/>
        <w:rPr/>
      </w:pPr>
      <w:r>
        <w:rPr>
          <w:rFonts w:ascii="Calibri" w:hAnsi="Calibri"/>
          <w:color w:val="000000"/>
          <w:sz w:val="20"/>
        </w:rPr>
        <w:t>A laboratory may use an endpoint reader within its established isolate-based workflow. A future direct-from-urine research pathway would need additional evidence about specimen variability, organism burden, mixed populations, preparation and reference comparison. Research using selected isolates cannot establish performance across all urine specimens.</w:t>
      </w:r>
    </w:p>
    <w:p>
      <w:pPr>
        <w:spacing w:before="0" w:after="50" w:line="250" w:lineRule="auto"/>
      </w:pPr>
      <w:r>
        <w:rPr>
          <w:rFonts w:ascii="Calibri" w:hAnsi="Calibri"/>
          <w:color w:val="000000"/>
          <w:sz w:val="20"/>
        </w:rPr>
        <w:t xml:space="preserve">Pathway: Isolate-based endpoint</w:t>
      </w:r>
    </w:p>
    <w:p>
      <w:pPr>
        <w:spacing w:before="0" w:after="50" w:line="250" w:lineRule="auto"/>
      </w:pPr>
      <w:r>
        <w:rPr>
          <w:rFonts w:ascii="Calibri" w:hAnsi="Calibri"/>
          <w:color w:val="000000"/>
          <w:sz w:val="20"/>
        </w:rPr>
        <w:t xml:space="preserve">Proposed role: Traceable zone measurement and review</w:t>
      </w:r>
    </w:p>
    <w:p>
      <w:pPr>
        <w:spacing w:before="0" w:after="50" w:line="250" w:lineRule="auto"/>
      </w:pPr>
      <w:r>
        <w:rPr>
          <w:rFonts w:ascii="Calibri" w:hAnsi="Calibri"/>
          <w:color w:val="000000"/>
          <w:sz w:val="20"/>
        </w:rPr>
        <w:t xml:space="preserve">Feasibility boundary: Qualified disk-diffusion workflow.</w:t>
      </w:r>
    </w:p>
    <w:p>
      <w:pPr>
        <w:spacing w:before="0" w:after="50" w:line="250" w:lineRule="auto"/>
      </w:pPr>
      <w:r>
        <w:rPr>
          <w:rFonts w:ascii="Calibri" w:hAnsi="Calibri"/>
          <w:color w:val="000000"/>
          <w:sz w:val="20"/>
        </w:rPr>
        <w:t xml:space="preserve">Pathway: Temporal imaging research</w:t>
      </w:r>
    </w:p>
    <w:p>
      <w:pPr>
        <w:spacing w:before="0" w:after="50" w:line="250" w:lineRule="auto"/>
      </w:pPr>
      <w:r>
        <w:rPr>
          <w:rFonts w:ascii="Calibri" w:hAnsi="Calibri"/>
          <w:color w:val="000000"/>
          <w:sz w:val="20"/>
        </w:rPr>
        <w:t xml:space="preserve">Proposed role: Study early visible growth or response</w:t>
      </w:r>
    </w:p>
    <w:p>
      <w:pPr>
        <w:spacing w:before="0" w:after="50" w:line="250" w:lineRule="auto"/>
      </w:pPr>
      <w:r>
        <w:rPr>
          <w:rFonts w:ascii="Calibri" w:hAnsi="Calibri"/>
          <w:color w:val="000000"/>
          <w:sz w:val="20"/>
        </w:rPr>
        <w:t xml:space="preserve">Feasibility boundary: Independent future and reference outcomes.</w:t>
      </w:r>
    </w:p>
    <w:p>
      <w:pPr>
        <w:spacing w:before="0" w:after="50" w:line="250" w:lineRule="auto"/>
      </w:pPr>
      <w:r>
        <w:rPr>
          <w:rFonts w:ascii="Calibri" w:hAnsi="Calibri"/>
          <w:color w:val="000000"/>
          <w:sz w:val="20"/>
        </w:rPr>
        <w:t xml:space="preserve">Pathway: Direct specimen research</w:t>
      </w:r>
    </w:p>
    <w:p>
      <w:pPr>
        <w:spacing w:before="0" w:after="50" w:line="250" w:lineRule="auto"/>
      </w:pPr>
      <w:r>
        <w:rPr>
          <w:rFonts w:ascii="Calibri" w:hAnsi="Calibri"/>
          <w:color w:val="000000"/>
          <w:sz w:val="20"/>
        </w:rPr>
        <w:t xml:space="preserve">Proposed role: Investigate reduced preparation delay</w:t>
      </w:r>
    </w:p>
    <w:p>
      <w:pPr>
        <w:spacing w:before="0" w:after="50" w:line="250" w:lineRule="auto"/>
      </w:pPr>
      <w:r>
        <w:rPr>
          <w:rFonts w:ascii="Calibri" w:hAnsi="Calibri"/>
          <w:color w:val="000000"/>
          <w:sz w:val="20"/>
        </w:rPr>
        <w:t xml:space="preserve">Feasibility boundary: Specimen-level eligibility and failure accounting.</w:t>
      </w:r>
    </w:p>
    <w:p>
      <w:pPr>
        <w:spacing w:before="0" w:after="50" w:line="250" w:lineRule="auto"/>
      </w:pPr>
      <w:r>
        <w:rPr>
          <w:rFonts w:ascii="Calibri" w:hAnsi="Calibri"/>
          <w:color w:val="000000"/>
          <w:sz w:val="20"/>
        </w:rPr>
        <w:t xml:space="preserve">Pathway: Result connectivity</w:t>
      </w:r>
    </w:p>
    <w:p>
      <w:pPr>
        <w:spacing w:before="0" w:after="50" w:line="250" w:lineRule="auto"/>
      </w:pPr>
      <w:r>
        <w:rPr>
          <w:rFonts w:ascii="Calibri" w:hAnsi="Calibri"/>
          <w:color w:val="000000"/>
          <w:sz w:val="20"/>
        </w:rPr>
        <w:t xml:space="preserve">Proposed role: Link laboratory findings to the authorized case</w:t>
      </w:r>
    </w:p>
    <w:p>
      <w:pPr>
        <w:spacing w:before="0" w:after="50" w:line="250" w:lineRule="auto"/>
      </w:pPr>
      <w:r>
        <w:rPr>
          <w:rFonts w:ascii="Calibri" w:hAnsi="Calibri"/>
          <w:color w:val="000000"/>
          <w:sz w:val="20"/>
        </w:rPr>
        <w:t xml:space="preserve">Feasibility boundary: Correct identity and reviewed status.</w:t>
      </w:r>
    </w:p>
    <w:p>
      <w:pPr>
        <w:pStyle w:val="Heading3"/>
        <w:keepNext/>
        <w:keepLines/>
        <w:spacing w:before="240" w:after="120" w:line="269" w:lineRule="auto"/>
      </w:pPr>
      <w:r>
        <w:rPr>
          <w:color w:val="000000"/>
        </w:rPr>
        <w:t>Define the clock before discussing speed</w:t>
      </w:r>
    </w:p>
    <w:p>
      <w:pPr>
        <w:pStyle w:val="Normal"/>
        <w:spacing w:before="0" w:after="50" w:line="250" w:lineRule="auto"/>
        <w:rPr/>
      </w:pPr>
      <w:r>
        <w:rPr>
          <w:rFonts w:ascii="Calibri" w:hAnsi="Calibri"/>
          <w:color w:val="000000"/>
          <w:sz w:val="20"/>
        </w:rPr>
        <w:t>A research target below two hours should state whether timing begins at specimen receipt, preparation completion, exposure or first observation. It should include all required steps within that claim and report the proportion of specimens producing an eligible result.</w:t>
      </w:r>
    </w:p>
    <w:p>
      <w:pPr>
        <w:pStyle w:val="Normal"/>
        <w:spacing w:before="0" w:after="50" w:line="250" w:lineRule="auto"/>
        <w:rPr/>
      </w:pPr>
      <w:r>
        <w:rPr>
          <w:rFonts w:ascii="Calibri" w:hAnsi="Calibri"/>
          <w:color w:val="000000"/>
          <w:sz w:val="20"/>
        </w:rPr>
        <w:t>The product should preserve the laboratory's distinction between a biological observation and the clinical diagnosis made in context. A growth pattern or susceptibility result is not, by itself, a complete assessment of a patient's symptoms. The proposed benefit is better laboratory information and workflow traceability, with patient-level impact requiring separate clinical evaluation.</w:t>
      </w:r>
    </w:p>
    <w:p>
      <w:pPr>
        <w:pStyle w:val="Heading3"/>
        <w:keepNext/>
        <w:keepLines/>
        <w:spacing w:before="240" w:after="120" w:line="269" w:lineRule="auto"/>
      </w:pPr>
      <w:r>
        <w:rPr>
          <w:color w:val="000000"/>
        </w:rPr>
        <w:t>Women and access to timely diagnostics</w:t>
      </w:r>
    </w:p>
    <w:p>
      <w:pPr>
        <w:pStyle w:val="Normal"/>
        <w:keepNext/>
        <w:spacing w:before="0" w:after="50" w:line="250" w:lineRule="auto"/>
        <w:rPr/>
      </w:pPr>
      <w:r>
        <w:rPr>
          <w:rFonts w:ascii="Calibri" w:hAnsi="Calibri"/>
          <w:b/>
          <w:color w:val="000000"/>
          <w:sz w:val="20"/>
        </w:rPr>
        <w:t>Diagnostic access should be evaluated through the whole pathway</w:t>
      </w:r>
    </w:p>
    <w:p>
      <w:pPr>
        <w:pStyle w:val="Normal"/>
        <w:spacing w:before="0" w:after="50" w:line="250" w:lineRule="auto"/>
        <w:rPr/>
      </w:pPr>
      <w:r>
        <w:rPr>
          <w:rFonts w:ascii="Calibri" w:hAnsi="Calibri"/>
          <w:color w:val="000000"/>
          <w:sz w:val="20"/>
        </w:rPr>
        <w:t xml:space="preserve">Bladder infections are more common in women than in men, making the accessibility of appropriate assessment and laboratory services a relevant design concern. NIDDK describes this difference in its clinical information; it does not establish an AMReye.AI benefit or a local prevalence estimate. </w:t>
      </w:r>
    </w:p>
    <w:p>
      <w:pPr>
        <w:pStyle w:val="Heading3"/>
        <w:keepNext/>
        <w:keepLines/>
        <w:spacing w:before="240" w:after="120" w:line="269" w:lineRule="auto"/>
      </w:pPr>
      <w:r>
        <w:rPr>
          <w:color w:val="000000"/>
        </w:rPr>
        <w:t>Design for practical access</w:t>
      </w:r>
    </w:p>
    <w:p>
      <w:pPr>
        <w:pStyle w:val="Normal"/>
        <w:spacing w:before="0" w:after="50" w:line="250" w:lineRule="auto"/>
        <w:rPr/>
      </w:pPr>
      <w:r>
        <w:rPr>
          <w:rFonts w:ascii="Calibri" w:hAnsi="Calibri"/>
          <w:color w:val="000000"/>
          <w:sz w:val="20"/>
        </w:rPr>
        <w:t>The proposed platform should be evaluated in the context of specimen collection, transport, laboratory availability, result communication and follow-up. A rapid analytical step has limited value if a result is delayed in a queue or cannot be communicated securely to the authorized care team.</w:t>
      </w:r>
    </w:p>
    <w:p>
      <w:pPr>
        <w:spacing w:before="0" w:after="50" w:line="250" w:lineRule="auto"/>
      </w:pPr>
      <w:r>
        <w:rPr>
          <w:rFonts w:ascii="Calibri" w:hAnsi="Calibri"/>
          <w:color w:val="000000"/>
          <w:sz w:val="20"/>
        </w:rPr>
        <w:t xml:space="preserve">Access consideration: Travel and repeat visits</w:t>
      </w:r>
    </w:p>
    <w:p>
      <w:pPr>
        <w:spacing w:before="0" w:after="50" w:line="250" w:lineRule="auto"/>
      </w:pPr>
      <w:r>
        <w:rPr>
          <w:rFonts w:ascii="Calibri" w:hAnsi="Calibri"/>
          <w:color w:val="000000"/>
          <w:sz w:val="20"/>
        </w:rPr>
        <w:t xml:space="preserve">Proposed product response: Study whether reliable reporting reduces avoidable return journeys.</w:t>
      </w:r>
    </w:p>
    <w:p>
      <w:pPr>
        <w:spacing w:before="0" w:after="50" w:line="250" w:lineRule="auto"/>
      </w:pPr>
      <w:r>
        <w:rPr>
          <w:rFonts w:ascii="Calibri" w:hAnsi="Calibri"/>
          <w:color w:val="000000"/>
          <w:sz w:val="20"/>
        </w:rPr>
        <w:t xml:space="preserve">Access consideration: Privacy</w:t>
      </w:r>
    </w:p>
    <w:p>
      <w:pPr>
        <w:spacing w:before="0" w:after="50" w:line="250" w:lineRule="auto"/>
      </w:pPr>
      <w:r>
        <w:rPr>
          <w:rFonts w:ascii="Calibri" w:hAnsi="Calibri"/>
          <w:color w:val="000000"/>
          <w:sz w:val="20"/>
        </w:rPr>
        <w:t xml:space="preserve">Proposed product response: Limit displayed identifiers and protect authorized result access.</w:t>
      </w:r>
    </w:p>
    <w:p>
      <w:pPr>
        <w:spacing w:before="0" w:after="50" w:line="250" w:lineRule="auto"/>
      </w:pPr>
      <w:r>
        <w:rPr>
          <w:rFonts w:ascii="Calibri" w:hAnsi="Calibri"/>
          <w:color w:val="000000"/>
          <w:sz w:val="20"/>
        </w:rPr>
        <w:t xml:space="preserve">Access consideration: Language and understanding</w:t>
      </w:r>
    </w:p>
    <w:p>
      <w:pPr>
        <w:spacing w:before="0" w:after="50" w:line="250" w:lineRule="auto"/>
      </w:pPr>
      <w:r>
        <w:rPr>
          <w:rFonts w:ascii="Calibri" w:hAnsi="Calibri"/>
          <w:color w:val="000000"/>
          <w:sz w:val="20"/>
        </w:rPr>
        <w:t xml:space="preserve">Proposed product response: Test clear instructions and explanations with intended users.</w:t>
      </w:r>
    </w:p>
    <w:p>
      <w:pPr>
        <w:spacing w:before="0" w:after="50" w:line="250" w:lineRule="auto"/>
      </w:pPr>
      <w:r>
        <w:rPr>
          <w:rFonts w:ascii="Calibri" w:hAnsi="Calibri"/>
          <w:color w:val="000000"/>
          <w:sz w:val="20"/>
        </w:rPr>
        <w:t xml:space="preserve">Access consideration: Uneven connectivity</w:t>
      </w:r>
    </w:p>
    <w:p>
      <w:pPr>
        <w:spacing w:before="0" w:after="50" w:line="250" w:lineRule="auto"/>
      </w:pPr>
      <w:r>
        <w:rPr>
          <w:rFonts w:ascii="Calibri" w:hAnsi="Calibri"/>
          <w:color w:val="000000"/>
          <w:sz w:val="20"/>
        </w:rPr>
        <w:t xml:space="preserve">Proposed product response: Preserve eligible local work and reconcile later uploads.</w:t>
      </w:r>
    </w:p>
    <w:p>
      <w:pPr>
        <w:spacing w:before="0" w:after="50" w:line="250" w:lineRule="auto"/>
      </w:pPr>
      <w:r>
        <w:rPr>
          <w:rFonts w:ascii="Calibri" w:hAnsi="Calibri"/>
          <w:color w:val="000000"/>
          <w:sz w:val="20"/>
        </w:rPr>
        <w:t xml:space="preserve">Access consideration: Affordability</w:t>
      </w:r>
    </w:p>
    <w:p>
      <w:pPr>
        <w:spacing w:before="0" w:after="50" w:line="250" w:lineRule="auto"/>
      </w:pPr>
      <w:r>
        <w:rPr>
          <w:rFonts w:ascii="Calibri" w:hAnsi="Calibri"/>
          <w:color w:val="000000"/>
          <w:sz w:val="20"/>
        </w:rPr>
        <w:t xml:space="preserve">Proposed product response: Assess total workflow cost, maintenance and service availability.</w:t>
      </w:r>
    </w:p>
    <w:p>
      <w:pPr>
        <w:pStyle w:val="Heading3"/>
        <w:keepNext/>
        <w:keepLines/>
        <w:spacing w:before="240" w:after="120" w:line="269" w:lineRule="auto"/>
      </w:pPr>
      <w:r>
        <w:rPr>
          <w:color w:val="000000"/>
        </w:rPr>
        <w:t>Avoid assuming the same pathway for everyone</w:t>
      </w:r>
    </w:p>
    <w:p>
      <w:pPr>
        <w:pStyle w:val="Normal"/>
        <w:spacing w:before="0" w:after="50" w:line="250" w:lineRule="auto"/>
        <w:rPr/>
      </w:pPr>
      <w:r>
        <w:rPr>
          <w:rFonts w:ascii="Calibri" w:hAnsi="Calibri"/>
          <w:color w:val="000000"/>
          <w:sz w:val="20"/>
        </w:rPr>
        <w:t>Pregnancy, age, comorbidity and clinical presentation can change the relevant care pathway. The product should not collapse these contexts into a universal automated recommendation. Clinical decisions remain with qualified professionals using the appropriate evidence and guidance.</w:t>
      </w:r>
    </w:p>
    <w:p>
      <w:pPr>
        <w:pStyle w:val="Normal"/>
        <w:spacing w:before="0" w:after="50" w:line="250" w:lineRule="auto"/>
        <w:rPr/>
      </w:pPr>
      <w:r>
        <w:rPr>
          <w:rFonts w:ascii="Calibri" w:hAnsi="Calibri"/>
          <w:color w:val="000000"/>
          <w:sz w:val="20"/>
        </w:rPr>
        <w:t>A future impact study should assess who receives an eligible result, who experiences delays and who requires repeat testing. Differences across groups should be investigated with adequate sample sizes and privacy safeguards. Equity is a measurable design objective: the platform should demonstrate that an improvement in average service does not conceal poorer access or performance for a less-represented group.</w:t>
      </w:r>
    </w:p>
    <w:p>
      <w:pPr>
        <w:pStyle w:val="Heading3"/>
        <w:keepNext/>
        <w:keepLines/>
        <w:spacing w:before="240" w:after="120" w:line="269" w:lineRule="auto"/>
      </w:pPr>
      <w:r>
        <w:rPr>
          <w:color w:val="000000"/>
        </w:rPr>
        <w:t>Blood culture and rapid AST pathways</w:t>
      </w:r>
    </w:p>
    <w:p>
      <w:pPr>
        <w:pStyle w:val="Normal"/>
        <w:keepNext/>
        <w:spacing w:before="0" w:after="50" w:line="250" w:lineRule="auto"/>
        <w:rPr/>
      </w:pPr>
      <w:r>
        <w:rPr>
          <w:rFonts w:ascii="Calibri" w:hAnsi="Calibri"/>
          <w:b/>
          <w:color w:val="000000"/>
          <w:sz w:val="20"/>
        </w:rPr>
        <w:t>Blood culture and rapid AST require a separate method pathway</w:t>
      </w:r>
    </w:p>
    <w:p>
      <w:pPr>
        <w:pStyle w:val="Normal"/>
        <w:spacing w:before="0" w:after="50" w:line="250" w:lineRule="auto"/>
        <w:rPr/>
      </w:pPr>
      <w:r>
        <w:rPr>
          <w:rFonts w:ascii="Calibri" w:hAnsi="Calibri"/>
          <w:color w:val="000000"/>
          <w:sz w:val="20"/>
        </w:rPr>
        <w:t xml:space="preserve">Rapid susceptibility testing from positive blood cultures is distinct from routine endpoint disk-diffusion reading. EUCAST provides a dedicated RAST method with time-specific interpretation and quality-control material. Those conditions cannot be replaced by routine endpoint thresholds simply because the same antimicrobial appears in both workflows.  </w:t>
      </w:r>
    </w:p>
    <w:p>
      <w:pPr>
        <w:pStyle w:val="Heading3"/>
        <w:keepNext/>
        <w:keepLines/>
        <w:spacing w:before="240" w:after="120" w:line="269" w:lineRule="auto"/>
      </w:pPr>
      <w:r>
        <w:rPr>
          <w:color w:val="000000"/>
        </w:rPr>
        <w:t>Proposed role of the platform</w:t>
      </w:r>
    </w:p>
    <w:p>
      <w:pPr>
        <w:pStyle w:val="Normal"/>
        <w:spacing w:before="0" w:after="50" w:line="250" w:lineRule="auto"/>
        <w:rPr/>
      </w:pPr>
      <w:r>
        <w:rPr>
          <w:rFonts w:ascii="Calibri" w:hAnsi="Calibri"/>
          <w:color w:val="000000"/>
          <w:sz w:val="20"/>
        </w:rPr>
        <w:t>AMReye.AI could investigate controlled timed imaging, capture completeness, traceable reading and integration of a separately qualified rapid method. The initial research should define the positive-culture starting point, organism and drug scope, preparation process, reading times and comparator. Direct testing before culture positivity would be another intended use.</w:t>
      </w:r>
    </w:p>
    <w:p>
      <w:pPr>
        <w:spacing w:before="0" w:after="50" w:line="250" w:lineRule="auto"/>
      </w:pPr>
      <w:r>
        <w:rPr>
          <w:rFonts w:ascii="Calibri" w:hAnsi="Calibri"/>
          <w:color w:val="000000"/>
          <w:sz w:val="20"/>
        </w:rPr>
        <w:t xml:space="preserve">Timing interval: Specimen collection to positivity</w:t>
      </w:r>
    </w:p>
    <w:p>
      <w:pPr>
        <w:spacing w:before="0" w:after="50" w:line="250" w:lineRule="auto"/>
      </w:pPr>
      <w:r>
        <w:rPr>
          <w:rFonts w:ascii="Calibri" w:hAnsi="Calibri"/>
          <w:color w:val="000000"/>
          <w:sz w:val="20"/>
        </w:rPr>
        <w:t xml:space="preserve">Why it must remain visible: May dominate the overall diagnostic timeline.</w:t>
      </w:r>
    </w:p>
    <w:p>
      <w:pPr>
        <w:spacing w:before="0" w:after="50" w:line="250" w:lineRule="auto"/>
      </w:pPr>
      <w:r>
        <w:rPr>
          <w:rFonts w:ascii="Calibri" w:hAnsi="Calibri"/>
          <w:color w:val="000000"/>
          <w:sz w:val="20"/>
        </w:rPr>
        <w:t xml:space="preserve">Timing interval: Positivity to method start</w:t>
      </w:r>
    </w:p>
    <w:p>
      <w:pPr>
        <w:spacing w:before="0" w:after="50" w:line="250" w:lineRule="auto"/>
      </w:pPr>
      <w:r>
        <w:rPr>
          <w:rFonts w:ascii="Calibri" w:hAnsi="Calibri"/>
          <w:color w:val="000000"/>
          <w:sz w:val="20"/>
        </w:rPr>
        <w:t xml:space="preserve">Why it must remain visible: Includes preparation and operational delay.</w:t>
      </w:r>
    </w:p>
    <w:p>
      <w:pPr>
        <w:spacing w:before="0" w:after="50" w:line="250" w:lineRule="auto"/>
      </w:pPr>
      <w:r>
        <w:rPr>
          <w:rFonts w:ascii="Calibri" w:hAnsi="Calibri"/>
          <w:color w:val="000000"/>
          <w:sz w:val="20"/>
        </w:rPr>
        <w:t xml:space="preserve">Timing interval: Method start to eligible reading</w:t>
      </w:r>
    </w:p>
    <w:p>
      <w:pPr>
        <w:spacing w:before="0" w:after="50" w:line="250" w:lineRule="auto"/>
      </w:pPr>
      <w:r>
        <w:rPr>
          <w:rFonts w:ascii="Calibri" w:hAnsi="Calibri"/>
          <w:color w:val="000000"/>
          <w:sz w:val="20"/>
        </w:rPr>
        <w:t xml:space="preserve">Why it must remain visible: The analytical interval of a timed rapid method.</w:t>
      </w:r>
    </w:p>
    <w:p>
      <w:pPr>
        <w:spacing w:before="0" w:after="50" w:line="250" w:lineRule="auto"/>
      </w:pPr>
      <w:r>
        <w:rPr>
          <w:rFonts w:ascii="Calibri" w:hAnsi="Calibri"/>
          <w:color w:val="000000"/>
          <w:sz w:val="20"/>
        </w:rPr>
        <w:t xml:space="preserve">Timing interval: Reading to reviewed communication</w:t>
      </w:r>
    </w:p>
    <w:p>
      <w:pPr>
        <w:spacing w:before="0" w:after="50" w:line="250" w:lineRule="auto"/>
      </w:pPr>
      <w:r>
        <w:rPr>
          <w:rFonts w:ascii="Calibri" w:hAnsi="Calibri"/>
          <w:color w:val="000000"/>
          <w:sz w:val="20"/>
        </w:rPr>
        <w:t xml:space="preserve">Why it must remain visible: Determines when the information becomes available for use.</w:t>
      </w:r>
    </w:p>
    <w:p>
      <w:pPr>
        <w:pStyle w:val="Heading3"/>
        <w:keepNext/>
        <w:keepLines/>
        <w:spacing w:before="240" w:after="120" w:line="269" w:lineRule="auto"/>
      </w:pPr>
      <w:r>
        <w:rPr>
          <w:color w:val="000000"/>
        </w:rPr>
        <w:t>Sub-two-hour work remains a research target</w:t>
      </w:r>
    </w:p>
    <w:p>
      <w:pPr>
        <w:pStyle w:val="Normal"/>
        <w:spacing w:before="0" w:after="50" w:line="250" w:lineRule="auto"/>
        <w:rPr/>
      </w:pPr>
      <w:r>
        <w:rPr>
          <w:rFonts w:ascii="Calibri" w:hAnsi="Calibri"/>
          <w:color w:val="000000"/>
          <w:sz w:val="20"/>
        </w:rPr>
        <w:t>A selected rapid research workflow may aim for an eligible result in less than two hours from a declared origin. The study must measure errors, abstention, organism-drug coverage and unsuccessful cases at that time. It should not imply that every bloodstream infection can receive a complete result within two hours of specimen collection.</w:t>
      </w:r>
    </w:p>
    <w:p>
      <w:pPr>
        <w:pStyle w:val="Normal"/>
        <w:spacing w:before="0" w:after="50" w:line="250" w:lineRule="auto"/>
        <w:rPr/>
      </w:pPr>
      <w:r>
        <w:rPr>
          <w:rFonts w:ascii="Calibri" w:hAnsi="Calibri"/>
          <w:color w:val="000000"/>
          <w:sz w:val="20"/>
        </w:rPr>
        <w:t>Clinical value depends on how reviewed information enters care. A future study should examine communication and decision processes alongside analytical performance. The current compendium proposes the measurement and data foundations; it does not present a validated rapid blood-culture AST product.</w:t>
      </w:r>
    </w:p>
    <w:p>
      <w:pPr>
        <w:pStyle w:val="Heading3"/>
        <w:keepNext/>
        <w:keepLines/>
        <w:spacing w:before="240" w:after="120" w:line="269" w:lineRule="auto"/>
      </w:pPr>
      <w:r>
        <w:rPr>
          <w:color w:val="000000"/>
        </w:rPr>
        <w:t>Heteroresistance and population diversity</w:t>
      </w:r>
    </w:p>
    <w:p>
      <w:pPr>
        <w:pStyle w:val="Normal"/>
        <w:keepNext/>
        <w:spacing w:before="0" w:after="50" w:line="250" w:lineRule="auto"/>
        <w:rPr/>
      </w:pPr>
      <w:r>
        <w:rPr>
          <w:rFonts w:ascii="Calibri" w:hAnsi="Calibri"/>
          <w:b/>
          <w:color w:val="000000"/>
          <w:sz w:val="20"/>
        </w:rPr>
        <w:t>A population can contain more than one susceptibility phenotype</w:t>
      </w:r>
    </w:p>
    <w:p>
      <w:pPr>
        <w:pStyle w:val="Normal"/>
        <w:spacing w:before="0" w:after="50" w:line="250" w:lineRule="auto"/>
        <w:rPr/>
      </w:pPr>
      <w:r>
        <w:rPr>
          <w:rFonts w:ascii="Calibri" w:hAnsi="Calibri"/>
          <w:color w:val="000000"/>
          <w:sz w:val="20"/>
        </w:rPr>
        <w:t xml:space="preserve">Heteroresistance describes a population in which a subpopulation exhibits greater resistance than the main population under the conditions being assessed. The term is used with differing operational definitions, so a study must state its organism, antimicrobial, population relationship and detection criteria. A single whole-population result may not describe that internal diversity adequately.  </w:t>
      </w:r>
    </w:p>
    <w:p>
      <w:pPr>
        <w:pStyle w:val="Heading3"/>
        <w:keepNext/>
        <w:keepLines/>
        <w:spacing w:before="240" w:after="120" w:line="269" w:lineRule="auto"/>
      </w:pPr>
      <w:r>
        <w:rPr>
          <w:color w:val="000000"/>
        </w:rPr>
        <w:t>Why the distinction matters for observation</w:t>
      </w:r>
    </w:p>
    <w:p>
      <w:pPr>
        <w:pStyle w:val="Normal"/>
        <w:spacing w:before="0" w:after="50" w:line="250" w:lineRule="auto"/>
        <w:rPr/>
      </w:pPr>
      <w:r>
        <w:rPr>
          <w:rFonts w:ascii="Calibri" w:hAnsi="Calibri"/>
          <w:color w:val="000000"/>
          <w:sz w:val="20"/>
        </w:rPr>
        <w:t>AMReye.AI's research interest is whether spatial and temporal records can help identify features that merit further investigation. Candidate features include localized growth, differences in emergence time and inconsistent responses across regions. These are observations or flags; none is a universal visual signature of heteroresistance.</w:t>
      </w:r>
    </w:p>
    <w:p>
      <w:pPr>
        <w:spacing w:before="0" w:after="50" w:line="250" w:lineRule="auto"/>
      </w:pPr>
      <w:r>
        <w:rPr>
          <w:rFonts w:ascii="Calibri" w:hAnsi="Calibri"/>
          <w:color w:val="000000"/>
          <w:sz w:val="20"/>
        </w:rPr>
        <w:t xml:space="preserve">Evidentiary level: Image feature</w:t>
      </w:r>
    </w:p>
    <w:p>
      <w:pPr>
        <w:spacing w:before="0" w:after="50" w:line="250" w:lineRule="auto"/>
      </w:pPr>
      <w:r>
        <w:rPr>
          <w:rFonts w:ascii="Calibri" w:hAnsi="Calibri"/>
          <w:color w:val="000000"/>
          <w:sz w:val="20"/>
        </w:rPr>
        <w:t xml:space="preserve">Appropriate statement: A localized object or growth pattern was observed.</w:t>
      </w:r>
    </w:p>
    <w:p>
      <w:pPr>
        <w:spacing w:before="0" w:after="50" w:line="250" w:lineRule="auto"/>
      </w:pPr>
      <w:r>
        <w:rPr>
          <w:rFonts w:ascii="Calibri" w:hAnsi="Calibri"/>
          <w:color w:val="000000"/>
          <w:sz w:val="20"/>
        </w:rPr>
        <w:t xml:space="preserve">Evidentiary level: Expert assessment</w:t>
      </w:r>
    </w:p>
    <w:p>
      <w:pPr>
        <w:spacing w:before="0" w:after="50" w:line="250" w:lineRule="auto"/>
      </w:pPr>
      <w:r>
        <w:rPr>
          <w:rFonts w:ascii="Calibri" w:hAnsi="Calibri"/>
          <w:color w:val="000000"/>
          <w:sz w:val="20"/>
        </w:rPr>
        <w:t xml:space="preserve">Appropriate statement: The feature is compatible with a biological explanation requiring investigation.</w:t>
      </w:r>
    </w:p>
    <w:p>
      <w:pPr>
        <w:spacing w:before="0" w:after="50" w:line="250" w:lineRule="auto"/>
      </w:pPr>
      <w:r>
        <w:rPr>
          <w:rFonts w:ascii="Calibri" w:hAnsi="Calibri"/>
          <w:color w:val="000000"/>
          <w:sz w:val="20"/>
        </w:rPr>
        <w:t xml:space="preserve">Evidentiary level: Population evidence</w:t>
      </w:r>
    </w:p>
    <w:p>
      <w:pPr>
        <w:spacing w:before="0" w:after="50" w:line="250" w:lineRule="auto"/>
      </w:pPr>
      <w:r>
        <w:rPr>
          <w:rFonts w:ascii="Calibri" w:hAnsi="Calibri"/>
          <w:color w:val="000000"/>
          <w:sz w:val="20"/>
        </w:rPr>
        <w:t xml:space="preserve">Appropriate statement: A defined method supports susceptibility heterogeneity.</w:t>
      </w:r>
    </w:p>
    <w:p>
      <w:pPr>
        <w:spacing w:before="0" w:after="50" w:line="250" w:lineRule="auto"/>
      </w:pPr>
      <w:r>
        <w:rPr>
          <w:rFonts w:ascii="Calibri" w:hAnsi="Calibri"/>
          <w:color w:val="000000"/>
          <w:sz w:val="20"/>
        </w:rPr>
        <w:t xml:space="preserve">Evidentiary level: Mechanistic evidence</w:t>
      </w:r>
    </w:p>
    <w:p>
      <w:pPr>
        <w:spacing w:before="0" w:after="50" w:line="250" w:lineRule="auto"/>
      </w:pPr>
      <w:r>
        <w:rPr>
          <w:rFonts w:ascii="Calibri" w:hAnsi="Calibri"/>
          <w:color w:val="000000"/>
          <w:sz w:val="20"/>
        </w:rPr>
        <w:t xml:space="preserve">Appropriate statement: Additional work supports a particular explanation for the heterogeneity.</w:t>
      </w:r>
    </w:p>
    <w:p>
      <w:pPr>
        <w:spacing w:before="0" w:after="50" w:line="250" w:lineRule="auto"/>
      </w:pPr>
      <w:r>
        <w:rPr>
          <w:rFonts w:ascii="Calibri" w:hAnsi="Calibri"/>
          <w:color w:val="000000"/>
          <w:sz w:val="20"/>
        </w:rPr>
        <w:t xml:space="preserve">Evidentiary level: Clinical association</w:t>
      </w:r>
    </w:p>
    <w:p>
      <w:pPr>
        <w:spacing w:before="0" w:after="50" w:line="250" w:lineRule="auto"/>
      </w:pPr>
      <w:r>
        <w:rPr>
          <w:rFonts w:ascii="Calibri" w:hAnsi="Calibri"/>
          <w:color w:val="000000"/>
          <w:sz w:val="20"/>
        </w:rPr>
        <w:t xml:space="preserve">Appropriate statement: A study evaluates relevance to outcomes in a specified setting.</w:t>
      </w:r>
    </w:p>
    <w:p>
      <w:pPr>
        <w:pStyle w:val="Heading3"/>
        <w:keepNext/>
        <w:keepLines/>
        <w:spacing w:before="240" w:after="120" w:line="269" w:lineRule="auto"/>
      </w:pPr>
      <w:r>
        <w:rPr>
          <w:color w:val="000000"/>
        </w:rPr>
        <w:t>Retain population and isolate identity</w:t>
      </w:r>
    </w:p>
    <w:p>
      <w:pPr>
        <w:pStyle w:val="Normal"/>
        <w:spacing w:before="0" w:after="50" w:line="250" w:lineRule="auto"/>
        <w:rPr/>
      </w:pPr>
      <w:r>
        <w:rPr>
          <w:rFonts w:ascii="Calibri" w:hAnsi="Calibri"/>
          <w:color w:val="000000"/>
          <w:sz w:val="20"/>
        </w:rPr>
        <w:t>Mixed species, contamination and within-isolate heterogeneity should not be conflated. The proposed record should preserve the level at which identity was established and whether a subpopulation was independently characterized. Repeated appearance alone does not prove a clonal relationship.</w:t>
      </w:r>
    </w:p>
    <w:p>
      <w:pPr>
        <w:pStyle w:val="Normal"/>
        <w:spacing w:before="0" w:after="50" w:line="250" w:lineRule="auto"/>
        <w:rPr/>
      </w:pPr>
      <w:r>
        <w:rPr>
          <w:rFonts w:ascii="Calibri" w:hAnsi="Calibri"/>
          <w:color w:val="000000"/>
          <w:sz w:val="20"/>
        </w:rPr>
        <w:t>The product research opportunity is to make unusual observations visible, traceable and available for qualified follow-up. Demonstrating that opportunity requires paired image and confirmation records, an appropriate negative comparison group and accounting for missed features. The system should not use the heteroresistance label merely because an AI model finds a plate visually unusual.</w:t>
      </w:r>
    </w:p>
    <w:p>
      <w:pPr>
        <w:pStyle w:val="Heading3"/>
        <w:keepNext/>
        <w:keepLines/>
        <w:spacing w:before="240" w:after="120" w:line="269" w:lineRule="auto"/>
      </w:pPr>
      <w:r>
        <w:rPr>
          <w:color w:val="000000"/>
        </w:rPr>
        <w:t>Resistance tolerance and persistence</w:t>
      </w:r>
    </w:p>
    <w:p>
      <w:pPr>
        <w:pStyle w:val="Normal"/>
        <w:keepNext/>
        <w:spacing w:before="0" w:after="50" w:line="250" w:lineRule="auto"/>
        <w:rPr/>
      </w:pPr>
      <w:r>
        <w:rPr>
          <w:rFonts w:ascii="Calibri" w:hAnsi="Calibri"/>
          <w:b/>
          <w:color w:val="000000"/>
          <w:sz w:val="20"/>
        </w:rPr>
        <w:t>Resistance, tolerance and persistence describe different behavior</w:t>
      </w:r>
    </w:p>
    <w:p>
      <w:pPr>
        <w:pStyle w:val="Normal"/>
        <w:spacing w:before="0" w:after="50" w:line="250" w:lineRule="auto"/>
        <w:rPr/>
      </w:pPr>
      <w:r>
        <w:rPr>
          <w:rFonts w:ascii="Calibri" w:hAnsi="Calibri"/>
          <w:color w:val="000000"/>
          <w:sz w:val="20"/>
        </w:rPr>
        <w:t xml:space="preserve">Resistance concerns growth at antimicrobial concentrations that inhibit a more susceptible comparator. Tolerance concerns prolonged survival during exposure without the corresponding increase in MIC. Persistence is a population phenomenon in which a subpopulation survives substantially better than the remainder. The consensus terminology emphasizes that persistence and a clinically persistent infection are not interchangeable concepts. </w:t>
      </w:r>
    </w:p>
    <w:p>
      <w:pPr>
        <w:spacing w:before="0" w:after="50" w:line="250" w:lineRule="auto"/>
      </w:pPr>
      <w:r>
        <w:rPr>
          <w:rFonts w:ascii="Calibri" w:hAnsi="Calibri"/>
          <w:color w:val="000000"/>
          <w:sz w:val="20"/>
        </w:rPr>
        <w:t xml:space="preserve">Concept: Resistance</w:t>
      </w:r>
    </w:p>
    <w:p>
      <w:pPr>
        <w:spacing w:before="0" w:after="50" w:line="250" w:lineRule="auto"/>
      </w:pPr>
      <w:r>
        <w:rPr>
          <w:rFonts w:ascii="Calibri" w:hAnsi="Calibri"/>
          <w:color w:val="000000"/>
          <w:sz w:val="20"/>
        </w:rPr>
        <w:t xml:space="preserve">Main distinction: Ability to grow under a defined inhibitory challenge</w:t>
      </w:r>
    </w:p>
    <w:p>
      <w:pPr>
        <w:spacing w:before="0" w:after="50" w:line="250" w:lineRule="auto"/>
      </w:pPr>
      <w:r>
        <w:rPr>
          <w:rFonts w:ascii="Calibri" w:hAnsi="Calibri"/>
          <w:color w:val="000000"/>
          <w:sz w:val="20"/>
        </w:rPr>
        <w:t xml:space="preserve">What a still image cannot establish: The complete concentration-response relationship.</w:t>
      </w:r>
    </w:p>
    <w:p>
      <w:pPr>
        <w:spacing w:before="0" w:after="50" w:line="250" w:lineRule="auto"/>
      </w:pPr>
      <w:r>
        <w:rPr>
          <w:rFonts w:ascii="Calibri" w:hAnsi="Calibri"/>
          <w:color w:val="000000"/>
          <w:sz w:val="20"/>
        </w:rPr>
        <w:t xml:space="preserve">Concept: Heteroresistance</w:t>
      </w:r>
    </w:p>
    <w:p>
      <w:pPr>
        <w:spacing w:before="0" w:after="50" w:line="250" w:lineRule="auto"/>
      </w:pPr>
      <w:r>
        <w:rPr>
          <w:rFonts w:ascii="Calibri" w:hAnsi="Calibri"/>
          <w:color w:val="000000"/>
          <w:sz w:val="20"/>
        </w:rPr>
        <w:t xml:space="preserve">Main distinction: Resistance differs within the population</w:t>
      </w:r>
    </w:p>
    <w:p>
      <w:pPr>
        <w:spacing w:before="0" w:after="50" w:line="250" w:lineRule="auto"/>
      </w:pPr>
      <w:r>
        <w:rPr>
          <w:rFonts w:ascii="Calibri" w:hAnsi="Calibri"/>
          <w:color w:val="000000"/>
          <w:sz w:val="20"/>
        </w:rPr>
        <w:t xml:space="preserve">What a still image cannot establish: Frequency, identity and stability of the subpopulation.</w:t>
      </w:r>
    </w:p>
    <w:p>
      <w:pPr>
        <w:spacing w:before="0" w:after="50" w:line="250" w:lineRule="auto"/>
      </w:pPr>
      <w:r>
        <w:rPr>
          <w:rFonts w:ascii="Calibri" w:hAnsi="Calibri"/>
          <w:color w:val="000000"/>
          <w:sz w:val="20"/>
        </w:rPr>
        <w:t xml:space="preserve">Concept: Tolerance</w:t>
      </w:r>
    </w:p>
    <w:p>
      <w:pPr>
        <w:spacing w:before="0" w:after="50" w:line="250" w:lineRule="auto"/>
      </w:pPr>
      <w:r>
        <w:rPr>
          <w:rFonts w:ascii="Calibri" w:hAnsi="Calibri"/>
          <w:color w:val="000000"/>
          <w:sz w:val="20"/>
        </w:rPr>
        <w:t xml:space="preserve">Main distinction: Survival duration differs without increased MIC</w:t>
      </w:r>
    </w:p>
    <w:p>
      <w:pPr>
        <w:spacing w:before="0" w:after="50" w:line="250" w:lineRule="auto"/>
      </w:pPr>
      <w:r>
        <w:rPr>
          <w:rFonts w:ascii="Calibri" w:hAnsi="Calibri"/>
          <w:color w:val="000000"/>
          <w:sz w:val="20"/>
        </w:rPr>
        <w:t xml:space="preserve">What a still image cannot establish: Killing kinetics and subsequent recoverability.</w:t>
      </w:r>
    </w:p>
    <w:p>
      <w:pPr>
        <w:spacing w:before="0" w:after="50" w:line="250" w:lineRule="auto"/>
      </w:pPr>
      <w:r>
        <w:rPr>
          <w:rFonts w:ascii="Calibri" w:hAnsi="Calibri"/>
          <w:color w:val="000000"/>
          <w:sz w:val="20"/>
        </w:rPr>
        <w:t xml:space="preserve">Concept: Persistence</w:t>
      </w:r>
    </w:p>
    <w:p>
      <w:pPr>
        <w:spacing w:before="0" w:after="50" w:line="250" w:lineRule="auto"/>
      </w:pPr>
      <w:r>
        <w:rPr>
          <w:rFonts w:ascii="Calibri" w:hAnsi="Calibri"/>
          <w:color w:val="000000"/>
          <w:sz w:val="20"/>
        </w:rPr>
        <w:t xml:space="preserve">Main distinction: A surviving subpopulation produces heterogeneous survival</w:t>
      </w:r>
    </w:p>
    <w:p>
      <w:pPr>
        <w:spacing w:before="0" w:after="50" w:line="250" w:lineRule="auto"/>
      </w:pPr>
      <w:r>
        <w:rPr>
          <w:rFonts w:ascii="Calibri" w:hAnsi="Calibri"/>
          <w:color w:val="000000"/>
          <w:sz w:val="20"/>
        </w:rPr>
        <w:t xml:space="preserve">What a still image cannot establish: Whether survival reflects persistence or another mechanism.</w:t>
      </w:r>
    </w:p>
    <w:p>
      <w:pPr>
        <w:pStyle w:val="Heading3"/>
        <w:keepNext/>
        <w:keepLines/>
        <w:spacing w:before="240" w:after="120" w:line="269" w:lineRule="auto"/>
      </w:pPr>
      <w:r>
        <w:rPr>
          <w:color w:val="000000"/>
        </w:rPr>
        <w:t>Build different evidence objects</w:t>
      </w:r>
    </w:p>
    <w:p>
      <w:pPr>
        <w:pStyle w:val="Normal"/>
        <w:spacing w:before="0" w:after="50" w:line="250" w:lineRule="auto"/>
        <w:rPr/>
      </w:pPr>
      <w:r>
        <w:rPr>
          <w:rFonts w:ascii="Calibri" w:hAnsi="Calibri"/>
          <w:color w:val="000000"/>
          <w:sz w:val="20"/>
        </w:rPr>
        <w:t>The proposed platform should avoid a single “abnormal growth” label that obscures the biological question. A temporal morphology record, a population susceptibility assessment and a survival study should retain separate methods and outputs. Their relationships can be investigated without merging them into one categorical result.</w:t>
      </w:r>
    </w:p>
    <w:p>
      <w:pPr>
        <w:pStyle w:val="Normal"/>
        <w:spacing w:before="0" w:after="50" w:line="250" w:lineRule="auto"/>
        <w:rPr/>
      </w:pPr>
      <w:r>
        <w:rPr>
          <w:rFonts w:ascii="Calibri" w:hAnsi="Calibri"/>
          <w:color w:val="000000"/>
          <w:sz w:val="20"/>
        </w:rPr>
        <w:t>The interface can help by showing whether the evidence concerns growth, survival or a computational proxy. A fluorescent or metabolic signal also needs a defined relationship to the quantity being inferred. Absence of visible change is not sufficient to establish death or susceptibility.</w:t>
      </w:r>
    </w:p>
    <w:p>
      <w:pPr>
        <w:pStyle w:val="Normal"/>
        <w:spacing w:before="0" w:after="50" w:line="250" w:lineRule="auto"/>
        <w:rPr/>
      </w:pPr>
      <w:r>
        <w:rPr>
          <w:rFonts w:ascii="Calibri" w:hAnsi="Calibri"/>
          <w:color w:val="000000"/>
          <w:sz w:val="20"/>
        </w:rPr>
        <w:t>For AMReye.AI development, these distinctions guide annotation and evaluation. Experts should label directly observable image features separately from confirmed biological classifications. That structure allows later models to be assessed against the right reference and prevents a convenient image label from becoming an unsupported mechanistic claim.</w:t>
      </w:r>
    </w:p>
    <w:p>
      <w:pPr>
        <w:pStyle w:val="Heading3"/>
        <w:keepNext/>
        <w:keepLines/>
        <w:spacing w:before="240" w:after="120" w:line="269" w:lineRule="auto"/>
      </w:pPr>
      <w:r>
        <w:rPr>
          <w:color w:val="000000"/>
        </w:rPr>
        <w:t>Why heteroresistance can be missed</w:t>
      </w:r>
    </w:p>
    <w:p>
      <w:pPr>
        <w:pStyle w:val="Normal"/>
        <w:keepNext/>
        <w:spacing w:before="0" w:after="50" w:line="250" w:lineRule="auto"/>
        <w:rPr/>
      </w:pPr>
      <w:r>
        <w:rPr>
          <w:rFonts w:ascii="Calibri" w:hAnsi="Calibri"/>
          <w:b/>
          <w:color w:val="000000"/>
          <w:sz w:val="20"/>
        </w:rPr>
        <w:t>Rare subpopulations create a sampling problem</w:t>
      </w:r>
    </w:p>
    <w:p>
      <w:pPr>
        <w:pStyle w:val="Normal"/>
        <w:spacing w:before="0" w:after="50" w:line="250" w:lineRule="auto"/>
        <w:rPr/>
      </w:pPr>
      <w:r>
        <w:rPr>
          <w:rFonts w:ascii="Calibri" w:hAnsi="Calibri"/>
          <w:color w:val="000000"/>
          <w:sz w:val="20"/>
        </w:rPr>
        <w:t>A minor subpopulation may be absent from the material actually sampled, remain below a detection threshold or become visible only after the observation period. The measurement system must therefore consider both biological sampling and optical detectability. Improving camera resolution cannot recover a subpopulation that was never represented in the observed material.</w:t>
      </w:r>
    </w:p>
    <w:p>
      <w:pPr>
        <w:pStyle w:val="Heading3"/>
        <w:keepNext/>
        <w:keepLines/>
        <w:spacing w:before="240" w:after="120" w:line="269" w:lineRule="auto"/>
      </w:pPr>
      <w:r>
        <w:rPr>
          <w:color w:val="000000"/>
        </w:rPr>
        <w:t>An illustrative probability model</w:t>
      </w:r>
    </w:p>
    <w:p>
      <w:pPr>
        <w:pStyle w:val="Normal"/>
        <w:spacing w:before="0" w:after="50" w:line="250" w:lineRule="auto"/>
        <w:rPr/>
      </w:pPr>
      <w:r>
        <w:rPr>
          <w:rFonts w:ascii="Calibri" w:hAnsi="Calibri"/>
          <w:color w:val="000000"/>
          <w:sz w:val="20"/>
        </w:rPr>
        <w:t>If each of n independently sampled cells has probability f of belonging to a subpopulation, the probability of sampling none is (1 − f)ⁿ. For small f, this is approximately exp(−nf). This simplified calculation assumes independent, representative sampling; clumping, growth and selection can violate those assumptions.</w:t>
      </w:r>
    </w:p>
    <w:p>
      <w:pPr>
        <w:spacing w:before="0" w:after="50" w:line="250" w:lineRule="auto"/>
      </w:pPr>
      <w:r>
        <w:rPr>
          <w:rFonts w:ascii="Calibri" w:hAnsi="Calibri"/>
          <w:color w:val="000000"/>
          <w:sz w:val="20"/>
        </w:rPr>
        <w:t xml:space="preserve">Limitation: Low representation</w:t>
      </w:r>
    </w:p>
    <w:p>
      <w:pPr>
        <w:spacing w:before="0" w:after="50" w:line="250" w:lineRule="auto"/>
      </w:pPr>
      <w:r>
        <w:rPr>
          <w:rFonts w:ascii="Calibri" w:hAnsi="Calibri"/>
          <w:color w:val="000000"/>
          <w:sz w:val="20"/>
        </w:rPr>
        <w:t xml:space="preserve">Consequence for a detection study: Include the sampling basis and an appropriate detection-limit analysis.</w:t>
      </w:r>
    </w:p>
    <w:p>
      <w:pPr>
        <w:spacing w:before="0" w:after="50" w:line="250" w:lineRule="auto"/>
      </w:pPr>
      <w:r>
        <w:rPr>
          <w:rFonts w:ascii="Calibri" w:hAnsi="Calibri"/>
          <w:color w:val="000000"/>
          <w:sz w:val="20"/>
        </w:rPr>
        <w:t xml:space="preserve">Limitation: Delayed emergence</w:t>
      </w:r>
    </w:p>
    <w:p>
      <w:pPr>
        <w:spacing w:before="0" w:after="50" w:line="250" w:lineRule="auto"/>
      </w:pPr>
      <w:r>
        <w:rPr>
          <w:rFonts w:ascii="Calibri" w:hAnsi="Calibri"/>
          <w:color w:val="000000"/>
          <w:sz w:val="20"/>
        </w:rPr>
        <w:t xml:space="preserve">Consequence for a detection study: Evaluate observation timing and late-appearing features.</w:t>
      </w:r>
    </w:p>
    <w:p>
      <w:pPr>
        <w:spacing w:before="0" w:after="50" w:line="250" w:lineRule="auto"/>
      </w:pPr>
      <w:r>
        <w:rPr>
          <w:rFonts w:ascii="Calibri" w:hAnsi="Calibri"/>
          <w:color w:val="000000"/>
          <w:sz w:val="20"/>
        </w:rPr>
        <w:t xml:space="preserve">Limitation: Population instability</w:t>
      </w:r>
    </w:p>
    <w:p>
      <w:pPr>
        <w:spacing w:before="0" w:after="50" w:line="250" w:lineRule="auto"/>
      </w:pPr>
      <w:r>
        <w:rPr>
          <w:rFonts w:ascii="Calibri" w:hAnsi="Calibri"/>
          <w:color w:val="000000"/>
          <w:sz w:val="20"/>
        </w:rPr>
        <w:t xml:space="preserve">Consequence for a detection study: Preserve handling history and time between linked assessments.</w:t>
      </w:r>
    </w:p>
    <w:p>
      <w:pPr>
        <w:spacing w:before="0" w:after="50" w:line="250" w:lineRule="auto"/>
      </w:pPr>
      <w:r>
        <w:rPr>
          <w:rFonts w:ascii="Calibri" w:hAnsi="Calibri"/>
          <w:color w:val="000000"/>
          <w:sz w:val="20"/>
        </w:rPr>
        <w:t xml:space="preserve">Limitation: Limited field or focus</w:t>
      </w:r>
    </w:p>
    <w:p>
      <w:pPr>
        <w:spacing w:before="0" w:after="50" w:line="250" w:lineRule="auto"/>
      </w:pPr>
      <w:r>
        <w:rPr>
          <w:rFonts w:ascii="Calibri" w:hAnsi="Calibri"/>
          <w:color w:val="000000"/>
          <w:sz w:val="20"/>
        </w:rPr>
        <w:t xml:space="preserve">Consequence for a detection study: Map where an object could be missed optically.</w:t>
      </w:r>
    </w:p>
    <w:p>
      <w:pPr>
        <w:spacing w:before="0" w:after="50" w:line="250" w:lineRule="auto"/>
      </w:pPr>
      <w:r>
        <w:rPr>
          <w:rFonts w:ascii="Calibri" w:hAnsi="Calibri"/>
          <w:color w:val="000000"/>
          <w:sz w:val="20"/>
        </w:rPr>
        <w:t xml:space="preserve">Limitation: Automated suppression</w:t>
      </w:r>
    </w:p>
    <w:p>
      <w:pPr>
        <w:spacing w:before="0" w:after="50" w:line="250" w:lineRule="auto"/>
      </w:pPr>
      <w:r>
        <w:rPr>
          <w:rFonts w:ascii="Calibri" w:hAnsi="Calibri"/>
          <w:color w:val="000000"/>
          <w:sz w:val="20"/>
        </w:rPr>
        <w:t xml:space="preserve">Consequence for a detection study: Test whether denoising or segmentation removes small real features.</w:t>
      </w:r>
    </w:p>
    <w:p>
      <w:pPr>
        <w:pStyle w:val="Heading3"/>
        <w:keepNext/>
        <w:keepLines/>
        <w:spacing w:before="240" w:after="120" w:line="269" w:lineRule="auto"/>
      </w:pPr>
      <w:r>
        <w:rPr>
          <w:color w:val="000000"/>
        </w:rPr>
        <w:t>The initial study question should be narrow</w:t>
      </w:r>
    </w:p>
    <w:p>
      <w:pPr>
        <w:pStyle w:val="Normal"/>
        <w:spacing w:before="0" w:after="50" w:line="250" w:lineRule="auto"/>
        <w:rPr/>
      </w:pPr>
      <w:r>
        <w:rPr>
          <w:rFonts w:ascii="Calibri" w:hAnsi="Calibri"/>
          <w:color w:val="000000"/>
          <w:sz w:val="20"/>
        </w:rPr>
        <w:t>The proposed imaging study can ask whether a defined feature is detected when it is visibly present in a qualified image. A broader claim that the instrument detects heteroresistance in a specimen requires additional evidence about sampling, method suitability and confirmation.</w:t>
      </w:r>
    </w:p>
    <w:p>
      <w:pPr>
        <w:pStyle w:val="Normal"/>
        <w:spacing w:before="0" w:after="50" w:line="250" w:lineRule="auto"/>
        <w:rPr/>
      </w:pPr>
      <w:r>
        <w:rPr>
          <w:rFonts w:ascii="Calibri" w:hAnsi="Calibri"/>
          <w:color w:val="000000"/>
          <w:sz w:val="20"/>
        </w:rPr>
        <w:t xml:space="preserve">A 2025 mechanistic study of an Enterobacter cloacae complex isolate linked transient gene amplification with variable resistance and growth behavior. That finding supports attention to changing population states, but it does not establish a universal detection time or a visual threshold for this platform. </w:t>
      </w:r>
    </w:p>
    <w:p>
      <w:pPr>
        <w:pStyle w:val="Heading3"/>
        <w:keepNext/>
        <w:keepLines/>
        <w:spacing w:before="240" w:after="120" w:line="269" w:lineRule="auto"/>
      </w:pPr>
      <w:r>
        <w:rPr>
          <w:color w:val="000000"/>
        </w:rPr>
        <w:t>Interpreting growth within inhibition zones</w:t>
      </w:r>
    </w:p>
    <w:p>
      <w:pPr>
        <w:pStyle w:val="Normal"/>
        <w:keepNext/>
        <w:spacing w:before="0" w:after="50" w:line="250" w:lineRule="auto"/>
        <w:rPr/>
      </w:pPr>
      <w:r>
        <w:rPr>
          <w:rFonts w:ascii="Calibri" w:hAnsi="Calibri"/>
          <w:b/>
          <w:color w:val="000000"/>
          <w:sz w:val="20"/>
        </w:rPr>
        <w:t>Growth within an inhibition zone is an observation to interpret in context</w:t>
      </w:r>
    </w:p>
    <w:p>
      <w:pPr>
        <w:pStyle w:val="Normal"/>
        <w:spacing w:before="0" w:after="50" w:line="250" w:lineRule="auto"/>
        <w:rPr/>
      </w:pPr>
      <w:r>
        <w:rPr>
          <w:rFonts w:ascii="Calibri" w:hAnsi="Calibri"/>
          <w:color w:val="000000"/>
          <w:sz w:val="20"/>
        </w:rPr>
        <w:t xml:space="preserve">An apparent object inside a zone may be biological growth, contamination, a mixed population, glare, debris or an imaging artifact. Organism-antimicrobial-specific reading instructions can also determine how particular appearances should be handled. The system must use the applicable method guidance and expert review, rather than a universal “inner colony equals heteroresistance” rule. </w:t>
      </w:r>
    </w:p>
    <w:p>
      <w:pPr>
        <w:pStyle w:val="Heading3"/>
        <w:keepNext/>
        <w:keepLines/>
        <w:spacing w:before="240" w:after="120" w:line="269" w:lineRule="auto"/>
      </w:pPr>
      <w:r>
        <w:rPr>
          <w:color w:val="000000"/>
        </w:rPr>
        <w:t>Proposed observation record</w:t>
      </w:r>
    </w:p>
    <w:p>
      <w:pPr>
        <w:pStyle w:val="Normal"/>
        <w:spacing w:before="0" w:after="50" w:line="250" w:lineRule="auto"/>
        <w:rPr/>
      </w:pPr>
      <w:r>
        <w:rPr>
          <w:rFonts w:ascii="Calibri" w:hAnsi="Calibri"/>
          <w:color w:val="000000"/>
          <w:sz w:val="20"/>
        </w:rPr>
        <w:t>The reader should preserve the object's location, size estimate, appearance, image quality and relationship to the proposed zone boundary. A flag should link to the original pixels. The label should describe the observable feature before proposing a biological interpretation.</w:t>
      </w:r>
    </w:p>
    <w:p>
      <w:pPr>
        <w:pStyle w:val="Caption"/>
        <w:keepNext/>
      </w:pPr>
      <w:bookmarkStart w:id="97010" w:name="figure_10"/>
      <w:r>
        <w:t>Figure 10 Within-zone growth investigation</w:t>
      </w:r>
      <w:bookmarkEnd w:id="97010"/>
    </w:p>
    <w:p xmlns:pic="http://schemas.openxmlformats.org/drawingml/2006/picture">
      <w:pPr>
        <w:pStyle w:val="Normal"/>
        <w:spacing w:before="0" w:after="50" w:line="250" w:lineRule="auto"/>
        <w:rPr/>
      </w:pPr>
      <w:r>
        <w:rPr>
          <w:rFonts w:ascii="Calibri" w:hAnsi="Calibri"/>
          <w:color w:val="000000"/>
          <w:sz w:val="20"/>
        </w:rPr>
        <w:drawing>
          <wp:inline distT="0" distB="0" distL="0" distR="0">
            <wp:extent cx="5904230" cy="2254250"/>
            <wp:effectExtent l="0" t="0" r="0" b="0"/>
            <wp:docPr id="20" name="Picture 20" descr="" title=""/>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0" name="Picture 20" descr="" title=""/>
                    <pic:cNvPicPr>
                      <a:picLocks noChangeAspect="1" noChangeArrowheads="1"/>
                    </pic:cNvPicPr>
                  </pic:nvPicPr>
                  <pic:blipFill>
                    <a:blip r:embed="rId15"/>
                    <a:stretch>
                      <a:fillRect/>
                    </a:stretch>
                  </pic:blipFill>
                  <pic:spPr bwMode="auto">
                    <a:xfrm>
                      <a:off x="0" y="0"/>
                      <a:ext cx="5904230" cy="2254250"/>
                    </a:xfrm>
                    <a:prstGeom prst="rect">
                      <a:avLst/>
                    </a:prstGeom>
                    <a:noFill/>
                  </pic:spPr>
                </pic:pic>
              </a:graphicData>
            </a:graphic>
          </wp:inline>
        </w:drawing>
      </w:r>
    </w:p>
    <w:p>
      <w:pPr>
        <w:pStyle w:val="Heading3"/>
        <w:keepNext/>
        <w:keepLines/>
        <w:spacing w:before="240" w:after="120" w:line="269" w:lineRule="auto"/>
      </w:pPr>
      <w:r>
        <w:rPr>
          <w:color w:val="000000"/>
        </w:rPr>
        <w:t>Avoid erasing the finding through correction</w:t>
      </w:r>
    </w:p>
    <w:p>
      <w:pPr>
        <w:pStyle w:val="Normal"/>
        <w:spacing w:before="0" w:after="50" w:line="250" w:lineRule="auto"/>
        <w:rPr/>
      </w:pPr>
      <w:r>
        <w:rPr>
          <w:rFonts w:ascii="Calibri" w:hAnsi="Calibri"/>
          <w:color w:val="000000"/>
          <w:sz w:val="20"/>
        </w:rPr>
        <w:t>A reviewer may alter a zone boundary without resolving the nature of an internal feature. These should be separate actions. The feature record should remain available even if the final diameter changes, with its review status and reason.</w:t>
      </w:r>
    </w:p>
    <w:p>
      <w:pPr>
        <w:pStyle w:val="Normal"/>
        <w:spacing w:before="0" w:after="50" w:line="250" w:lineRule="auto"/>
        <w:rPr/>
      </w:pPr>
      <w:r>
        <w:rPr>
          <w:rFonts w:ascii="Calibri" w:hAnsi="Calibri"/>
          <w:color w:val="000000"/>
          <w:sz w:val="20"/>
        </w:rPr>
        <w:t>Evaluation should include visually similar artifacts and confirmed negative cases. Report false flags per plate as well as sensitivity for visible target features. Excessive false alerts can burden review and encourage dismissal of important findings. The desired contribution is reliable attention to an interpretable observation, followed by the laboratory's qualified assessment process.</w:t>
      </w:r>
    </w:p>
    <w:p>
      <w:pPr>
        <w:pStyle w:val="Heading3"/>
        <w:keepNext/>
        <w:keepLines/>
        <w:spacing w:before="240" w:after="120" w:line="269" w:lineRule="auto"/>
      </w:pPr>
      <w:r>
        <w:rPr>
          <w:color w:val="000000"/>
        </w:rPr>
        <w:t>Imaging contributions to heteroresistance research</w:t>
      </w:r>
    </w:p>
    <w:p>
      <w:pPr>
        <w:pStyle w:val="Normal"/>
        <w:keepNext/>
        <w:spacing w:before="0" w:after="50" w:line="250" w:lineRule="auto"/>
        <w:rPr/>
      </w:pPr>
      <w:r>
        <w:rPr>
          <w:rFonts w:ascii="Calibri" w:hAnsi="Calibri"/>
          <w:b/>
          <w:color w:val="000000"/>
          <w:sz w:val="20"/>
        </w:rPr>
        <w:t>Imaging can improve the record available for investigation</w:t>
      </w:r>
    </w:p>
    <w:p>
      <w:pPr>
        <w:pStyle w:val="Normal"/>
        <w:spacing w:before="0" w:after="50" w:line="250" w:lineRule="auto"/>
        <w:rPr/>
      </w:pPr>
      <w:r>
        <w:rPr>
          <w:rFonts w:ascii="Calibri" w:hAnsi="Calibri"/>
          <w:color w:val="000000"/>
          <w:sz w:val="20"/>
        </w:rPr>
        <w:t>The proposed imaging contribution to heteroresistance research is richer spatial and temporal evidence. Repeated observations can show where a feature appeared, how its visible extent changed and whether it remained associated with the same plate location. These records may help experts formulate and test hypotheses about population behavior.</w:t>
      </w:r>
    </w:p>
    <w:p>
      <w:pPr>
        <w:pStyle w:val="Heading3"/>
        <w:keepNext/>
        <w:keepLines/>
        <w:spacing w:before="240" w:after="120" w:line="269" w:lineRule="auto"/>
      </w:pPr>
      <w:r>
        <w:rPr>
          <w:color w:val="000000"/>
        </w:rPr>
        <w:t>Separate feature detection from biological classification</w:t>
      </w:r>
    </w:p>
    <w:p>
      <w:pPr>
        <w:pStyle w:val="Normal"/>
        <w:spacing w:before="0" w:after="50" w:line="250" w:lineRule="auto"/>
        <w:rPr/>
      </w:pPr>
      <w:r>
        <w:rPr>
          <w:rFonts w:ascii="Calibri" w:hAnsi="Calibri"/>
          <w:color w:val="000000"/>
          <w:sz w:val="20"/>
        </w:rPr>
        <w:t>An initial algorithm can be trained to identify small visible objects or local changes. Its reference should be expert-reviewed image annotations, with disagreement retained. A later biological classification model would require independently confirmed labels and a study designed for that claim.</w:t>
      </w:r>
    </w:p>
    <w:p>
      <w:pPr>
        <w:spacing w:before="0" w:after="50" w:line="250" w:lineRule="auto"/>
      </w:pPr>
      <w:r>
        <w:rPr>
          <w:rFonts w:ascii="Calibri" w:hAnsi="Calibri"/>
          <w:color w:val="000000"/>
          <w:sz w:val="20"/>
        </w:rPr>
        <w:t xml:space="preserve">Candidate imaging output: Small-object localization</w:t>
      </w:r>
    </w:p>
    <w:p>
      <w:pPr>
        <w:spacing w:before="0" w:after="50" w:line="250" w:lineRule="auto"/>
      </w:pPr>
      <w:r>
        <w:rPr>
          <w:rFonts w:ascii="Calibri" w:hAnsi="Calibri"/>
          <w:color w:val="000000"/>
          <w:sz w:val="20"/>
        </w:rPr>
        <w:t xml:space="preserve">Proposed evaluation: Detection and position error across the usable field.</w:t>
      </w:r>
    </w:p>
    <w:p>
      <w:pPr>
        <w:spacing w:before="0" w:after="50" w:line="250" w:lineRule="auto"/>
      </w:pPr>
      <w:r>
        <w:rPr>
          <w:rFonts w:ascii="Calibri" w:hAnsi="Calibri"/>
          <w:color w:val="000000"/>
          <w:sz w:val="20"/>
        </w:rPr>
        <w:t xml:space="preserve">Candidate imaging output: Emergence-time estimate</w:t>
      </w:r>
    </w:p>
    <w:p>
      <w:pPr>
        <w:spacing w:before="0" w:after="50" w:line="250" w:lineRule="auto"/>
      </w:pPr>
      <w:r>
        <w:rPr>
          <w:rFonts w:ascii="Calibri" w:hAnsi="Calibri"/>
          <w:color w:val="000000"/>
          <w:sz w:val="20"/>
        </w:rPr>
        <w:t xml:space="preserve">Proposed evaluation: Agreement with independently reviewed temporal records.</w:t>
      </w:r>
    </w:p>
    <w:p>
      <w:pPr>
        <w:spacing w:before="0" w:after="50" w:line="250" w:lineRule="auto"/>
      </w:pPr>
      <w:r>
        <w:rPr>
          <w:rFonts w:ascii="Calibri" w:hAnsi="Calibri"/>
          <w:color w:val="000000"/>
          <w:sz w:val="20"/>
        </w:rPr>
        <w:t xml:space="preserve">Candidate imaging output: Growth trajectory</w:t>
      </w:r>
    </w:p>
    <w:p>
      <w:pPr>
        <w:spacing w:before="0" w:after="50" w:line="250" w:lineRule="auto"/>
      </w:pPr>
      <w:r>
        <w:rPr>
          <w:rFonts w:ascii="Calibri" w:hAnsi="Calibri"/>
          <w:color w:val="000000"/>
          <w:sz w:val="20"/>
        </w:rPr>
        <w:t xml:space="preserve">Proposed evaluation: Measurement error and tracking continuity.</w:t>
      </w:r>
    </w:p>
    <w:p>
      <w:pPr>
        <w:spacing w:before="0" w:after="50" w:line="250" w:lineRule="auto"/>
      </w:pPr>
      <w:r>
        <w:rPr>
          <w:rFonts w:ascii="Calibri" w:hAnsi="Calibri"/>
          <w:color w:val="000000"/>
          <w:sz w:val="20"/>
        </w:rPr>
        <w:t xml:space="preserve">Candidate imaging output: Spatial association</w:t>
      </w:r>
    </w:p>
    <w:p>
      <w:pPr>
        <w:spacing w:before="0" w:after="50" w:line="250" w:lineRule="auto"/>
      </w:pPr>
      <w:r>
        <w:rPr>
          <w:rFonts w:ascii="Calibri" w:hAnsi="Calibri"/>
          <w:color w:val="000000"/>
          <w:sz w:val="20"/>
        </w:rPr>
        <w:t xml:space="preserve">Proposed evaluation: Robustness to plate motion and registration uncertainty.</w:t>
      </w:r>
    </w:p>
    <w:p>
      <w:pPr>
        <w:spacing w:before="0" w:after="50" w:line="250" w:lineRule="auto"/>
      </w:pPr>
      <w:r>
        <w:rPr>
          <w:rFonts w:ascii="Calibri" w:hAnsi="Calibri"/>
          <w:color w:val="000000"/>
          <w:sz w:val="20"/>
        </w:rPr>
        <w:t xml:space="preserve">Candidate imaging output: Investigation flag</w:t>
      </w:r>
    </w:p>
    <w:p>
      <w:pPr>
        <w:spacing w:before="0" w:after="50" w:line="250" w:lineRule="auto"/>
      </w:pPr>
      <w:r>
        <w:rPr>
          <w:rFonts w:ascii="Calibri" w:hAnsi="Calibri"/>
          <w:color w:val="000000"/>
          <w:sz w:val="20"/>
        </w:rPr>
        <w:t xml:space="preserve">Proposed evaluation: Confirmation yield, missed confirmed cases and review burden.</w:t>
      </w:r>
    </w:p>
    <w:p>
      <w:pPr>
        <w:pStyle w:val="Heading3"/>
        <w:keepNext/>
        <w:keepLines/>
        <w:spacing w:before="240" w:after="120" w:line="269" w:lineRule="auto"/>
      </w:pPr>
      <w:r>
        <w:rPr>
          <w:color w:val="000000"/>
        </w:rPr>
        <w:t>Additional modalities need an information test</w:t>
      </w:r>
    </w:p>
    <w:p>
      <w:pPr>
        <w:pStyle w:val="Normal"/>
        <w:spacing w:before="0" w:after="50" w:line="250" w:lineRule="auto"/>
        <w:rPr/>
      </w:pPr>
      <w:r>
        <w:rPr>
          <w:rFonts w:ascii="Calibri" w:hAnsi="Calibri"/>
          <w:color w:val="000000"/>
          <w:sz w:val="20"/>
        </w:rPr>
        <w:t>Spectral, phase or metabolic channels might add complementary information, but their value cannot be assumed. A paired study should compare the combined model with a strong imaging baseline and assess whether gains persist on independent material. Shared confounders, such as condensation or altered illumination, should be challenged explicitly.</w:t>
      </w:r>
    </w:p>
    <w:p>
      <w:pPr>
        <w:pStyle w:val="Normal"/>
        <w:spacing w:before="0" w:after="50" w:line="250" w:lineRule="auto"/>
        <w:rPr/>
      </w:pPr>
      <w:r>
        <w:rPr>
          <w:rFonts w:ascii="Calibri" w:hAnsi="Calibri"/>
          <w:color w:val="000000"/>
          <w:sz w:val="20"/>
        </w:rPr>
        <w:t>The platform should retain observations that the current model cannot classify. Those cases may be especially useful for expert-led research. A curated archive of uncertainty and discordance can support future learning, provided access and consent are appropriate and historical model predictions are not retrospectively treated as confirmed biological labels.</w:t>
      </w:r>
    </w:p>
    <w:p>
      <w:pPr>
        <w:pStyle w:val="Heading3"/>
        <w:keepNext/>
        <w:keepLines/>
        <w:spacing w:before="240" w:after="120" w:line="269" w:lineRule="auto"/>
      </w:pPr>
      <w:r>
        <w:rPr>
          <w:color w:val="000000"/>
        </w:rPr>
        <w:t>Confirmation and discordant results</w:t>
      </w:r>
    </w:p>
    <w:p>
      <w:pPr>
        <w:pStyle w:val="Normal"/>
        <w:keepNext/>
        <w:spacing w:before="0" w:after="50" w:line="250" w:lineRule="auto"/>
        <w:rPr/>
      </w:pPr>
      <w:r>
        <w:rPr>
          <w:rFonts w:ascii="Calibri" w:hAnsi="Calibri"/>
          <w:b/>
          <w:color w:val="000000"/>
          <w:sz w:val="20"/>
        </w:rPr>
        <w:t>Confirmation must answer the actual discrepancy</w:t>
      </w:r>
    </w:p>
    <w:p>
      <w:pPr>
        <w:pStyle w:val="Normal"/>
        <w:spacing w:before="0" w:after="50" w:line="250" w:lineRule="auto"/>
        <w:rPr/>
      </w:pPr>
      <w:r>
        <w:rPr>
          <w:rFonts w:ascii="Calibri" w:hAnsi="Calibri"/>
          <w:color w:val="000000"/>
          <w:sz w:val="20"/>
        </w:rPr>
        <w:t xml:space="preserve">A suspected heteroresistance finding requires an appropriately designed laboratory investigation. Population analysis profiling is used in original heteroresistance studies, but methods and operational definitions vary. The compendium does not prescribe a universal confirmation protocol or replace organism-specific laboratory expertise.  </w:t>
      </w:r>
    </w:p>
    <w:p>
      <w:pPr>
        <w:pStyle w:val="Heading3"/>
        <w:keepNext/>
        <w:keepLines/>
        <w:spacing w:before="240" w:after="120" w:line="269" w:lineRule="auto"/>
      </w:pPr>
      <w:r>
        <w:rPr>
          <w:color w:val="000000"/>
        </w:rPr>
        <w:t>Proposed evidence linkage</w:t>
      </w:r>
    </w:p>
    <w:p>
      <w:pPr>
        <w:pStyle w:val="Normal"/>
        <w:spacing w:before="0" w:after="50" w:line="250" w:lineRule="auto"/>
        <w:rPr/>
      </w:pPr>
      <w:r>
        <w:rPr>
          <w:rFonts w:ascii="Calibri" w:hAnsi="Calibri"/>
          <w:color w:val="000000"/>
          <w:sz w:val="20"/>
        </w:rPr>
        <w:t>The platform should connect the initial image feature with the expert assessment and subsequent laboratory findings. It should preserve whether the follow-up used the same physical material, a related isolate or a later specimen. These relationships affect how a disagreement can be interpreted.</w:t>
      </w:r>
    </w:p>
    <w:p>
      <w:pPr>
        <w:spacing w:before="0" w:after="50" w:line="250" w:lineRule="auto"/>
      </w:pPr>
      <w:r>
        <w:rPr>
          <w:rFonts w:ascii="Calibri" w:hAnsi="Calibri"/>
          <w:color w:val="000000"/>
          <w:sz w:val="20"/>
        </w:rPr>
        <w:t xml:space="preserve">Discrepancy: Image flag without confirmation</w:t>
      </w:r>
    </w:p>
    <w:p>
      <w:pPr>
        <w:spacing w:before="0" w:after="50" w:line="250" w:lineRule="auto"/>
      </w:pPr>
      <w:r>
        <w:rPr>
          <w:rFonts w:ascii="Calibri" w:hAnsi="Calibri"/>
          <w:color w:val="000000"/>
          <w:sz w:val="20"/>
        </w:rPr>
        <w:t xml:space="preserve">Proposed investigation record: Feature remains observed; biological classification unresolved or unsupported.</w:t>
      </w:r>
    </w:p>
    <w:p>
      <w:pPr>
        <w:spacing w:before="0" w:after="50" w:line="250" w:lineRule="auto"/>
      </w:pPr>
      <w:r>
        <w:rPr>
          <w:rFonts w:ascii="Calibri" w:hAnsi="Calibri"/>
          <w:color w:val="000000"/>
          <w:sz w:val="20"/>
        </w:rPr>
        <w:t xml:space="preserve">Discrepancy: Confirmation without visible feature</w:t>
      </w:r>
    </w:p>
    <w:p>
      <w:pPr>
        <w:spacing w:before="0" w:after="50" w:line="250" w:lineRule="auto"/>
      </w:pPr>
      <w:r>
        <w:rPr>
          <w:rFonts w:ascii="Calibri" w:hAnsi="Calibri"/>
          <w:color w:val="000000"/>
          <w:sz w:val="20"/>
        </w:rPr>
        <w:t xml:space="preserve">Proposed investigation record: Assess sampling, timing, field coverage and optical limits.</w:t>
      </w:r>
    </w:p>
    <w:p>
      <w:pPr>
        <w:spacing w:before="0" w:after="50" w:line="250" w:lineRule="auto"/>
      </w:pPr>
      <w:r>
        <w:rPr>
          <w:rFonts w:ascii="Calibri" w:hAnsi="Calibri"/>
          <w:color w:val="000000"/>
          <w:sz w:val="20"/>
        </w:rPr>
        <w:t xml:space="preserve">Discrepancy: Repeated tests disagree</w:t>
      </w:r>
    </w:p>
    <w:p>
      <w:pPr>
        <w:spacing w:before="0" w:after="50" w:line="250" w:lineRule="auto"/>
      </w:pPr>
      <w:r>
        <w:rPr>
          <w:rFonts w:ascii="Calibri" w:hAnsi="Calibri"/>
          <w:color w:val="000000"/>
          <w:sz w:val="20"/>
        </w:rPr>
        <w:t xml:space="preserve">Proposed investigation record: Preserve method conditions, handling history and population lineage.</w:t>
      </w:r>
    </w:p>
    <w:p>
      <w:pPr>
        <w:spacing w:before="0" w:after="50" w:line="250" w:lineRule="auto"/>
      </w:pPr>
      <w:r>
        <w:rPr>
          <w:rFonts w:ascii="Calibri" w:hAnsi="Calibri"/>
          <w:color w:val="000000"/>
          <w:sz w:val="20"/>
        </w:rPr>
        <w:t xml:space="preserve">Discrepancy: Molecular and phenotypic evidence differ</w:t>
      </w:r>
    </w:p>
    <w:p>
      <w:pPr>
        <w:spacing w:before="0" w:after="50" w:line="250" w:lineRule="auto"/>
      </w:pPr>
      <w:r>
        <w:rPr>
          <w:rFonts w:ascii="Calibri" w:hAnsi="Calibri"/>
          <w:color w:val="000000"/>
          <w:sz w:val="20"/>
        </w:rPr>
        <w:t xml:space="preserve">Proposed investigation record: Review assay scope and evidence identity without automatic override.</w:t>
      </w:r>
    </w:p>
    <w:p>
      <w:pPr>
        <w:spacing w:before="0" w:after="50" w:line="250" w:lineRule="auto"/>
      </w:pPr>
      <w:r>
        <w:rPr>
          <w:rFonts w:ascii="Calibri" w:hAnsi="Calibri"/>
          <w:color w:val="000000"/>
          <w:sz w:val="20"/>
        </w:rPr>
        <w:t xml:space="preserve">Discrepancy: Identity is uncertain</w:t>
      </w:r>
    </w:p>
    <w:p>
      <w:pPr>
        <w:spacing w:before="0" w:after="50" w:line="250" w:lineRule="auto"/>
      </w:pPr>
      <w:r>
        <w:rPr>
          <w:rFonts w:ascii="Calibri" w:hAnsi="Calibri"/>
          <w:color w:val="000000"/>
          <w:sz w:val="20"/>
        </w:rPr>
        <w:t xml:space="preserve">Proposed investigation record: Suspend cross-record conclusions until the linkage is resolved.</w:t>
      </w:r>
    </w:p>
    <w:p>
      <w:pPr>
        <w:pStyle w:val="Heading3"/>
        <w:keepNext/>
        <w:keepLines/>
        <w:spacing w:before="240" w:after="120" w:line="269" w:lineRule="auto"/>
      </w:pPr>
      <w:r>
        <w:rPr>
          <w:color w:val="000000"/>
        </w:rPr>
        <w:t>Adjudication should be independent</w:t>
      </w:r>
    </w:p>
    <w:p>
      <w:pPr>
        <w:pStyle w:val="Normal"/>
        <w:spacing w:before="0" w:after="50" w:line="250" w:lineRule="auto"/>
        <w:rPr/>
      </w:pPr>
      <w:r>
        <w:rPr>
          <w:rFonts w:ascii="Calibri" w:hAnsi="Calibri"/>
          <w:color w:val="000000"/>
          <w:sz w:val="20"/>
        </w:rPr>
        <w:t>The expert process used to establish reference labels should not simply accept the AI flag as evidence of the target condition. Blinding where feasible, prespecified criteria and retention of unresolved cases improve interpretability. A consensus label should also retain whether it was unanimous or uncertain.</w:t>
      </w:r>
    </w:p>
    <w:p>
      <w:pPr>
        <w:pStyle w:val="Normal"/>
        <w:spacing w:before="0" w:after="50" w:line="250" w:lineRule="auto"/>
        <w:rPr/>
      </w:pPr>
      <w:r>
        <w:rPr>
          <w:rFonts w:ascii="Calibri" w:hAnsi="Calibri"/>
          <w:color w:val="000000"/>
          <w:sz w:val="20"/>
        </w:rPr>
        <w:t>For validation, every eligible case should be accounted for, including missing confirmation and failed follow-up. Treating only successfully confirmed positive flags as the study population would exaggerate usefulness. The proposed product should make this accounting straightforward through explicit investigation states and links, while leaving the biological decision to qualified personnel and the applicable method.</w:t>
      </w:r>
    </w:p>
    <w:p>
      <w:pPr>
        <w:pStyle w:val="Heading3"/>
        <w:keepNext/>
        <w:keepLines/>
        <w:spacing w:before="240" w:after="120" w:line="269" w:lineRule="auto"/>
      </w:pPr>
      <w:r>
        <w:rPr>
          <w:color w:val="000000"/>
        </w:rPr>
        <w:t>Longitudinal heteroresistance observations</w:t>
      </w:r>
    </w:p>
    <w:p>
      <w:pPr>
        <w:pStyle w:val="Normal"/>
        <w:keepNext/>
        <w:spacing w:before="0" w:after="50" w:line="250" w:lineRule="auto"/>
        <w:rPr/>
      </w:pPr>
      <w:r>
        <w:rPr>
          <w:rFonts w:ascii="Calibri" w:hAnsi="Calibri"/>
          <w:b/>
          <w:color w:val="000000"/>
          <w:sz w:val="20"/>
        </w:rPr>
        <w:t>Longitudinal records preserve changes that a single endpoint can hide</w:t>
      </w:r>
    </w:p>
    <w:p>
      <w:pPr>
        <w:pStyle w:val="Normal"/>
        <w:spacing w:before="0" w:after="50" w:line="250" w:lineRule="auto"/>
        <w:rPr/>
      </w:pPr>
      <w:r>
        <w:rPr>
          <w:rFonts w:ascii="Calibri" w:hAnsi="Calibri"/>
          <w:color w:val="000000"/>
          <w:sz w:val="20"/>
        </w:rPr>
        <w:t>Population composition and visible behavior can change over time. A longitudinal research record should preserve observation timing, handling events and the relationship among repeated assessments. It should not assume that a phenotype measured after additional processing represents the earlier state without qualification.</w:t>
      </w:r>
    </w:p>
    <w:p>
      <w:pPr>
        <w:pStyle w:val="Heading3"/>
        <w:keepNext/>
        <w:keepLines/>
        <w:spacing w:before="240" w:after="120" w:line="269" w:lineRule="auto"/>
      </w:pPr>
      <w:r>
        <w:rPr>
          <w:color w:val="000000"/>
        </w:rPr>
        <w:t>Follow the same object when possible</w:t>
      </w:r>
    </w:p>
    <w:p>
      <w:pPr>
        <w:pStyle w:val="Normal"/>
        <w:spacing w:before="0" w:after="50" w:line="250" w:lineRule="auto"/>
        <w:rPr/>
      </w:pPr>
      <w:r>
        <w:rPr>
          <w:rFonts w:ascii="Calibri" w:hAnsi="Calibri"/>
          <w:color w:val="000000"/>
          <w:sz w:val="20"/>
        </w:rPr>
        <w:t>Tracking a visible colony or region requires stable identity through movement, merging and occlusion. When identity is lost, the trajectory should become uncertain or terminate. Automatically joining the nearest objects can create a convincing but incorrect history.</w:t>
      </w:r>
    </w:p>
    <w:p>
      <w:pPr>
        <w:spacing w:before="0" w:after="50" w:line="250" w:lineRule="auto"/>
      </w:pPr>
      <w:r>
        <w:rPr>
          <w:rFonts w:ascii="Calibri" w:hAnsi="Calibri"/>
          <w:color w:val="000000"/>
          <w:sz w:val="20"/>
        </w:rPr>
        <w:t xml:space="preserve">Longitudinal element: Same plate, later image</w:t>
      </w:r>
    </w:p>
    <w:p>
      <w:pPr>
        <w:spacing w:before="0" w:after="50" w:line="250" w:lineRule="auto"/>
      </w:pPr>
      <w:r>
        <w:rPr>
          <w:rFonts w:ascii="Calibri" w:hAnsi="Calibri"/>
          <w:color w:val="000000"/>
          <w:sz w:val="20"/>
        </w:rPr>
        <w:t xml:space="preserve">Required distinction: Repeated observation of one physical object.</w:t>
      </w:r>
    </w:p>
    <w:p>
      <w:pPr>
        <w:spacing w:before="0" w:after="50" w:line="250" w:lineRule="auto"/>
      </w:pPr>
      <w:r>
        <w:rPr>
          <w:rFonts w:ascii="Calibri" w:hAnsi="Calibri"/>
          <w:color w:val="000000"/>
          <w:sz w:val="20"/>
        </w:rPr>
        <w:t xml:space="preserve">Longitudinal element: Derived material</w:t>
      </w:r>
    </w:p>
    <w:p>
      <w:pPr>
        <w:spacing w:before="0" w:after="50" w:line="250" w:lineRule="auto"/>
      </w:pPr>
      <w:r>
        <w:rPr>
          <w:rFonts w:ascii="Calibri" w:hAnsi="Calibri"/>
          <w:color w:val="000000"/>
          <w:sz w:val="20"/>
        </w:rPr>
        <w:t xml:space="preserve">Required distinction: A new biological object linked by lineage.</w:t>
      </w:r>
    </w:p>
    <w:p>
      <w:pPr>
        <w:spacing w:before="0" w:after="50" w:line="250" w:lineRule="auto"/>
      </w:pPr>
      <w:r>
        <w:rPr>
          <w:rFonts w:ascii="Calibri" w:hAnsi="Calibri"/>
          <w:color w:val="000000"/>
          <w:sz w:val="20"/>
        </w:rPr>
        <w:t xml:space="preserve">Longitudinal element: Repeated assay</w:t>
      </w:r>
    </w:p>
    <w:p>
      <w:pPr>
        <w:spacing w:before="0" w:after="50" w:line="250" w:lineRule="auto"/>
      </w:pPr>
      <w:r>
        <w:rPr>
          <w:rFonts w:ascii="Calibri" w:hAnsi="Calibri"/>
          <w:color w:val="000000"/>
          <w:sz w:val="20"/>
        </w:rPr>
        <w:t xml:space="preserve">Required distinction: A separate experiment with its own conditions.</w:t>
      </w:r>
    </w:p>
    <w:p>
      <w:pPr>
        <w:spacing w:before="0" w:after="50" w:line="250" w:lineRule="auto"/>
      </w:pPr>
      <w:r>
        <w:rPr>
          <w:rFonts w:ascii="Calibri" w:hAnsi="Calibri"/>
          <w:color w:val="000000"/>
          <w:sz w:val="20"/>
        </w:rPr>
        <w:t xml:space="preserve">Longitudinal element: Later specimen</w:t>
      </w:r>
    </w:p>
    <w:p>
      <w:pPr>
        <w:spacing w:before="0" w:after="50" w:line="250" w:lineRule="auto"/>
      </w:pPr>
      <w:r>
        <w:rPr>
          <w:rFonts w:ascii="Calibri" w:hAnsi="Calibri"/>
          <w:color w:val="000000"/>
          <w:sz w:val="20"/>
        </w:rPr>
        <w:t xml:space="preserve">Required distinction: A different sampling event, even for the same patient.</w:t>
      </w:r>
    </w:p>
    <w:p>
      <w:pPr>
        <w:spacing w:before="0" w:after="50" w:line="250" w:lineRule="auto"/>
      </w:pPr>
      <w:r>
        <w:rPr>
          <w:rFonts w:ascii="Calibri" w:hAnsi="Calibri"/>
          <w:color w:val="000000"/>
          <w:sz w:val="20"/>
        </w:rPr>
        <w:t xml:space="preserve">Longitudinal element: Simulated continuation</w:t>
      </w:r>
    </w:p>
    <w:p>
      <w:pPr>
        <w:spacing w:before="0" w:after="50" w:line="250" w:lineRule="auto"/>
      </w:pPr>
      <w:r>
        <w:rPr>
          <w:rFonts w:ascii="Calibri" w:hAnsi="Calibri"/>
          <w:color w:val="000000"/>
          <w:sz w:val="20"/>
        </w:rPr>
        <w:t xml:space="preserve">Required distinction: A conditional model output with no new observation.</w:t>
      </w:r>
    </w:p>
    <w:p>
      <w:pPr>
        <w:pStyle w:val="Heading3"/>
        <w:keepNext/>
        <w:keepLines/>
        <w:spacing w:before="240" w:after="120" w:line="269" w:lineRule="auto"/>
      </w:pPr>
      <w:r>
        <w:rPr>
          <w:color w:val="000000"/>
        </w:rPr>
        <w:t>Use temporal evidence to refine questions</w:t>
      </w:r>
    </w:p>
    <w:p>
      <w:pPr>
        <w:pStyle w:val="Normal"/>
        <w:spacing w:before="0" w:after="50" w:line="250" w:lineRule="auto"/>
        <w:rPr/>
      </w:pPr>
      <w:r>
        <w:rPr>
          <w:rFonts w:ascii="Calibri" w:hAnsi="Calibri"/>
          <w:color w:val="000000"/>
          <w:sz w:val="20"/>
        </w:rPr>
        <w:t>Researchers can examine whether a feature emerges consistently, whether its appearance depends on the observation window and whether alternative imaging channels improve detection. Those analyses should preserve unobserved intervals and uncertainty in onset time. A feature first visible at one image may have appeared at any point since the preceding eligible observation.</w:t>
      </w:r>
    </w:p>
    <w:p>
      <w:pPr>
        <w:pStyle w:val="Normal"/>
        <w:spacing w:before="0" w:after="50" w:line="250" w:lineRule="auto"/>
        <w:rPr/>
      </w:pPr>
      <w:r>
        <w:rPr>
          <w:rFonts w:ascii="Calibri" w:hAnsi="Calibri"/>
          <w:color w:val="000000"/>
          <w:sz w:val="20"/>
        </w:rPr>
        <w:t>The proposed twin can summarize trajectories and test forecasting hypotheses, but it should not complete missing biological history with synthetic labels. Longitudinal heteroresistance research is most valuable when the platform makes uncertain lineage, timing and measurement visible enough for experts to evaluate competing explanations.</w:t>
      </w:r>
    </w:p>
    <w:p>
      <w:pPr>
        <w:pStyle w:val="Heading3"/>
        <w:keepNext/>
        <w:keepLines/>
        <w:spacing w:before="240" w:after="120" w:line="269" w:lineRule="auto"/>
      </w:pPr>
      <w:r>
        <w:rPr>
          <w:color w:val="000000"/>
        </w:rPr>
        <w:t>Heteroresistance research priorities</w:t>
      </w:r>
    </w:p>
    <w:p>
      <w:pPr>
        <w:pStyle w:val="Normal"/>
        <w:keepNext/>
        <w:spacing w:before="0" w:after="50" w:line="250" w:lineRule="auto"/>
        <w:rPr/>
      </w:pPr>
      <w:r>
        <w:rPr>
          <w:rFonts w:ascii="Calibri" w:hAnsi="Calibri"/>
          <w:b/>
          <w:color w:val="000000"/>
          <w:sz w:val="20"/>
        </w:rPr>
        <w:t>Prioritize evidence that establishes useful detection boundaries</w:t>
      </w:r>
    </w:p>
    <w:p>
      <w:pPr>
        <w:pStyle w:val="Normal"/>
        <w:spacing w:before="0" w:after="50" w:line="250" w:lineRule="auto"/>
        <w:rPr/>
      </w:pPr>
      <w:r>
        <w:rPr>
          <w:rFonts w:ascii="Calibri" w:hAnsi="Calibri"/>
          <w:color w:val="000000"/>
          <w:sz w:val="20"/>
        </w:rPr>
        <w:t>The heteroresistance programme should begin with a clearly defined observation task and progress toward independently confirmed biological questions. The aim is to determine what the platform adds, where it fails and what follow-up remains necessary. A broad promise to detect all resistant subpopulations would be unsupported.</w:t>
      </w:r>
    </w:p>
    <w:p>
      <w:pPr>
        <w:spacing w:before="0" w:after="50" w:line="250" w:lineRule="auto"/>
      </w:pPr>
      <w:r>
        <w:rPr>
          <w:rFonts w:ascii="Calibri" w:hAnsi="Calibri"/>
          <w:color w:val="000000"/>
          <w:sz w:val="20"/>
        </w:rPr>
        <w:t xml:space="preserve">Priority question: Which visible features are reproducibly identifiable?</w:t>
      </w:r>
    </w:p>
    <w:p>
      <w:pPr>
        <w:spacing w:before="0" w:after="50" w:line="250" w:lineRule="auto"/>
      </w:pPr>
      <w:r>
        <w:rPr>
          <w:rFonts w:ascii="Calibri" w:hAnsi="Calibri"/>
          <w:color w:val="000000"/>
          <w:sz w:val="20"/>
        </w:rPr>
        <w:t xml:space="preserve">Proposed study output: Expert agreement and image-quality-dependent detection limits.</w:t>
      </w:r>
    </w:p>
    <w:p>
      <w:pPr>
        <w:spacing w:before="0" w:after="50" w:line="250" w:lineRule="auto"/>
      </w:pPr>
      <w:r>
        <w:rPr>
          <w:rFonts w:ascii="Calibri" w:hAnsi="Calibri"/>
          <w:color w:val="000000"/>
          <w:sz w:val="20"/>
        </w:rPr>
        <w:t xml:space="preserve">Priority question: Does time-lapse observation add information?</w:t>
      </w:r>
    </w:p>
    <w:p>
      <w:pPr>
        <w:spacing w:before="0" w:after="50" w:line="250" w:lineRule="auto"/>
      </w:pPr>
      <w:r>
        <w:rPr>
          <w:rFonts w:ascii="Calibri" w:hAnsi="Calibri"/>
          <w:color w:val="000000"/>
          <w:sz w:val="20"/>
        </w:rPr>
        <w:t xml:space="preserve">Proposed study output: Paired comparison with a single eligible endpoint image.</w:t>
      </w:r>
    </w:p>
    <w:p>
      <w:pPr>
        <w:spacing w:before="0" w:after="50" w:line="250" w:lineRule="auto"/>
      </w:pPr>
      <w:r>
        <w:rPr>
          <w:rFonts w:ascii="Calibri" w:hAnsi="Calibri"/>
          <w:color w:val="000000"/>
          <w:sz w:val="20"/>
        </w:rPr>
        <w:t xml:space="preserve">Priority question: Do extra modalities help?</w:t>
      </w:r>
    </w:p>
    <w:p>
      <w:pPr>
        <w:spacing w:before="0" w:after="50" w:line="250" w:lineRule="auto"/>
      </w:pPr>
      <w:r>
        <w:rPr>
          <w:rFonts w:ascii="Calibri" w:hAnsi="Calibri"/>
          <w:color w:val="000000"/>
          <w:sz w:val="20"/>
        </w:rPr>
        <w:t xml:space="preserve">Proposed study output: Independent modality-ablation results and added review burden.</w:t>
      </w:r>
    </w:p>
    <w:p>
      <w:pPr>
        <w:spacing w:before="0" w:after="50" w:line="250" w:lineRule="auto"/>
      </w:pPr>
      <w:r>
        <w:rPr>
          <w:rFonts w:ascii="Calibri" w:hAnsi="Calibri"/>
          <w:color w:val="000000"/>
          <w:sz w:val="20"/>
        </w:rPr>
        <w:t xml:space="preserve">Priority question: Which flags are biologically informative?</w:t>
      </w:r>
    </w:p>
    <w:p>
      <w:pPr>
        <w:spacing w:before="0" w:after="50" w:line="250" w:lineRule="auto"/>
      </w:pPr>
      <w:r>
        <w:rPr>
          <w:rFonts w:ascii="Calibri" w:hAnsi="Calibri"/>
          <w:color w:val="000000"/>
          <w:sz w:val="20"/>
        </w:rPr>
        <w:t xml:space="preserve">Proposed study output: Confirmation-linked performance with complete case accounting.</w:t>
      </w:r>
    </w:p>
    <w:p>
      <w:pPr>
        <w:spacing w:before="0" w:after="50" w:line="250" w:lineRule="auto"/>
      </w:pPr>
      <w:r>
        <w:rPr>
          <w:rFonts w:ascii="Calibri" w:hAnsi="Calibri"/>
          <w:color w:val="000000"/>
          <w:sz w:val="20"/>
        </w:rPr>
        <w:t xml:space="preserve">Priority question: Does the workflow improve practice?</w:t>
      </w:r>
    </w:p>
    <w:p>
      <w:pPr>
        <w:spacing w:before="0" w:after="50" w:line="250" w:lineRule="auto"/>
      </w:pPr>
      <w:r>
        <w:rPr>
          <w:rFonts w:ascii="Calibri" w:hAnsi="Calibri"/>
          <w:color w:val="000000"/>
          <w:sz w:val="20"/>
        </w:rPr>
        <w:t xml:space="preserve">Proposed study output: Prospective operational and, where justified, clinical evaluation.</w:t>
      </w:r>
    </w:p>
    <w:p>
      <w:pPr>
        <w:pStyle w:val="Heading3"/>
        <w:keepNext/>
        <w:keepLines/>
        <w:spacing w:before="240" w:after="120" w:line="269" w:lineRule="auto"/>
      </w:pPr>
      <w:r>
        <w:rPr>
          <w:color w:val="000000"/>
        </w:rPr>
        <w:t>Clinical relevance is a separate evidence question</w:t>
      </w:r>
    </w:p>
    <w:p>
      <w:pPr>
        <w:pStyle w:val="Normal"/>
        <w:spacing w:before="0" w:after="50" w:line="250" w:lineRule="auto"/>
        <w:rPr/>
      </w:pPr>
      <w:r>
        <w:rPr>
          <w:rFonts w:ascii="Calibri" w:hAnsi="Calibri"/>
          <w:color w:val="000000"/>
          <w:sz w:val="20"/>
        </w:rPr>
        <w:t xml:space="preserve">Band and colleagues demonstrated treatment failure associated with resistant subpopulations in a murine infection model. A 2025 retrospective ECC study did not find significant increases in hospitalization duration or disease progression in the outcomes it assessed. These findings concern different designs and populations; neither justifies a universal prediction for an individual patient.  </w:t>
      </w:r>
    </w:p>
    <w:p>
      <w:pPr>
        <w:pStyle w:val="Normal"/>
        <w:spacing w:before="0" w:after="50" w:line="250" w:lineRule="auto"/>
        <w:rPr/>
      </w:pPr>
      <w:r>
        <w:rPr>
          <w:rFonts w:ascii="Calibri" w:hAnsi="Calibri"/>
          <w:color w:val="000000"/>
          <w:sz w:val="20"/>
        </w:rPr>
        <w:t>The programme should retain negative and discordant findings and avoid selecting only striking images. Suitable collaborations would combine microbiology, imaging metrology, biostatistics and data governance. No such partnership or study completion is implied here.</w:t>
      </w:r>
    </w:p>
    <w:p>
      <w:pPr>
        <w:pStyle w:val="Normal"/>
        <w:spacing w:before="0" w:after="50" w:line="250" w:lineRule="auto"/>
        <w:rPr/>
      </w:pPr>
      <w:r>
        <w:rPr>
          <w:rFonts w:ascii="Calibri" w:hAnsi="Calibri"/>
          <w:color w:val="000000"/>
          <w:sz w:val="20"/>
        </w:rPr>
        <w:t>A successful early milestone would be a transparent, reproducible assessment of a bounded feature-detection task with an independently linked confirmation pathway. That result could justify further research into broader biological inference. It would still require separate evidence before supporting clinical reporting or claims about improved patient outcomes.</w:t>
      </w:r>
    </w:p>
    <w:p>
      <w:pPr>
        <w:pStyle w:val="Heading3"/>
        <w:keepNext/>
        <w:keepLines/>
        <w:spacing w:before="240" w:after="120" w:line="269" w:lineRule="auto"/>
      </w:pPr>
      <w:r>
        <w:rPr>
          <w:color w:val="000000"/>
        </w:rPr>
        <w:t>Molecular result integration</w:t>
      </w:r>
    </w:p>
    <w:p>
      <w:pPr>
        <w:pStyle w:val="Normal"/>
        <w:keepNext/>
        <w:spacing w:before="0" w:after="50" w:line="250" w:lineRule="auto"/>
        <w:rPr/>
      </w:pPr>
      <w:r>
        <w:rPr>
          <w:rFonts w:ascii="Calibri" w:hAnsi="Calibri"/>
          <w:b/>
          <w:color w:val="000000"/>
          <w:sz w:val="20"/>
        </w:rPr>
        <w:t>Molecular findings should remain linked to the assay that produced them</w:t>
      </w:r>
    </w:p>
    <w:p>
      <w:pPr>
        <w:pStyle w:val="Normal"/>
        <w:spacing w:before="0" w:after="50" w:line="250" w:lineRule="auto"/>
        <w:rPr/>
      </w:pPr>
      <w:r>
        <w:rPr>
          <w:rFonts w:ascii="Calibri" w:hAnsi="Calibri"/>
          <w:color w:val="000000"/>
          <w:sz w:val="20"/>
        </w:rPr>
        <w:t>The proposed platform can integrate authorized molecular results alongside phenotypic observations. Integration means preserving identity and meaning across systems. It does not imply that Reader V1 performs molecular testing or that an image-derived hypothesis is equivalent to a measured molecular result.</w:t>
      </w:r>
    </w:p>
    <w:p>
      <w:pPr>
        <w:pStyle w:val="Heading3"/>
        <w:keepNext/>
        <w:keepLines/>
        <w:spacing w:before="240" w:after="120" w:line="269" w:lineRule="auto"/>
      </w:pPr>
      <w:r>
        <w:rPr>
          <w:color w:val="000000"/>
        </w:rPr>
        <w:t>A molecular result needs context</w:t>
      </w:r>
    </w:p>
    <w:p>
      <w:pPr>
        <w:pStyle w:val="Normal"/>
        <w:spacing w:before="0" w:after="50" w:line="250" w:lineRule="auto"/>
        <w:rPr/>
      </w:pPr>
      <w:r>
        <w:rPr>
          <w:rFonts w:ascii="Calibri" w:hAnsi="Calibri"/>
          <w:color w:val="000000"/>
          <w:sz w:val="20"/>
        </w:rPr>
        <w:t xml:space="preserve">The incoming record should identify the specimen or isolate, assay, target, result state, quality status and reporting laboratory. For sequence-derived results, the pipeline and reference database versions also matter. An absent target, an assay failure and an untested target must remain distinguishable.  </w:t>
      </w:r>
    </w:p>
    <w:p>
      <w:pPr>
        <w:spacing w:before="0" w:after="50" w:line="250" w:lineRule="auto"/>
      </w:pPr>
      <w:r>
        <w:rPr>
          <w:rFonts w:ascii="Calibri" w:hAnsi="Calibri"/>
          <w:color w:val="000000"/>
          <w:sz w:val="20"/>
        </w:rPr>
        <w:t xml:space="preserve">Integration element: Identity</w:t>
      </w:r>
    </w:p>
    <w:p>
      <w:pPr>
        <w:spacing w:before="0" w:after="50" w:line="250" w:lineRule="auto"/>
      </w:pPr>
      <w:r>
        <w:rPr>
          <w:rFonts w:ascii="Calibri" w:hAnsi="Calibri"/>
          <w:color w:val="000000"/>
          <w:sz w:val="20"/>
        </w:rPr>
        <w:t xml:space="preserve">Proposed requirement: Establish the permitted relationship between molecular and phenotypic material.</w:t>
      </w:r>
    </w:p>
    <w:p>
      <w:pPr>
        <w:spacing w:before="0" w:after="50" w:line="250" w:lineRule="auto"/>
      </w:pPr>
      <w:r>
        <w:rPr>
          <w:rFonts w:ascii="Calibri" w:hAnsi="Calibri"/>
          <w:color w:val="000000"/>
          <w:sz w:val="20"/>
        </w:rPr>
        <w:t xml:space="preserve">Integration element: Assay scope</w:t>
      </w:r>
    </w:p>
    <w:p>
      <w:pPr>
        <w:spacing w:before="0" w:after="50" w:line="250" w:lineRule="auto"/>
      </w:pPr>
      <w:r>
        <w:rPr>
          <w:rFonts w:ascii="Calibri" w:hAnsi="Calibri"/>
          <w:color w:val="000000"/>
          <w:sz w:val="20"/>
        </w:rPr>
        <w:t xml:space="preserve">Proposed requirement: Record which targets and variants the method can assess.</w:t>
      </w:r>
    </w:p>
    <w:p>
      <w:pPr>
        <w:spacing w:before="0" w:after="50" w:line="250" w:lineRule="auto"/>
      </w:pPr>
      <w:r>
        <w:rPr>
          <w:rFonts w:ascii="Calibri" w:hAnsi="Calibri"/>
          <w:color w:val="000000"/>
          <w:sz w:val="20"/>
        </w:rPr>
        <w:t xml:space="preserve">Integration element: Result semantics</w:t>
      </w:r>
    </w:p>
    <w:p>
      <w:pPr>
        <w:spacing w:before="0" w:after="50" w:line="250" w:lineRule="auto"/>
      </w:pPr>
      <w:r>
        <w:rPr>
          <w:rFonts w:ascii="Calibri" w:hAnsi="Calibri"/>
          <w:color w:val="000000"/>
          <w:sz w:val="20"/>
        </w:rPr>
        <w:t xml:space="preserve">Proposed requirement: Preserve detected, not detected, indeterminate, failed and not tested states.</w:t>
      </w:r>
    </w:p>
    <w:p>
      <w:pPr>
        <w:spacing w:before="0" w:after="50" w:line="250" w:lineRule="auto"/>
      </w:pPr>
      <w:r>
        <w:rPr>
          <w:rFonts w:ascii="Calibri" w:hAnsi="Calibri"/>
          <w:color w:val="000000"/>
          <w:sz w:val="20"/>
        </w:rPr>
        <w:t xml:space="preserve">Integration element: Provenance</w:t>
      </w:r>
    </w:p>
    <w:p>
      <w:pPr>
        <w:spacing w:before="0" w:after="50" w:line="250" w:lineRule="auto"/>
      </w:pPr>
      <w:r>
        <w:rPr>
          <w:rFonts w:ascii="Calibri" w:hAnsi="Calibri"/>
          <w:color w:val="000000"/>
          <w:sz w:val="20"/>
        </w:rPr>
        <w:t xml:space="preserve">Proposed requirement: Retain the originating system, version and reviewed status.</w:t>
      </w:r>
    </w:p>
    <w:p>
      <w:pPr>
        <w:spacing w:before="0" w:after="50" w:line="250" w:lineRule="auto"/>
      </w:pPr>
      <w:r>
        <w:rPr>
          <w:rFonts w:ascii="Calibri" w:hAnsi="Calibri"/>
          <w:color w:val="000000"/>
          <w:sz w:val="20"/>
        </w:rPr>
        <w:t xml:space="preserve">Integration element: Reconciliation</w:t>
      </w:r>
    </w:p>
    <w:p>
      <w:pPr>
        <w:spacing w:before="0" w:after="50" w:line="250" w:lineRule="auto"/>
      </w:pPr>
      <w:r>
        <w:rPr>
          <w:rFonts w:ascii="Calibri" w:hAnsi="Calibri"/>
          <w:color w:val="000000"/>
          <w:sz w:val="20"/>
        </w:rPr>
        <w:t xml:space="preserve">Proposed requirement: Escalate discrepancies through a qualified review path.</w:t>
      </w:r>
    </w:p>
    <w:p>
      <w:pPr>
        <w:pStyle w:val="Heading3"/>
        <w:keepNext/>
        <w:keepLines/>
        <w:spacing w:before="240" w:after="120" w:line="269" w:lineRule="auto"/>
      </w:pPr>
      <w:r>
        <w:rPr>
          <w:color w:val="000000"/>
        </w:rPr>
        <w:t>Validate the interface as well as the biology</w:t>
      </w:r>
    </w:p>
    <w:p>
      <w:pPr>
        <w:pStyle w:val="Normal"/>
        <w:spacing w:before="0" w:after="50" w:line="250" w:lineRule="auto"/>
        <w:rPr/>
      </w:pPr>
      <w:r>
        <w:rPr>
          <w:rFonts w:ascii="Calibri" w:hAnsi="Calibri"/>
          <w:color w:val="000000"/>
          <w:sz w:val="20"/>
        </w:rPr>
        <w:t>An accurate external assay can be misrepresented by an incorrect mapping. Integration tests should challenge target synonyms, organism names, units, amended reports and duplicate transmissions. The receiving record should retain the original source result so that a mapping error can be investigated.</w:t>
      </w:r>
    </w:p>
    <w:p>
      <w:pPr>
        <w:pStyle w:val="Normal"/>
        <w:spacing w:before="0" w:after="50" w:line="250" w:lineRule="auto"/>
        <w:rPr/>
      </w:pPr>
      <w:r>
        <w:rPr>
          <w:rFonts w:ascii="Calibri" w:hAnsi="Calibri"/>
          <w:color w:val="000000"/>
          <w:sz w:val="20"/>
        </w:rPr>
        <w:t>The proposed user experience places complementary evidence together while showing its origin and limitations. A combined summary should not erase a discordance. Any future model that uses molecular data to improve a phenotypic prediction needs its own evaluation, including performance when molecular data are absent, incomplete or outside the model's training domain.</w:t>
      </w:r>
    </w:p>
    <w:p>
      <w:pPr>
        <w:pStyle w:val="Heading3"/>
        <w:keepNext/>
        <w:keepLines/>
        <w:spacing w:before="240" w:after="120" w:line="269" w:lineRule="auto"/>
      </w:pPr>
      <w:r>
        <w:rPr>
          <w:color w:val="000000"/>
        </w:rPr>
        <w:t>MRSA related molecular information</w:t>
      </w:r>
    </w:p>
    <w:p>
      <w:pPr>
        <w:pStyle w:val="Normal"/>
        <w:keepNext/>
        <w:spacing w:before="0" w:after="50" w:line="250" w:lineRule="auto"/>
        <w:rPr/>
      </w:pPr>
      <w:r>
        <w:rPr>
          <w:rFonts w:ascii="Calibri" w:hAnsi="Calibri"/>
          <w:b/>
          <w:color w:val="000000"/>
          <w:sz w:val="20"/>
        </w:rPr>
        <w:t>MRSA-related information requires organism and assay specificity</w:t>
      </w:r>
    </w:p>
    <w:p>
      <w:pPr>
        <w:pStyle w:val="Normal"/>
        <w:spacing w:before="0" w:after="50" w:line="250" w:lineRule="auto"/>
        <w:rPr/>
      </w:pPr>
      <w:r>
        <w:rPr>
          <w:rFonts w:ascii="Calibri" w:hAnsi="Calibri"/>
          <w:color w:val="000000"/>
          <w:sz w:val="20"/>
        </w:rPr>
        <w:t xml:space="preserve">MRSA-related workflows may involve phenotypic testing, molecular detection or protein-based evidence. CDC describes the relevance of mecA and PBP2a and notes that a mecA-only assay does not detect every alternative mechanism, including mecC. This illustrates why an integrated platform must preserve the scope of the actual assay rather than treating every negative molecular result as equivalent. </w:t>
      </w:r>
    </w:p>
    <w:p>
      <w:pPr>
        <w:pStyle w:val="Heading3"/>
        <w:keepNext/>
        <w:keepLines/>
        <w:spacing w:before="240" w:after="120" w:line="269" w:lineRule="auto"/>
      </w:pPr>
      <w:r>
        <w:rPr>
          <w:color w:val="000000"/>
        </w:rPr>
        <w:t>Proposed product role</w:t>
      </w:r>
    </w:p>
    <w:p>
      <w:pPr>
        <w:pStyle w:val="Normal"/>
        <w:spacing w:before="0" w:after="50" w:line="250" w:lineRule="auto"/>
        <w:rPr/>
      </w:pPr>
      <w:r>
        <w:rPr>
          <w:rFonts w:ascii="Calibri" w:hAnsi="Calibri"/>
          <w:color w:val="000000"/>
          <w:sz w:val="20"/>
        </w:rPr>
        <w:t>Reader V1 may investigate eligible endpoint measurement within a qualified staphylococcal workflow. Molecular-result integration can place an authorized external finding beside that measurement. These functions should retain separate method identities and be interpreted using the applicable current standards and laboratory rules.</w:t>
      </w:r>
    </w:p>
    <w:p>
      <w:pPr>
        <w:spacing w:before="0" w:after="50" w:line="250" w:lineRule="auto"/>
      </w:pPr>
      <w:r>
        <w:rPr>
          <w:rFonts w:ascii="Calibri" w:hAnsi="Calibri"/>
          <w:color w:val="000000"/>
          <w:sz w:val="20"/>
        </w:rPr>
        <w:t xml:space="preserve">Evidence object: Phenotypic observation</w:t>
      </w:r>
    </w:p>
    <w:p>
      <w:pPr>
        <w:spacing w:before="0" w:after="50" w:line="250" w:lineRule="auto"/>
      </w:pPr>
      <w:r>
        <w:rPr>
          <w:rFonts w:ascii="Calibri" w:hAnsi="Calibri"/>
          <w:color w:val="000000"/>
          <w:sz w:val="20"/>
        </w:rPr>
        <w:t xml:space="preserve">Information to preserve: Organism, method, measured value, quality and interpretation version.</w:t>
      </w:r>
    </w:p>
    <w:p>
      <w:pPr>
        <w:spacing w:before="0" w:after="50" w:line="250" w:lineRule="auto"/>
      </w:pPr>
      <w:r>
        <w:rPr>
          <w:rFonts w:ascii="Calibri" w:hAnsi="Calibri"/>
          <w:color w:val="000000"/>
          <w:sz w:val="20"/>
        </w:rPr>
        <w:t xml:space="preserve">Evidence object: Molecular assay</w:t>
      </w:r>
    </w:p>
    <w:p>
      <w:pPr>
        <w:spacing w:before="0" w:after="50" w:line="250" w:lineRule="auto"/>
      </w:pPr>
      <w:r>
        <w:rPr>
          <w:rFonts w:ascii="Calibri" w:hAnsi="Calibri"/>
          <w:color w:val="000000"/>
          <w:sz w:val="20"/>
        </w:rPr>
        <w:t xml:space="preserve">Information to preserve: Target coverage, result state, assay identity and specimen lineage.</w:t>
      </w:r>
    </w:p>
    <w:p>
      <w:pPr>
        <w:spacing w:before="0" w:after="50" w:line="250" w:lineRule="auto"/>
      </w:pPr>
      <w:r>
        <w:rPr>
          <w:rFonts w:ascii="Calibri" w:hAnsi="Calibri"/>
          <w:color w:val="000000"/>
          <w:sz w:val="20"/>
        </w:rPr>
        <w:t xml:space="preserve">Evidence object: Protein-based assay</w:t>
      </w:r>
    </w:p>
    <w:p>
      <w:pPr>
        <w:spacing w:before="0" w:after="50" w:line="250" w:lineRule="auto"/>
      </w:pPr>
      <w:r>
        <w:rPr>
          <w:rFonts w:ascii="Calibri" w:hAnsi="Calibri"/>
          <w:color w:val="000000"/>
          <w:sz w:val="20"/>
        </w:rPr>
        <w:t xml:space="preserve">Information to preserve: Method, target, quality status and originating result.</w:t>
      </w:r>
    </w:p>
    <w:p>
      <w:pPr>
        <w:spacing w:before="0" w:after="50" w:line="250" w:lineRule="auto"/>
      </w:pPr>
      <w:r>
        <w:rPr>
          <w:rFonts w:ascii="Calibri" w:hAnsi="Calibri"/>
          <w:color w:val="000000"/>
          <w:sz w:val="20"/>
        </w:rPr>
        <w:t xml:space="preserve">Evidence object: Discrepancy review</w:t>
      </w:r>
    </w:p>
    <w:p>
      <w:pPr>
        <w:spacing w:before="0" w:after="50" w:line="250" w:lineRule="auto"/>
      </w:pPr>
      <w:r>
        <w:rPr>
          <w:rFonts w:ascii="Calibri" w:hAnsi="Calibri"/>
          <w:color w:val="000000"/>
          <w:sz w:val="20"/>
        </w:rPr>
        <w:t xml:space="preserve">Information to preserve: Competing findings, expert decision and any follow-up.</w:t>
      </w:r>
    </w:p>
    <w:p>
      <w:pPr>
        <w:pStyle w:val="Heading3"/>
        <w:keepNext/>
        <w:keepLines/>
        <w:spacing w:before="240" w:after="120" w:line="269" w:lineRule="auto"/>
      </w:pPr>
      <w:r>
        <w:rPr>
          <w:color w:val="000000"/>
        </w:rPr>
        <w:t>Avoid a broad image-to-mechanism claim</w:t>
      </w:r>
    </w:p>
    <w:p>
      <w:pPr>
        <w:pStyle w:val="Normal"/>
        <w:spacing w:before="0" w:after="50" w:line="250" w:lineRule="auto"/>
        <w:rPr/>
      </w:pPr>
      <w:r>
        <w:rPr>
          <w:rFonts w:ascii="Calibri" w:hAnsi="Calibri"/>
          <w:color w:val="000000"/>
          <w:sz w:val="20"/>
        </w:rPr>
        <w:t>A model may identify a visual feature associated with a particular laboratory result in a research dataset. That association does not establish a molecular mechanism in a new isolate. The platform should label such outputs as research predictions and retain uncertainty and domain limits.</w:t>
      </w:r>
    </w:p>
    <w:p>
      <w:pPr>
        <w:pStyle w:val="Normal"/>
        <w:spacing w:before="0" w:after="50" w:line="250" w:lineRule="auto"/>
        <w:rPr/>
      </w:pPr>
      <w:r>
        <w:rPr>
          <w:rFonts w:ascii="Calibri" w:hAnsi="Calibri"/>
          <w:color w:val="000000"/>
          <w:sz w:val="20"/>
        </w:rPr>
        <w:t xml:space="preserve">Current clinical interpretation must come from controlled standards content, not an unversioned web summary. The CDC page's general testing explanations are useful context, but its numerical tables are not used here as a current breakpoint source. This separation prevents historical or typographically imperfect reference material from becoming executable clinical rules.  </w:t>
      </w:r>
    </w:p>
    <w:p>
      <w:pPr>
        <w:pStyle w:val="Heading3"/>
        <w:keepNext/>
        <w:keepLines/>
        <w:spacing w:before="240" w:after="120" w:line="269" w:lineRule="auto"/>
      </w:pPr>
      <w:r>
        <w:rPr>
          <w:color w:val="000000"/>
        </w:rPr>
        <w:t>Phenotype genotype research</w:t>
      </w:r>
    </w:p>
    <w:p>
      <w:pPr>
        <w:pStyle w:val="Normal"/>
        <w:keepNext/>
        <w:spacing w:before="0" w:after="50" w:line="250" w:lineRule="auto"/>
        <w:rPr/>
      </w:pPr>
      <w:r>
        <w:rPr>
          <w:rFonts w:ascii="Calibri" w:hAnsi="Calibri"/>
          <w:b/>
          <w:color w:val="000000"/>
          <w:sz w:val="20"/>
        </w:rPr>
        <w:t>Phenotype-genotype research needs paired evidence</w:t>
      </w:r>
    </w:p>
    <w:p>
      <w:pPr>
        <w:pStyle w:val="Normal"/>
        <w:spacing w:before="0" w:after="50" w:line="250" w:lineRule="auto"/>
        <w:rPr/>
      </w:pPr>
      <w:r>
        <w:rPr>
          <w:rFonts w:ascii="Calibri" w:hAnsi="Calibri"/>
          <w:color w:val="000000"/>
          <w:sz w:val="20"/>
        </w:rPr>
        <w:t>The proposed research service can investigate relationships between measured phenotypes and sequence-derived features. A useful dataset requires correct pairing, adequate assay quality and clear definitions of both sides of the relationship. Apparent predictive success can arise from shared lineage, site or batch information rather than a transferable biological association.</w:t>
      </w:r>
    </w:p>
    <w:p>
      <w:pPr>
        <w:pStyle w:val="Heading3"/>
        <w:keepNext/>
        <w:keepLines/>
        <w:spacing w:before="240" w:after="120" w:line="269" w:lineRule="auto"/>
      </w:pPr>
      <w:r>
        <w:rPr>
          <w:color w:val="000000"/>
        </w:rPr>
        <w:t>Design the prediction direction explicitly</w:t>
      </w:r>
    </w:p>
    <w:p>
      <w:pPr>
        <w:pStyle w:val="Normal"/>
        <w:spacing w:before="0" w:after="50" w:line="250" w:lineRule="auto"/>
        <w:rPr/>
      </w:pPr>
      <w:r>
        <w:rPr>
          <w:rFonts w:ascii="Calibri" w:hAnsi="Calibri"/>
          <w:color w:val="000000"/>
          <w:sz w:val="20"/>
        </w:rPr>
        <w:t>Predicting a phenotype from sequence data differs from generating a hypothesis about a mechanism from an image. Each direction needs its own target, reference and limitations. A phenotype-derived gene hypothesis remains computational until molecular evidence independently supports it.</w:t>
      </w:r>
    </w:p>
    <w:p>
      <w:pPr>
        <w:spacing w:before="0" w:after="50" w:line="250" w:lineRule="auto"/>
      </w:pPr>
      <w:r>
        <w:rPr>
          <w:rFonts w:ascii="Calibri" w:hAnsi="Calibri"/>
          <w:color w:val="000000"/>
          <w:sz w:val="20"/>
        </w:rPr>
        <w:t xml:space="preserve">Research element: Pairing</w:t>
      </w:r>
    </w:p>
    <w:p>
      <w:pPr>
        <w:spacing w:before="0" w:after="50" w:line="250" w:lineRule="auto"/>
      </w:pPr>
      <w:r>
        <w:rPr>
          <w:rFonts w:ascii="Calibri" w:hAnsi="Calibri"/>
          <w:color w:val="000000"/>
          <w:sz w:val="20"/>
        </w:rPr>
        <w:t xml:space="preserve">Proposed control: Trace the phenotype and sequence to the intended biological material.</w:t>
      </w:r>
    </w:p>
    <w:p>
      <w:pPr>
        <w:spacing w:before="0" w:after="50" w:line="250" w:lineRule="auto"/>
      </w:pPr>
      <w:r>
        <w:rPr>
          <w:rFonts w:ascii="Calibri" w:hAnsi="Calibri"/>
          <w:color w:val="000000"/>
          <w:sz w:val="20"/>
        </w:rPr>
        <w:t xml:space="preserve">Research element: Reference quality</w:t>
      </w:r>
    </w:p>
    <w:p>
      <w:pPr>
        <w:spacing w:before="0" w:after="50" w:line="250" w:lineRule="auto"/>
      </w:pPr>
      <w:r>
        <w:rPr>
          <w:rFonts w:ascii="Calibri" w:hAnsi="Calibri"/>
          <w:color w:val="000000"/>
          <w:sz w:val="20"/>
        </w:rPr>
        <w:t xml:space="preserve">Proposed control: Retain assay limits, reviewed status and unresolved discrepancies.</w:t>
      </w:r>
    </w:p>
    <w:p>
      <w:pPr>
        <w:spacing w:before="0" w:after="50" w:line="250" w:lineRule="auto"/>
      </w:pPr>
      <w:r>
        <w:rPr>
          <w:rFonts w:ascii="Calibri" w:hAnsi="Calibri"/>
          <w:color w:val="000000"/>
          <w:sz w:val="20"/>
        </w:rPr>
        <w:t xml:space="preserve">Research element: Population structure</w:t>
      </w:r>
    </w:p>
    <w:p>
      <w:pPr>
        <w:spacing w:before="0" w:after="50" w:line="250" w:lineRule="auto"/>
      </w:pPr>
      <w:r>
        <w:rPr>
          <w:rFonts w:ascii="Calibri" w:hAnsi="Calibri"/>
          <w:color w:val="000000"/>
          <w:sz w:val="20"/>
        </w:rPr>
        <w:t xml:space="preserve">Proposed control: Separate related isolates appropriately during evaluation.</w:t>
      </w:r>
    </w:p>
    <w:p>
      <w:pPr>
        <w:spacing w:before="0" w:after="50" w:line="250" w:lineRule="auto"/>
      </w:pPr>
      <w:r>
        <w:rPr>
          <w:rFonts w:ascii="Calibri" w:hAnsi="Calibri"/>
          <w:color w:val="000000"/>
          <w:sz w:val="20"/>
        </w:rPr>
        <w:t xml:space="preserve">Research element: Database dependence</w:t>
      </w:r>
    </w:p>
    <w:p>
      <w:pPr>
        <w:spacing w:before="0" w:after="50" w:line="250" w:lineRule="auto"/>
      </w:pPr>
      <w:r>
        <w:rPr>
          <w:rFonts w:ascii="Calibri" w:hAnsi="Calibri"/>
          <w:color w:val="000000"/>
          <w:sz w:val="20"/>
        </w:rPr>
        <w:t xml:space="preserve">Proposed control: Preserve reference releases and annotation methods.</w:t>
      </w:r>
    </w:p>
    <w:p>
      <w:pPr>
        <w:spacing w:before="0" w:after="50" w:line="250" w:lineRule="auto"/>
      </w:pPr>
      <w:r>
        <w:rPr>
          <w:rFonts w:ascii="Calibri" w:hAnsi="Calibri"/>
          <w:color w:val="000000"/>
          <w:sz w:val="20"/>
        </w:rPr>
        <w:t xml:space="preserve">Research element: Missing mechanisms</w:t>
      </w:r>
    </w:p>
    <w:p>
      <w:pPr>
        <w:spacing w:before="0" w:after="50" w:line="250" w:lineRule="auto"/>
      </w:pPr>
      <w:r>
        <w:rPr>
          <w:rFonts w:ascii="Calibri" w:hAnsi="Calibri"/>
          <w:color w:val="000000"/>
          <w:sz w:val="20"/>
        </w:rPr>
        <w:t xml:space="preserve">Proposed control: Test performance when the relevant biology is poorly represented.</w:t>
      </w:r>
    </w:p>
    <w:p>
      <w:pPr>
        <w:pStyle w:val="Heading3"/>
        <w:keepNext/>
        <w:keepLines/>
        <w:spacing w:before="240" w:after="120" w:line="269" w:lineRule="auto"/>
      </w:pPr>
      <w:r>
        <w:rPr>
          <w:color w:val="000000"/>
        </w:rPr>
        <w:t>Use repository knowledge selectively</w:t>
      </w:r>
    </w:p>
    <w:p>
      <w:pPr>
        <w:pStyle w:val="Normal"/>
        <w:spacing w:before="0" w:after="50" w:line="250" w:lineRule="auto"/>
        <w:rPr/>
      </w:pPr>
      <w:r>
        <w:rPr>
          <w:rFonts w:ascii="Calibri" w:hAnsi="Calibri"/>
          <w:color w:val="000000"/>
          <w:sz w:val="20"/>
        </w:rPr>
        <w:t xml:space="preserve">Curated resources can provide resistance-model definitions and sequence context. They should be accessed under appropriate terms, with versioned retrieval and a documented role in the analysis. A large repository does not guarantee representative labels for the intended clinical or geographic setting.  </w:t>
      </w:r>
    </w:p>
    <w:p>
      <w:pPr>
        <w:pStyle w:val="Normal"/>
        <w:spacing w:before="0" w:after="50" w:line="250" w:lineRule="auto"/>
        <w:rPr/>
      </w:pPr>
      <w:r>
        <w:rPr>
          <w:rFonts w:ascii="Calibri" w:hAnsi="Calibri"/>
          <w:color w:val="000000"/>
          <w:sz w:val="20"/>
        </w:rPr>
        <w:t>The first research outputs should emphasize reproducible associations and their failure boundaries. External validation should challenge lineage and site transfer, not merely random splits of closely related isolates. Claims about improved treatment decisions would require additional studies beyond predictive agreement in a retrospective dataset.</w:t>
      </w:r>
    </w:p>
    <w:p>
      <w:pPr>
        <w:pStyle w:val="Heading3"/>
        <w:keepNext/>
        <w:keepLines/>
        <w:spacing w:before="240" w:after="120" w:line="269" w:lineRule="auto"/>
      </w:pPr>
      <w:r>
        <w:rPr>
          <w:color w:val="000000"/>
        </w:rPr>
        <w:t>Microscopy and cell level observations</w:t>
      </w:r>
    </w:p>
    <w:p>
      <w:pPr>
        <w:pStyle w:val="Normal"/>
        <w:keepNext/>
        <w:spacing w:before="0" w:after="50" w:line="250" w:lineRule="auto"/>
        <w:rPr/>
      </w:pPr>
      <w:r>
        <w:rPr>
          <w:rFonts w:ascii="Calibri" w:hAnsi="Calibri"/>
          <w:b/>
          <w:color w:val="000000"/>
          <w:sz w:val="20"/>
        </w:rPr>
        <w:t>Cell-level observation is a distinct instrument family</w:t>
      </w:r>
    </w:p>
    <w:p>
      <w:pPr>
        <w:pStyle w:val="Normal"/>
        <w:spacing w:before="0" w:after="50" w:line="250" w:lineRule="auto"/>
        <w:rPr/>
      </w:pPr>
      <w:r>
        <w:rPr>
          <w:rFonts w:ascii="Calibri" w:hAnsi="Calibri"/>
          <w:color w:val="000000"/>
          <w:sz w:val="20"/>
        </w:rPr>
        <w:t>Microscopy can reveal cellular morphology and dynamic behavior at a scale different from whole-plate imaging. The proposed imaging family may investigate bright-field, phase, fluorescence or other qualified modalities. Each requires appropriate sample presentation, optical resolution, focus control and a clearly defined biological output.</w:t>
      </w:r>
    </w:p>
    <w:p>
      <w:pPr>
        <w:pStyle w:val="Heading3"/>
        <w:keepNext/>
        <w:keepLines/>
        <w:spacing w:before="240" w:after="120" w:line="269" w:lineRule="auto"/>
      </w:pPr>
      <w:r>
        <w:rPr>
          <w:color w:val="000000"/>
        </w:rPr>
        <w:t>Scale changes the engineering problem</w:t>
      </w:r>
    </w:p>
    <w:p>
      <w:pPr>
        <w:pStyle w:val="Normal"/>
        <w:spacing w:before="0" w:after="50" w:line="250" w:lineRule="auto"/>
        <w:rPr/>
      </w:pPr>
      <w:r>
        <w:rPr>
          <w:rFonts w:ascii="Calibri" w:hAnsi="Calibri"/>
          <w:color w:val="000000"/>
          <w:sz w:val="20"/>
        </w:rPr>
        <w:t>A whole-plate reader prioritizes field coverage and calibrated spatial measurement. Cell-level imaging may require a much smaller field, more demanding focus stability and different acquisition timing. A sensor suitable for plate presence or coarse distance measurement cannot be assumed to resolve cellular morphology.</w:t>
      </w:r>
    </w:p>
    <w:p>
      <w:pPr>
        <w:spacing w:before="0" w:after="50" w:line="250" w:lineRule="auto"/>
      </w:pPr>
      <w:r>
        <w:rPr>
          <w:rFonts w:ascii="Calibri" w:hAnsi="Calibri"/>
          <w:color w:val="000000"/>
          <w:sz w:val="20"/>
        </w:rPr>
        <w:t xml:space="preserve">Candidate output: Cell or object count</w:t>
      </w:r>
    </w:p>
    <w:p>
      <w:pPr>
        <w:spacing w:before="0" w:after="50" w:line="250" w:lineRule="auto"/>
      </w:pPr>
      <w:r>
        <w:rPr>
          <w:rFonts w:ascii="Calibri" w:hAnsi="Calibri"/>
          <w:color w:val="000000"/>
          <w:sz w:val="20"/>
        </w:rPr>
        <w:t xml:space="preserve">Evidence requirement: Detection and separation accuracy against an appropriate reference.</w:t>
      </w:r>
    </w:p>
    <w:p>
      <w:pPr>
        <w:spacing w:before="0" w:after="50" w:line="250" w:lineRule="auto"/>
      </w:pPr>
      <w:r>
        <w:rPr>
          <w:rFonts w:ascii="Calibri" w:hAnsi="Calibri"/>
          <w:color w:val="000000"/>
          <w:sz w:val="20"/>
        </w:rPr>
        <w:t xml:space="preserve">Candidate output: Morphology measurement</w:t>
      </w:r>
    </w:p>
    <w:p>
      <w:pPr>
        <w:spacing w:before="0" w:after="50" w:line="250" w:lineRule="auto"/>
      </w:pPr>
      <w:r>
        <w:rPr>
          <w:rFonts w:ascii="Calibri" w:hAnsi="Calibri"/>
          <w:color w:val="000000"/>
          <w:sz w:val="20"/>
        </w:rPr>
        <w:t xml:space="preserve">Evidence requirement: Calibrated geometry and robust segmentation.</w:t>
      </w:r>
    </w:p>
    <w:p>
      <w:pPr>
        <w:spacing w:before="0" w:after="50" w:line="250" w:lineRule="auto"/>
      </w:pPr>
      <w:r>
        <w:rPr>
          <w:rFonts w:ascii="Calibri" w:hAnsi="Calibri"/>
          <w:color w:val="000000"/>
          <w:sz w:val="20"/>
        </w:rPr>
        <w:t xml:space="preserve">Candidate output: Temporal cell behavior</w:t>
      </w:r>
    </w:p>
    <w:p>
      <w:pPr>
        <w:spacing w:before="0" w:after="50" w:line="250" w:lineRule="auto"/>
      </w:pPr>
      <w:r>
        <w:rPr>
          <w:rFonts w:ascii="Calibri" w:hAnsi="Calibri"/>
          <w:color w:val="000000"/>
          <w:sz w:val="20"/>
        </w:rPr>
        <w:t xml:space="preserve">Evidence requirement: Tracking identity and timing accuracy.</w:t>
      </w:r>
    </w:p>
    <w:p>
      <w:pPr>
        <w:spacing w:before="0" w:after="50" w:line="250" w:lineRule="auto"/>
      </w:pPr>
      <w:r>
        <w:rPr>
          <w:rFonts w:ascii="Calibri" w:hAnsi="Calibri"/>
          <w:color w:val="000000"/>
          <w:sz w:val="20"/>
        </w:rPr>
        <w:t xml:space="preserve">Candidate output: Fluorescence-derived feature</w:t>
      </w:r>
    </w:p>
    <w:p>
      <w:pPr>
        <w:spacing w:before="0" w:after="50" w:line="250" w:lineRule="auto"/>
      </w:pPr>
      <w:r>
        <w:rPr>
          <w:rFonts w:ascii="Calibri" w:hAnsi="Calibri"/>
          <w:color w:val="000000"/>
          <w:sz w:val="20"/>
        </w:rPr>
        <w:t xml:space="preserve">Evidence requirement: Assay-specific signal interpretation and photophysical controls.</w:t>
      </w:r>
    </w:p>
    <w:p>
      <w:pPr>
        <w:spacing w:before="0" w:after="50" w:line="250" w:lineRule="auto"/>
      </w:pPr>
      <w:r>
        <w:rPr>
          <w:rFonts w:ascii="Calibri" w:hAnsi="Calibri"/>
          <w:color w:val="000000"/>
          <w:sz w:val="20"/>
        </w:rPr>
        <w:t xml:space="preserve">Candidate output: Early response prediction</w:t>
      </w:r>
    </w:p>
    <w:p>
      <w:pPr>
        <w:spacing w:before="0" w:after="50" w:line="250" w:lineRule="auto"/>
      </w:pPr>
      <w:r>
        <w:rPr>
          <w:rFonts w:ascii="Calibri" w:hAnsi="Calibri"/>
          <w:color w:val="000000"/>
          <w:sz w:val="20"/>
        </w:rPr>
        <w:t xml:space="preserve">Evidence requirement: Independent biological reference and time-defined evaluation.</w:t>
      </w:r>
    </w:p>
    <w:p>
      <w:pPr>
        <w:pStyle w:val="Heading3"/>
        <w:keepNext/>
        <w:keepLines/>
        <w:spacing w:before="240" w:after="120" w:line="269" w:lineRule="auto"/>
      </w:pPr>
      <w:r>
        <w:rPr>
          <w:color w:val="000000"/>
        </w:rPr>
        <w:t>Learn from external demonstrations without importing performance</w:t>
      </w:r>
    </w:p>
    <w:p>
      <w:pPr>
        <w:pStyle w:val="Normal"/>
        <w:spacing w:before="0" w:after="50" w:line="250" w:lineRule="auto"/>
        <w:rPr/>
      </w:pPr>
      <w:r>
        <w:rPr>
          <w:rFonts w:ascii="Calibri" w:hAnsi="Calibri"/>
          <w:color w:val="000000"/>
          <w:sz w:val="20"/>
        </w:rPr>
        <w:t xml:space="preserve">Original rapid-AST research has used single-cell observations in tightly defined experimental systems. Such work motivates investigation, but its reported timing and accuracy belong to the original method and study population. It does not establish that a different AMReye.AI optical configuration will reproduce those results. </w:t>
      </w:r>
    </w:p>
    <w:p>
      <w:pPr>
        <w:pStyle w:val="Normal"/>
        <w:spacing w:before="0" w:after="50" w:line="250" w:lineRule="auto"/>
        <w:rPr/>
      </w:pPr>
      <w:r>
        <w:rPr>
          <w:rFonts w:ascii="Calibri" w:hAnsi="Calibri"/>
          <w:color w:val="000000"/>
          <w:sz w:val="20"/>
        </w:rPr>
        <w:t>The proposed development path should first establish image and measurement quality on the intended sample format. Biological inference follows as a separate stage. Microscopy data can enrich the platform's research records, while integration with endpoint plate results requires explicit biological lineage and independent evidence that the two observations answer a compatible question.</w:t>
      </w:r>
    </w:p>
    <w:p>
      <w:pPr>
        <w:pStyle w:val="Heading3"/>
        <w:keepNext/>
        <w:keepLines/>
        <w:spacing w:before="240" w:after="120" w:line="269" w:lineRule="auto"/>
      </w:pPr>
      <w:r>
        <w:rPr>
          <w:color w:val="000000"/>
        </w:rPr>
        <w:t>Robotics for repeatable observation</w:t>
      </w:r>
    </w:p>
    <w:p>
      <w:pPr>
        <w:pStyle w:val="Normal"/>
        <w:keepNext/>
        <w:spacing w:before="0" w:after="50" w:line="250" w:lineRule="auto"/>
        <w:rPr/>
      </w:pPr>
      <w:r>
        <w:rPr>
          <w:rFonts w:ascii="Calibri" w:hAnsi="Calibri"/>
          <w:b/>
          <w:color w:val="000000"/>
          <w:sz w:val="20"/>
        </w:rPr>
        <w:t>Robotics should improve repeatability without compromising identity</w:t>
      </w:r>
    </w:p>
    <w:p>
      <w:pPr>
        <w:pStyle w:val="Normal"/>
        <w:spacing w:before="0" w:after="50" w:line="250" w:lineRule="auto"/>
        <w:rPr/>
      </w:pPr>
      <w:r>
        <w:rPr>
          <w:rFonts w:ascii="Calibri" w:hAnsi="Calibri"/>
          <w:color w:val="000000"/>
          <w:sz w:val="20"/>
        </w:rPr>
        <w:t>Robotic handling can position plates, schedule observations and reduce repetitive manual movement. Its value depends on reliable physical handling, traceable custody and recovery from failure. A faster transfer mechanism is not useful if it increases plate association errors, disturbs the sample or complicates cleaning.</w:t>
      </w:r>
    </w:p>
    <w:p>
      <w:pPr>
        <w:pStyle w:val="Heading3"/>
        <w:keepNext/>
        <w:keepLines/>
        <w:spacing w:before="240" w:after="120" w:line="269" w:lineRule="auto"/>
      </w:pPr>
      <w:r>
        <w:rPr>
          <w:color w:val="000000"/>
        </w:rPr>
        <w:t>Proposed automation functions</w:t>
      </w:r>
    </w:p>
    <w:p>
      <w:pPr>
        <w:pStyle w:val="Normal"/>
        <w:spacing w:before="0" w:after="50" w:line="250" w:lineRule="auto"/>
        <w:rPr/>
      </w:pPr>
      <w:r>
        <w:rPr>
          <w:rFonts w:ascii="Calibri" w:hAnsi="Calibri"/>
          <w:color w:val="000000"/>
          <w:sz w:val="20"/>
        </w:rPr>
        <w:t>Candidate functions include loading, positioning, imaging access, queue management and controlled transfer between qualified stations. More invasive operations, including liquid handling or specimen preparation, belong to separately evaluated workflows with additional safety and contamination requirements.</w:t>
      </w:r>
    </w:p>
    <w:p>
      <w:pPr>
        <w:keepNext/>
        <w:spacing w:before="0" w:after="50" w:line="250" w:lineRule="auto"/>
      </w:pPr>
      <w:r>
        <w:rPr>
          <w:rFonts w:ascii="Calibri" w:hAnsi="Calibri"/>
          <w:color w:val="000000"/>
          <w:sz w:val="20"/>
        </w:rPr>
        <w:t xml:space="preserve">Function: Plate pickup and placement</w:t>
      </w:r>
    </w:p>
    <w:p>
      <w:pPr>
        <w:spacing w:before="0" w:after="50" w:line="250" w:lineRule="auto"/>
      </w:pPr>
      <w:r>
        <w:rPr>
          <w:rFonts w:ascii="Calibri" w:hAnsi="Calibri"/>
          <w:color w:val="000000"/>
          <w:sz w:val="20"/>
        </w:rPr>
        <w:t xml:space="preserve">Engineering question: Is the permitted vessel range handled without damage or unstable pose?</w:t>
      </w:r>
    </w:p>
    <w:p>
      <w:pPr>
        <w:keepNext/>
        <w:spacing w:before="0" w:after="50" w:line="250" w:lineRule="auto"/>
      </w:pPr>
      <w:r>
        <w:rPr>
          <w:rFonts w:ascii="Calibri" w:hAnsi="Calibri"/>
          <w:color w:val="000000"/>
          <w:sz w:val="20"/>
        </w:rPr>
        <w:t xml:space="preserve">Function: Identification</w:t>
      </w:r>
    </w:p>
    <w:p>
      <w:pPr>
        <w:spacing w:before="0" w:after="50" w:line="250" w:lineRule="auto"/>
      </w:pPr>
      <w:r>
        <w:rPr>
          <w:rFonts w:ascii="Calibri" w:hAnsi="Calibri"/>
          <w:color w:val="000000"/>
          <w:sz w:val="20"/>
        </w:rPr>
        <w:t xml:space="preserve">Engineering question: Is identity verified at the point where a mix-up could occur?</w:t>
      </w:r>
    </w:p>
    <w:p>
      <w:pPr>
        <w:keepNext/>
        <w:spacing w:before="0" w:after="50" w:line="250" w:lineRule="auto"/>
      </w:pPr>
      <w:r>
        <w:rPr>
          <w:rFonts w:ascii="Calibri" w:hAnsi="Calibri"/>
          <w:color w:val="000000"/>
          <w:sz w:val="20"/>
        </w:rPr>
        <w:t xml:space="preserve">Function: Positioning</w:t>
      </w:r>
    </w:p>
    <w:p>
      <w:pPr>
        <w:spacing w:before="0" w:after="50" w:line="250" w:lineRule="auto"/>
      </w:pPr>
      <w:r>
        <w:rPr>
          <w:rFonts w:ascii="Calibri" w:hAnsi="Calibri"/>
          <w:color w:val="000000"/>
          <w:sz w:val="20"/>
        </w:rPr>
        <w:t xml:space="preserve">Engineering question: Does repeatability support the measurement's calibration assumptions?</w:t>
      </w:r>
    </w:p>
    <w:p>
      <w:pPr>
        <w:keepNext/>
        <w:spacing w:before="0" w:after="50" w:line="250" w:lineRule="auto"/>
      </w:pPr>
      <w:r>
        <w:rPr>
          <w:rFonts w:ascii="Calibri" w:hAnsi="Calibri"/>
          <w:color w:val="000000"/>
          <w:sz w:val="20"/>
        </w:rPr>
        <w:t xml:space="preserve">Function: Interlocks</w:t>
      </w:r>
    </w:p>
    <w:p>
      <w:pPr>
        <w:spacing w:before="0" w:after="50" w:line="250" w:lineRule="auto"/>
      </w:pPr>
      <w:r>
        <w:rPr>
          <w:rFonts w:ascii="Calibri" w:hAnsi="Calibri"/>
          <w:color w:val="000000"/>
          <w:sz w:val="20"/>
        </w:rPr>
        <w:t xml:space="preserve">Engineering question: Can a hazardous or unsupported movement be prevented?</w:t>
      </w:r>
    </w:p>
    <w:p>
      <w:pPr>
        <w:keepNext/>
        <w:spacing w:before="0" w:after="50" w:line="250" w:lineRule="auto"/>
      </w:pPr>
      <w:r>
        <w:rPr>
          <w:rFonts w:ascii="Calibri" w:hAnsi="Calibri"/>
          <w:color w:val="000000"/>
          <w:sz w:val="20"/>
        </w:rPr>
        <w:t xml:space="preserve">Function: Recovery</w:t>
      </w:r>
    </w:p>
    <w:p>
      <w:pPr>
        <w:spacing w:before="0" w:after="50" w:line="250" w:lineRule="auto"/>
      </w:pPr>
      <w:r>
        <w:rPr>
          <w:rFonts w:ascii="Calibri" w:hAnsi="Calibri"/>
          <w:color w:val="000000"/>
          <w:sz w:val="20"/>
        </w:rPr>
        <w:t xml:space="preserve">Engineering question: Can staff locate and reconcile every physical object after interruption?</w:t>
      </w:r>
    </w:p>
    <w:p>
      <w:pPr>
        <w:pStyle w:val="Heading3"/>
        <w:keepNext/>
        <w:keepLines/>
        <w:spacing w:before="240" w:after="120" w:line="269" w:lineRule="auto"/>
      </w:pPr>
      <w:r>
        <w:rPr>
          <w:color w:val="000000"/>
        </w:rPr>
        <w:t>Human access remains part of the design</w:t>
      </w:r>
    </w:p>
    <w:p>
      <w:pPr>
        <w:pStyle w:val="Normal"/>
        <w:spacing w:before="0" w:after="50" w:line="250" w:lineRule="auto"/>
        <w:rPr/>
      </w:pPr>
      <w:r>
        <w:rPr>
          <w:rFonts w:ascii="Calibri" w:hAnsi="Calibri"/>
          <w:color w:val="000000"/>
          <w:sz w:val="20"/>
        </w:rPr>
        <w:t>Operators need clear indications of instrument state and a safe, documented recovery path. Maintenance should not require bypassing safeguards during normal operation. The system should preserve the distinction between a commanded movement and a confirmed completed transfer.</w:t>
      </w:r>
    </w:p>
    <w:p>
      <w:pPr>
        <w:pStyle w:val="Normal"/>
        <w:spacing w:before="0" w:after="50" w:line="250" w:lineRule="auto"/>
        <w:rPr/>
      </w:pPr>
      <w:r>
        <w:rPr>
          <w:rFonts w:ascii="Calibri" w:hAnsi="Calibri"/>
          <w:color w:val="000000"/>
          <w:sz w:val="20"/>
        </w:rPr>
        <w:t>Validation should include vessel variation, misloading, obstruction, interrupted power and failed identity reads. The proposed acceptance criteria should cover successful throughput and the behavior of unsuccessful transfers. Robotics is an evidence-gated product family; it should not be implied as an installed capability of the simpler Reader V1 reference configuration.</w:t>
      </w:r>
    </w:p>
    <w:p>
      <w:pPr>
        <w:pStyle w:val="Heading3"/>
        <w:keepNext/>
        <w:keepLines/>
        <w:spacing w:before="240" w:after="120" w:line="269" w:lineRule="auto"/>
      </w:pPr>
      <w:r>
        <w:rPr>
          <w:color w:val="000000"/>
        </w:rPr>
        <w:t>Food and dairy applications</w:t>
      </w:r>
    </w:p>
    <w:p>
      <w:pPr>
        <w:pStyle w:val="Normal"/>
        <w:keepNext/>
        <w:spacing w:before="0" w:after="50" w:line="250" w:lineRule="auto"/>
        <w:rPr/>
      </w:pPr>
      <w:r>
        <w:rPr>
          <w:rFonts w:ascii="Calibri" w:hAnsi="Calibri"/>
          <w:b/>
          <w:color w:val="000000"/>
          <w:sz w:val="20"/>
        </w:rPr>
        <w:t>Food and dairy work requires sector-specific methods</w:t>
      </w:r>
    </w:p>
    <w:p>
      <w:pPr>
        <w:pStyle w:val="Normal"/>
        <w:spacing w:before="0" w:after="50" w:line="250" w:lineRule="auto"/>
        <w:rPr/>
      </w:pPr>
      <w:r>
        <w:rPr>
          <w:rFonts w:ascii="Calibri" w:hAnsi="Calibri"/>
          <w:color w:val="000000"/>
          <w:sz w:val="20"/>
        </w:rPr>
        <w:t>The proposed platform may support research and documentation in food and dairy microbiology, including imaging of eligible culture formats and traceable observation records. The relevant decisions differ from clinical susceptibility reporting. A clinical breakpoint or a patient-oriented interpretation should not be transferred to a food-quality decision without an appropriate basis.</w:t>
      </w:r>
    </w:p>
    <w:p>
      <w:pPr>
        <w:pStyle w:val="Heading3"/>
        <w:keepNext/>
        <w:keepLines/>
        <w:spacing w:before="240" w:after="120" w:line="269" w:lineRule="auto"/>
      </w:pPr>
      <w:r>
        <w:rPr>
          <w:color w:val="000000"/>
        </w:rPr>
        <w:t>Define the material and question</w:t>
      </w:r>
    </w:p>
    <w:p>
      <w:pPr>
        <w:pStyle w:val="Normal"/>
        <w:spacing w:before="0" w:after="50" w:line="250" w:lineRule="auto"/>
        <w:rPr/>
      </w:pPr>
      <w:r>
        <w:rPr>
          <w:rFonts w:ascii="Calibri" w:hAnsi="Calibri"/>
          <w:color w:val="000000"/>
          <w:sz w:val="20"/>
        </w:rPr>
        <w:t>Milk, processed food, production-environment samples and reference cultures can create different matrices and workflows. Imaging may be used to document visible growth or assist a qualified counting task, while the accepted method determines what the observation means for the sample.</w:t>
      </w:r>
    </w:p>
    <w:p>
      <w:pPr>
        <w:spacing w:before="0" w:after="50" w:line="250" w:lineRule="auto"/>
      </w:pPr>
      <w:r>
        <w:rPr>
          <w:rFonts w:ascii="Calibri" w:hAnsi="Calibri"/>
          <w:color w:val="000000"/>
          <w:sz w:val="20"/>
        </w:rPr>
        <w:t xml:space="preserve">Proposed use: Culture documentation</w:t>
      </w:r>
    </w:p>
    <w:p>
      <w:pPr>
        <w:spacing w:before="0" w:after="50" w:line="250" w:lineRule="auto"/>
      </w:pPr>
      <w:r>
        <w:rPr>
          <w:rFonts w:ascii="Calibri" w:hAnsi="Calibri"/>
          <w:color w:val="000000"/>
          <w:sz w:val="20"/>
        </w:rPr>
        <w:t xml:space="preserve">Feasibility boundary: Demonstrate readable records for the intended media and vessels.</w:t>
      </w:r>
    </w:p>
    <w:p>
      <w:pPr>
        <w:spacing w:before="0" w:after="50" w:line="250" w:lineRule="auto"/>
      </w:pPr>
      <w:r>
        <w:rPr>
          <w:rFonts w:ascii="Calibri" w:hAnsi="Calibri"/>
          <w:color w:val="000000"/>
          <w:sz w:val="20"/>
        </w:rPr>
        <w:t xml:space="preserve">Proposed use: Counting assistance</w:t>
      </w:r>
    </w:p>
    <w:p>
      <w:pPr>
        <w:spacing w:before="0" w:after="50" w:line="250" w:lineRule="auto"/>
      </w:pPr>
      <w:r>
        <w:rPr>
          <w:rFonts w:ascii="Calibri" w:hAnsi="Calibri"/>
          <w:color w:val="000000"/>
          <w:sz w:val="20"/>
        </w:rPr>
        <w:t xml:space="preserve">Feasibility boundary: Validate detection, overlap handling and reporting range.</w:t>
      </w:r>
    </w:p>
    <w:p>
      <w:pPr>
        <w:spacing w:before="0" w:after="50" w:line="250" w:lineRule="auto"/>
      </w:pPr>
      <w:r>
        <w:rPr>
          <w:rFonts w:ascii="Calibri" w:hAnsi="Calibri"/>
          <w:color w:val="000000"/>
          <w:sz w:val="20"/>
        </w:rPr>
        <w:t xml:space="preserve">Proposed use: Research susceptibility records</w:t>
      </w:r>
    </w:p>
    <w:p>
      <w:pPr>
        <w:spacing w:before="0" w:after="50" w:line="250" w:lineRule="auto"/>
      </w:pPr>
      <w:r>
        <w:rPr>
          <w:rFonts w:ascii="Calibri" w:hAnsi="Calibri"/>
          <w:color w:val="000000"/>
          <w:sz w:val="20"/>
        </w:rPr>
        <w:t xml:space="preserve">Feasibility boundary: Preserve organism, method and sector-appropriate interpretation.</w:t>
      </w:r>
    </w:p>
    <w:p>
      <w:pPr>
        <w:spacing w:before="0" w:after="50" w:line="250" w:lineRule="auto"/>
      </w:pPr>
      <w:r>
        <w:rPr>
          <w:rFonts w:ascii="Calibri" w:hAnsi="Calibri"/>
          <w:color w:val="000000"/>
          <w:sz w:val="20"/>
        </w:rPr>
        <w:t xml:space="preserve">Proposed use: Production trend analysis</w:t>
      </w:r>
    </w:p>
    <w:p>
      <w:pPr>
        <w:spacing w:before="0" w:after="50" w:line="250" w:lineRule="auto"/>
      </w:pPr>
      <w:r>
        <w:rPr>
          <w:rFonts w:ascii="Calibri" w:hAnsi="Calibri"/>
          <w:color w:val="000000"/>
          <w:sz w:val="20"/>
        </w:rPr>
        <w:t xml:space="preserve">Feasibility boundary: Account for sampling plans, process changes and missing data.</w:t>
      </w:r>
    </w:p>
    <w:p>
      <w:pPr>
        <w:spacing w:before="0" w:after="50" w:line="250" w:lineRule="auto"/>
      </w:pPr>
      <w:r>
        <w:rPr>
          <w:rFonts w:ascii="Calibri" w:hAnsi="Calibri"/>
          <w:color w:val="000000"/>
          <w:sz w:val="20"/>
        </w:rPr>
        <w:t xml:space="preserve">Proposed use: Training</w:t>
      </w:r>
    </w:p>
    <w:p>
      <w:pPr>
        <w:spacing w:before="0" w:after="50" w:line="250" w:lineRule="auto"/>
      </w:pPr>
      <w:r>
        <w:rPr>
          <w:rFonts w:ascii="Calibri" w:hAnsi="Calibri"/>
          <w:color w:val="000000"/>
          <w:sz w:val="20"/>
        </w:rPr>
        <w:t xml:space="preserve">Feasibility boundary: Use clearly labelled examples and qualified reference assessments.</w:t>
      </w:r>
    </w:p>
    <w:p>
      <w:pPr>
        <w:pStyle w:val="Heading3"/>
        <w:keepNext/>
        <w:keepLines/>
        <w:spacing w:before="240" w:after="120" w:line="269" w:lineRule="auto"/>
      </w:pPr>
      <w:r>
        <w:rPr>
          <w:color w:val="000000"/>
        </w:rPr>
        <w:t>Quality decisions need qualified evidence</w:t>
      </w:r>
    </w:p>
    <w:p>
      <w:pPr>
        <w:pStyle w:val="Normal"/>
        <w:spacing w:before="0" w:after="50" w:line="250" w:lineRule="auto"/>
        <w:rPr/>
      </w:pPr>
      <w:r>
        <w:rPr>
          <w:rFonts w:ascii="Calibri" w:hAnsi="Calibri"/>
          <w:color w:val="000000"/>
          <w:sz w:val="20"/>
        </w:rPr>
        <w:t>An image-derived count is not automatically equivalent to a recognized method result. Performance should be established against the appropriate reference, including difficult matrices and low or high count conditions. Sampling and preparation remain part of the complete method even when the reader performs only the observation step.</w:t>
      </w:r>
    </w:p>
    <w:p>
      <w:pPr>
        <w:pStyle w:val="Normal"/>
        <w:spacing w:before="0" w:after="50" w:line="250" w:lineRule="auto"/>
        <w:rPr/>
      </w:pPr>
      <w:r>
        <w:rPr>
          <w:rFonts w:ascii="Calibri" w:hAnsi="Calibri"/>
          <w:color w:val="000000"/>
          <w:sz w:val="20"/>
        </w:rPr>
        <w:t>The service proposition may include calibration, workflow integration, record retention and competency support. Any claim concerning product release, shelf life or regulatory conformity needs its own method and quality-system assessment. The platform's common data infrastructure can support that work while keeping clinical and food-sector interpretations separate.</w:t>
      </w:r>
    </w:p>
    <w:p>
      <w:pPr>
        <w:pStyle w:val="Heading3"/>
        <w:keepNext/>
        <w:keepLines/>
        <w:spacing w:before="240" w:after="120" w:line="269" w:lineRule="auto"/>
      </w:pPr>
      <w:r>
        <w:rPr>
          <w:color w:val="000000"/>
        </w:rPr>
        <w:t>Water and environmental surveillance</w:t>
      </w:r>
    </w:p>
    <w:p>
      <w:pPr>
        <w:pStyle w:val="Normal"/>
        <w:keepNext/>
        <w:spacing w:before="0" w:after="50" w:line="250" w:lineRule="auto"/>
        <w:rPr/>
      </w:pPr>
      <w:r>
        <w:rPr>
          <w:rFonts w:ascii="Calibri" w:hAnsi="Calibri"/>
          <w:b/>
          <w:color w:val="000000"/>
          <w:sz w:val="20"/>
        </w:rPr>
        <w:t>Environmental observation should retain sampling context</w:t>
      </w:r>
    </w:p>
    <w:p>
      <w:pPr>
        <w:pStyle w:val="Normal"/>
        <w:spacing w:before="0" w:after="50" w:line="250" w:lineRule="auto"/>
        <w:rPr/>
      </w:pPr>
      <w:r>
        <w:rPr>
          <w:rFonts w:ascii="Calibri" w:hAnsi="Calibri"/>
          <w:color w:val="000000"/>
          <w:sz w:val="20"/>
        </w:rPr>
        <w:t>Water and environmental surveillance are proposed research applications for traceable culture imaging and data integration. Interpretation depends on where, when and how a sample was collected, the method used and the decision being considered. A plate image alone cannot establish that drinking water is safe or identify the source of contamination.</w:t>
      </w:r>
    </w:p>
    <w:p>
      <w:pPr>
        <w:pStyle w:val="Heading3"/>
        <w:keepNext/>
        <w:keepLines/>
        <w:spacing w:before="240" w:after="120" w:line="269" w:lineRule="auto"/>
      </w:pPr>
      <w:r>
        <w:rPr>
          <w:color w:val="000000"/>
        </w:rPr>
        <w:t>Proposed environmental record</w:t>
      </w:r>
    </w:p>
    <w:p>
      <w:pPr>
        <w:pStyle w:val="Normal"/>
        <w:spacing w:before="0" w:after="50" w:line="250" w:lineRule="auto"/>
        <w:rPr/>
      </w:pPr>
      <w:r>
        <w:rPr>
          <w:rFonts w:ascii="Calibri" w:hAnsi="Calibri"/>
          <w:color w:val="000000"/>
          <w:sz w:val="20"/>
        </w:rPr>
        <w:t>The record should include sampling location at an appropriate privacy and security level, material type, collection event, transport context and analytical method. Repeated observations should distinguish a new sample from a repeated measurement of the same material.</w:t>
      </w:r>
    </w:p>
    <w:p>
      <w:pPr>
        <w:spacing w:before="0" w:after="50" w:line="250" w:lineRule="auto"/>
      </w:pPr>
      <w:r>
        <w:rPr>
          <w:rFonts w:ascii="Calibri" w:hAnsi="Calibri"/>
          <w:color w:val="000000"/>
          <w:sz w:val="20"/>
        </w:rPr>
        <w:t xml:space="preserve">Application question: Is an observed count changing?</w:t>
      </w:r>
    </w:p>
    <w:p>
      <w:pPr>
        <w:spacing w:before="0" w:after="50" w:line="250" w:lineRule="auto"/>
      </w:pPr>
      <w:r>
        <w:rPr>
          <w:rFonts w:ascii="Calibri" w:hAnsi="Calibri"/>
          <w:color w:val="000000"/>
          <w:sz w:val="20"/>
        </w:rPr>
        <w:t xml:space="preserve">Required context: Consistent sampling and method definitions over time.</w:t>
      </w:r>
    </w:p>
    <w:p>
      <w:pPr>
        <w:spacing w:before="0" w:after="50" w:line="250" w:lineRule="auto"/>
      </w:pPr>
      <w:r>
        <w:rPr>
          <w:rFonts w:ascii="Calibri" w:hAnsi="Calibri"/>
          <w:color w:val="000000"/>
          <w:sz w:val="20"/>
        </w:rPr>
        <w:t xml:space="preserve">Application question: Are resistance patterns different across sites?</w:t>
      </w:r>
    </w:p>
    <w:p>
      <w:pPr>
        <w:spacing w:before="0" w:after="50" w:line="250" w:lineRule="auto"/>
      </w:pPr>
      <w:r>
        <w:rPr>
          <w:rFonts w:ascii="Calibri" w:hAnsi="Calibri"/>
          <w:color w:val="000000"/>
          <w:sz w:val="20"/>
        </w:rPr>
        <w:t xml:space="preserve">Required context: Comparable organism and method scope with sampling denominators.</w:t>
      </w:r>
    </w:p>
    <w:p>
      <w:pPr>
        <w:spacing w:before="0" w:after="50" w:line="250" w:lineRule="auto"/>
      </w:pPr>
      <w:r>
        <w:rPr>
          <w:rFonts w:ascii="Calibri" w:hAnsi="Calibri"/>
          <w:color w:val="000000"/>
          <w:sz w:val="20"/>
        </w:rPr>
        <w:t xml:space="preserve">Application question: Is a local feature unusual?</w:t>
      </w:r>
    </w:p>
    <w:p>
      <w:pPr>
        <w:spacing w:before="0" w:after="50" w:line="250" w:lineRule="auto"/>
      </w:pPr>
      <w:r>
        <w:rPr>
          <w:rFonts w:ascii="Calibri" w:hAnsi="Calibri"/>
          <w:color w:val="000000"/>
          <w:sz w:val="20"/>
        </w:rPr>
        <w:t xml:space="preserve">Required context: Relevant baseline and confirmation pathway.</w:t>
      </w:r>
    </w:p>
    <w:p>
      <w:pPr>
        <w:spacing w:before="0" w:after="50" w:line="250" w:lineRule="auto"/>
      </w:pPr>
      <w:r>
        <w:rPr>
          <w:rFonts w:ascii="Calibri" w:hAnsi="Calibri"/>
          <w:color w:val="000000"/>
          <w:sz w:val="20"/>
        </w:rPr>
        <w:t xml:space="preserve">Application question: Can results be combined regionally?</w:t>
      </w:r>
    </w:p>
    <w:p>
      <w:pPr>
        <w:spacing w:before="0" w:after="50" w:line="250" w:lineRule="auto"/>
      </w:pPr>
      <w:r>
        <w:rPr>
          <w:rFonts w:ascii="Calibri" w:hAnsi="Calibri"/>
          <w:color w:val="000000"/>
          <w:sz w:val="20"/>
        </w:rPr>
        <w:t xml:space="preserve">Required context: Shared metadata, units and data-use permissions.</w:t>
      </w:r>
    </w:p>
    <w:p>
      <w:pPr>
        <w:spacing w:before="0" w:after="50" w:line="250" w:lineRule="auto"/>
      </w:pPr>
      <w:r>
        <w:rPr>
          <w:rFonts w:ascii="Calibri" w:hAnsi="Calibri"/>
          <w:color w:val="000000"/>
          <w:sz w:val="20"/>
        </w:rPr>
        <w:t xml:space="preserve">Application question: Does a signal require investigation?</w:t>
      </w:r>
    </w:p>
    <w:p>
      <w:pPr>
        <w:spacing w:before="0" w:after="50" w:line="250" w:lineRule="auto"/>
      </w:pPr>
      <w:r>
        <w:rPr>
          <w:rFonts w:ascii="Calibri" w:hAnsi="Calibri"/>
          <w:color w:val="000000"/>
          <w:sz w:val="20"/>
        </w:rPr>
        <w:t xml:space="preserve">Required context: Authorized public-health or environmental decision process.</w:t>
      </w:r>
    </w:p>
    <w:p>
      <w:pPr>
        <w:pStyle w:val="Heading3"/>
        <w:keepNext/>
        <w:keepLines/>
        <w:spacing w:before="240" w:after="120" w:line="269" w:lineRule="auto"/>
      </w:pPr>
      <w:r>
        <w:rPr>
          <w:color w:val="000000"/>
        </w:rPr>
        <w:t>Avoid overinterpreting a map</w:t>
      </w:r>
    </w:p>
    <w:p>
      <w:pPr>
        <w:pStyle w:val="Normal"/>
        <w:spacing w:before="0" w:after="50" w:line="250" w:lineRule="auto"/>
        <w:rPr/>
      </w:pPr>
      <w:r>
        <w:rPr>
          <w:rFonts w:ascii="Calibri" w:hAnsi="Calibri"/>
          <w:color w:val="000000"/>
          <w:sz w:val="20"/>
        </w:rPr>
        <w:t>Spatial dashboards can make patterns visible, but sampling intensity and site selection can create apparent hotspots. The proposed analytics should show denominators, coverage and missing areas. An untested location should not appear equivalent to a tested location with no detected finding.</w:t>
      </w:r>
    </w:p>
    <w:p>
      <w:pPr>
        <w:pStyle w:val="Normal"/>
        <w:spacing w:before="0" w:after="50" w:line="250" w:lineRule="auto"/>
        <w:rPr/>
      </w:pPr>
      <w:r>
        <w:rPr>
          <w:rFonts w:ascii="Calibri" w:hAnsi="Calibri"/>
          <w:color w:val="000000"/>
          <w:sz w:val="20"/>
        </w:rPr>
        <w:t>Future work could connect environmental, animal and human research records through a One Health framework while preserving their different methods. Such integration should support hypothesis generation and coordinated investigation. It does not demonstrate transmission or a causal pathway without additional evidence and appropriate expert analysis.</w:t>
      </w:r>
    </w:p>
    <w:p>
      <w:pPr>
        <w:pStyle w:val="Heading3"/>
        <w:keepNext/>
        <w:keepLines/>
        <w:spacing w:before="240" w:after="120" w:line="269" w:lineRule="auto"/>
      </w:pPr>
      <w:r>
        <w:rPr>
          <w:color w:val="000000"/>
        </w:rPr>
        <w:t>Veterinary and agricultural research</w:t>
      </w:r>
    </w:p>
    <w:p>
      <w:pPr>
        <w:pStyle w:val="Normal"/>
        <w:keepNext/>
        <w:spacing w:before="0" w:after="50" w:line="250" w:lineRule="auto"/>
        <w:rPr/>
      </w:pPr>
      <w:r>
        <w:rPr>
          <w:rFonts w:ascii="Calibri" w:hAnsi="Calibri"/>
          <w:b/>
          <w:color w:val="000000"/>
          <w:sz w:val="20"/>
        </w:rPr>
        <w:t>Veterinary and agricultural applications need their own interpretation domain</w:t>
      </w:r>
    </w:p>
    <w:p>
      <w:pPr>
        <w:pStyle w:val="Normal"/>
        <w:spacing w:before="0" w:after="50" w:line="250" w:lineRule="auto"/>
        <w:rPr/>
      </w:pPr>
      <w:r>
        <w:rPr>
          <w:rFonts w:ascii="Calibri" w:hAnsi="Calibri"/>
          <w:color w:val="000000"/>
          <w:sz w:val="20"/>
        </w:rPr>
        <w:t>Animal health and agricultural microbiology offer proposed opportunities for imaging, data management and research services. Species, specimen context, antimicrobial use and accepted interpretation can differ from human clinical work. A common organism name is insufficient reason to reuse a human clinical rule without checking applicability.</w:t>
      </w:r>
    </w:p>
    <w:p>
      <w:pPr>
        <w:pStyle w:val="Heading3"/>
        <w:keepNext/>
        <w:keepLines/>
        <w:spacing w:before="240" w:after="120" w:line="269" w:lineRule="auto"/>
      </w:pPr>
      <w:r>
        <w:rPr>
          <w:color w:val="000000"/>
        </w:rPr>
        <w:t>Proposed areas of investigation</w:t>
      </w:r>
    </w:p>
    <w:p>
      <w:pPr>
        <w:pStyle w:val="Normal"/>
        <w:spacing w:before="0" w:after="50" w:line="250" w:lineRule="auto"/>
        <w:rPr/>
      </w:pPr>
      <w:r>
        <w:rPr>
          <w:rFonts w:ascii="Calibri" w:hAnsi="Calibri"/>
          <w:color w:val="000000"/>
          <w:sz w:val="20"/>
        </w:rPr>
        <w:t>The platform could support qualified veterinary laboratory records, research on isolate populations and comparisons across authorized One Health studies. Agricultural applications may involve environmental or production-system questions that require different sampling and analytical methods.</w:t>
      </w:r>
    </w:p>
    <w:p>
      <w:pPr>
        <w:spacing w:before="0" w:after="50" w:line="250" w:lineRule="auto"/>
      </w:pPr>
      <w:r>
        <w:rPr>
          <w:rFonts w:ascii="Calibri" w:hAnsi="Calibri"/>
          <w:color w:val="000000"/>
          <w:sz w:val="20"/>
        </w:rPr>
        <w:t xml:space="preserve">Product function: Endpoint observation</w:t>
      </w:r>
    </w:p>
    <w:p>
      <w:pPr>
        <w:spacing w:before="0" w:after="50" w:line="250" w:lineRule="auto"/>
      </w:pPr>
      <w:r>
        <w:rPr>
          <w:rFonts w:ascii="Calibri" w:hAnsi="Calibri"/>
          <w:color w:val="000000"/>
          <w:sz w:val="20"/>
        </w:rPr>
        <w:t xml:space="preserve">Domain-specific requirement: Confirm method, media and vessel suitability.</w:t>
      </w:r>
    </w:p>
    <w:p>
      <w:pPr>
        <w:spacing w:before="0" w:after="50" w:line="250" w:lineRule="auto"/>
      </w:pPr>
      <w:r>
        <w:rPr>
          <w:rFonts w:ascii="Calibri" w:hAnsi="Calibri"/>
          <w:color w:val="000000"/>
          <w:sz w:val="20"/>
        </w:rPr>
        <w:t xml:space="preserve">Product function: Interpretation</w:t>
      </w:r>
    </w:p>
    <w:p>
      <w:pPr>
        <w:spacing w:before="0" w:after="50" w:line="250" w:lineRule="auto"/>
      </w:pPr>
      <w:r>
        <w:rPr>
          <w:rFonts w:ascii="Calibri" w:hAnsi="Calibri"/>
          <w:color w:val="000000"/>
          <w:sz w:val="20"/>
        </w:rPr>
        <w:t xml:space="preserve">Domain-specific requirement: Use the applicable veterinary or research framework.</w:t>
      </w:r>
    </w:p>
    <w:p>
      <w:pPr>
        <w:spacing w:before="0" w:after="50" w:line="250" w:lineRule="auto"/>
      </w:pPr>
      <w:r>
        <w:rPr>
          <w:rFonts w:ascii="Calibri" w:hAnsi="Calibri"/>
          <w:color w:val="000000"/>
          <w:sz w:val="20"/>
        </w:rPr>
        <w:t xml:space="preserve">Product function: Identity and metadata</w:t>
      </w:r>
    </w:p>
    <w:p>
      <w:pPr>
        <w:spacing w:before="0" w:after="50" w:line="250" w:lineRule="auto"/>
      </w:pPr>
      <w:r>
        <w:rPr>
          <w:rFonts w:ascii="Calibri" w:hAnsi="Calibri"/>
          <w:color w:val="000000"/>
          <w:sz w:val="20"/>
        </w:rPr>
        <w:t xml:space="preserve">Domain-specific requirement: Preserve host, specimen and sampling context at an appropriate level.</w:t>
      </w:r>
    </w:p>
    <w:p>
      <w:pPr>
        <w:spacing w:before="0" w:after="50" w:line="250" w:lineRule="auto"/>
      </w:pPr>
      <w:r>
        <w:rPr>
          <w:rFonts w:ascii="Calibri" w:hAnsi="Calibri"/>
          <w:color w:val="000000"/>
          <w:sz w:val="20"/>
        </w:rPr>
        <w:t xml:space="preserve">Product function: Comparative research</w:t>
      </w:r>
    </w:p>
    <w:p>
      <w:pPr>
        <w:spacing w:before="0" w:after="50" w:line="250" w:lineRule="auto"/>
      </w:pPr>
      <w:r>
        <w:rPr>
          <w:rFonts w:ascii="Calibri" w:hAnsi="Calibri"/>
          <w:color w:val="000000"/>
          <w:sz w:val="20"/>
        </w:rPr>
        <w:t xml:space="preserve">Domain-specific requirement: Account for population and exposure differences.</w:t>
      </w:r>
    </w:p>
    <w:p>
      <w:pPr>
        <w:spacing w:before="0" w:after="50" w:line="250" w:lineRule="auto"/>
      </w:pPr>
      <w:r>
        <w:rPr>
          <w:rFonts w:ascii="Calibri" w:hAnsi="Calibri"/>
          <w:color w:val="000000"/>
          <w:sz w:val="20"/>
        </w:rPr>
        <w:t xml:space="preserve">Product function: Reporting</w:t>
      </w:r>
    </w:p>
    <w:p>
      <w:pPr>
        <w:spacing w:before="0" w:after="50" w:line="250" w:lineRule="auto"/>
      </w:pPr>
      <w:r>
        <w:rPr>
          <w:rFonts w:ascii="Calibri" w:hAnsi="Calibri"/>
          <w:color w:val="000000"/>
          <w:sz w:val="20"/>
        </w:rPr>
        <w:t xml:space="preserve">Domain-specific requirement: Separate laboratory findings from treatment or production decisions.</w:t>
      </w:r>
    </w:p>
    <w:p>
      <w:pPr>
        <w:pStyle w:val="Heading3"/>
        <w:keepNext/>
        <w:keepLines/>
        <w:spacing w:before="240" w:after="120" w:line="269" w:lineRule="auto"/>
      </w:pPr>
      <w:r>
        <w:rPr>
          <w:color w:val="000000"/>
        </w:rPr>
        <w:t>Cross-domain evidence can inform research</w:t>
      </w:r>
    </w:p>
    <w:p>
      <w:pPr>
        <w:pStyle w:val="Normal"/>
        <w:spacing w:before="0" w:after="50" w:line="250" w:lineRule="auto"/>
        <w:rPr/>
      </w:pPr>
      <w:r>
        <w:rPr>
          <w:rFonts w:ascii="Calibri" w:hAnsi="Calibri"/>
          <w:color w:val="000000"/>
          <w:sz w:val="20"/>
        </w:rPr>
        <w:t xml:space="preserve">A 2025 study of a veterinary clinical Enterobacter cloacae complex isolate demonstrated a transient gene-amplification mechanism associated with heteroresistance. Its origin illustrates the relevance of population-level questions beyond human clinical laboratories. The study does not establish prevalence or platform performance across animal species. </w:t>
      </w:r>
    </w:p>
    <w:p>
      <w:pPr>
        <w:pStyle w:val="Normal"/>
        <w:spacing w:before="0" w:after="50" w:line="250" w:lineRule="auto"/>
        <w:rPr/>
      </w:pPr>
      <w:r>
        <w:rPr>
          <w:rFonts w:ascii="Calibri" w:hAnsi="Calibri"/>
          <w:color w:val="000000"/>
          <w:sz w:val="20"/>
        </w:rPr>
        <w:t>The proposed service should work with qualified domain experts to define study endpoints and reference methods. Shared infrastructure can reduce duplication in record handling and calibration, but each new application needs a documented eligibility domain. Expansion should follow evidence about the intended material and decision, rather than treating One Health as permission to generalize every clinical claim.</w:t>
      </w:r>
    </w:p>
    <w:p>
      <w:pPr>
        <w:pStyle w:val="Heading3"/>
        <w:keepNext/>
        <w:keepLines/>
        <w:spacing w:before="240" w:after="120" w:line="269" w:lineRule="auto"/>
      </w:pPr>
      <w:r>
        <w:rPr>
          <w:color w:val="000000"/>
        </w:rPr>
        <w:t>Pharmaceutical quality research</w:t>
      </w:r>
    </w:p>
    <w:p>
      <w:pPr>
        <w:pStyle w:val="Normal"/>
        <w:keepNext/>
        <w:spacing w:before="0" w:after="50" w:line="250" w:lineRule="auto"/>
        <w:rPr/>
      </w:pPr>
      <w:r>
        <w:rPr>
          <w:rFonts w:ascii="Calibri" w:hAnsi="Calibri"/>
          <w:b/>
          <w:color w:val="000000"/>
          <w:sz w:val="20"/>
        </w:rPr>
        <w:t>Pharmaceutical quality research demands a controlled measurement chain</w:t>
      </w:r>
    </w:p>
    <w:p>
      <w:pPr>
        <w:pStyle w:val="Normal"/>
        <w:spacing w:before="0" w:after="50" w:line="250" w:lineRule="auto"/>
        <w:rPr/>
      </w:pPr>
      <w:r>
        <w:rPr>
          <w:rFonts w:ascii="Calibri" w:hAnsi="Calibri"/>
          <w:color w:val="000000"/>
          <w:sz w:val="20"/>
        </w:rPr>
        <w:t>The platform may investigate imaging and data-management support for pharmaceutical microbiology research and method development. Potential functions include documenting eligible culture observations, assessing imaging repeatability and preserving analytical review. These proposals do not establish a qualified sterility test, a batch-release method or compliance with a pharmacopoeial requirement.</w:t>
      </w:r>
    </w:p>
    <w:p>
      <w:pPr>
        <w:pStyle w:val="Heading3"/>
        <w:keepNext/>
        <w:keepLines/>
        <w:spacing w:before="240" w:after="120" w:line="269" w:lineRule="auto"/>
      </w:pPr>
      <w:r>
        <w:rPr>
          <w:color w:val="000000"/>
        </w:rPr>
        <w:t>Define the proposed role precisely</w:t>
      </w:r>
    </w:p>
    <w:p>
      <w:pPr>
        <w:pStyle w:val="Normal"/>
        <w:spacing w:before="0" w:after="50" w:line="250" w:lineRule="auto"/>
        <w:rPr/>
      </w:pPr>
      <w:r>
        <w:rPr>
          <w:rFonts w:ascii="Calibri" w:hAnsi="Calibri"/>
          <w:color w:val="000000"/>
          <w:sz w:val="20"/>
        </w:rPr>
        <w:t>An observation aid may improve record retrieval without changing the accepted analytical method. A new detection algorithm or earlier endpoint can change that method's performance and requires a separate qualification strategy. Absence of visible growth within a shorter period cannot automatically support an absence-of-contamination claim.</w:t>
      </w:r>
    </w:p>
    <w:p>
      <w:pPr>
        <w:spacing w:before="0" w:after="50" w:line="250" w:lineRule="auto"/>
      </w:pPr>
      <w:r>
        <w:rPr>
          <w:rFonts w:ascii="Calibri" w:hAnsi="Calibri"/>
          <w:color w:val="000000"/>
          <w:sz w:val="20"/>
        </w:rPr>
        <w:t xml:space="preserve">Proposed function: Image archive</w:t>
      </w:r>
    </w:p>
    <w:p>
      <w:pPr>
        <w:spacing w:before="0" w:after="50" w:line="250" w:lineRule="auto"/>
      </w:pPr>
      <w:r>
        <w:rPr>
          <w:rFonts w:ascii="Calibri" w:hAnsi="Calibri"/>
          <w:color w:val="000000"/>
          <w:sz w:val="20"/>
        </w:rPr>
        <w:t xml:space="preserve">Evidence needed: Identity, completeness, integrity and authorized retrieval.</w:t>
      </w:r>
    </w:p>
    <w:p>
      <w:pPr>
        <w:spacing w:before="0" w:after="50" w:line="250" w:lineRule="auto"/>
      </w:pPr>
      <w:r>
        <w:rPr>
          <w:rFonts w:ascii="Calibri" w:hAnsi="Calibri"/>
          <w:color w:val="000000"/>
          <w:sz w:val="20"/>
        </w:rPr>
        <w:t xml:space="preserve">Proposed function: Measurement assistance</w:t>
      </w:r>
    </w:p>
    <w:p>
      <w:pPr>
        <w:spacing w:before="0" w:after="50" w:line="250" w:lineRule="auto"/>
      </w:pPr>
      <w:r>
        <w:rPr>
          <w:rFonts w:ascii="Calibri" w:hAnsi="Calibri"/>
          <w:color w:val="000000"/>
          <w:sz w:val="20"/>
        </w:rPr>
        <w:t xml:space="preserve">Evidence needed: Accuracy and precision for the defined observation.</w:t>
      </w:r>
    </w:p>
    <w:p>
      <w:pPr>
        <w:spacing w:before="0" w:after="50" w:line="250" w:lineRule="auto"/>
      </w:pPr>
      <w:r>
        <w:rPr>
          <w:rFonts w:ascii="Calibri" w:hAnsi="Calibri"/>
          <w:color w:val="000000"/>
          <w:sz w:val="20"/>
        </w:rPr>
        <w:t xml:space="preserve">Proposed function: Automated flagging</w:t>
      </w:r>
    </w:p>
    <w:p>
      <w:pPr>
        <w:spacing w:before="0" w:after="50" w:line="250" w:lineRule="auto"/>
      </w:pPr>
      <w:r>
        <w:rPr>
          <w:rFonts w:ascii="Calibri" w:hAnsi="Calibri"/>
          <w:color w:val="000000"/>
          <w:sz w:val="20"/>
        </w:rPr>
        <w:t xml:space="preserve">Evidence needed: Sensitivity, false alarms and handling of difficult appearances.</w:t>
      </w:r>
    </w:p>
    <w:p>
      <w:pPr>
        <w:spacing w:before="0" w:after="50" w:line="250" w:lineRule="auto"/>
      </w:pPr>
      <w:r>
        <w:rPr>
          <w:rFonts w:ascii="Calibri" w:hAnsi="Calibri"/>
          <w:color w:val="000000"/>
          <w:sz w:val="20"/>
        </w:rPr>
        <w:t xml:space="preserve">Proposed function: Earlier research endpoint</w:t>
      </w:r>
    </w:p>
    <w:p>
      <w:pPr>
        <w:spacing w:before="0" w:after="50" w:line="250" w:lineRule="auto"/>
      </w:pPr>
      <w:r>
        <w:rPr>
          <w:rFonts w:ascii="Calibri" w:hAnsi="Calibri"/>
          <w:color w:val="000000"/>
          <w:sz w:val="20"/>
        </w:rPr>
        <w:t xml:space="preserve">Evidence needed: Independent evidence across the relevant challenge domain.</w:t>
      </w:r>
    </w:p>
    <w:p>
      <w:pPr>
        <w:spacing w:before="0" w:after="50" w:line="250" w:lineRule="auto"/>
      </w:pPr>
      <w:r>
        <w:rPr>
          <w:rFonts w:ascii="Calibri" w:hAnsi="Calibri"/>
          <w:color w:val="000000"/>
          <w:sz w:val="20"/>
        </w:rPr>
        <w:t xml:space="preserve">Proposed function: Quality-system integration</w:t>
      </w:r>
    </w:p>
    <w:p>
      <w:pPr>
        <w:spacing w:before="0" w:after="50" w:line="250" w:lineRule="auto"/>
      </w:pPr>
      <w:r>
        <w:rPr>
          <w:rFonts w:ascii="Calibri" w:hAnsi="Calibri"/>
          <w:color w:val="000000"/>
          <w:sz w:val="20"/>
        </w:rPr>
        <w:t xml:space="preserve">Evidence needed: Controlled review, change management and validated interfaces.</w:t>
      </w:r>
    </w:p>
    <w:p>
      <w:pPr>
        <w:pStyle w:val="Heading3"/>
        <w:keepNext/>
        <w:keepLines/>
        <w:spacing w:before="240" w:after="120" w:line="269" w:lineRule="auto"/>
      </w:pPr>
      <w:r>
        <w:rPr>
          <w:color w:val="000000"/>
        </w:rPr>
        <w:t>Record integrity is necessary but insufficient</w:t>
      </w:r>
    </w:p>
    <w:p>
      <w:pPr>
        <w:pStyle w:val="Normal"/>
        <w:spacing w:before="0" w:after="50" w:line="250" w:lineRule="auto"/>
        <w:rPr/>
      </w:pPr>
      <w:r>
        <w:rPr>
          <w:rFonts w:ascii="Calibri" w:hAnsi="Calibri"/>
          <w:color w:val="000000"/>
          <w:sz w:val="20"/>
        </w:rPr>
        <w:t>An immutable audit trail can establish what happened in the software. It cannot establish that the biological method was suitable. Both analytical performance and data integrity need assessment appropriate to the intended quality decision.</w:t>
      </w:r>
    </w:p>
    <w:p>
      <w:pPr>
        <w:pStyle w:val="Normal"/>
        <w:spacing w:before="0" w:after="50" w:line="250" w:lineRule="auto"/>
        <w:rPr/>
      </w:pPr>
      <w:r>
        <w:rPr>
          <w:rFonts w:ascii="Calibri" w:hAnsi="Calibri"/>
          <w:color w:val="000000"/>
          <w:sz w:val="20"/>
        </w:rPr>
        <w:t>A practical first collaboration could evaluate a bounded documentation or measurement function within an existing qualified workflow. The study should include deviations, failed acquisitions and reviewer corrections. Any subsequent proposal to alter a regulated release method would require specialist quality and regulatory assessment, with the relevant standards and pharmacopoeial requirements verified at that time.</w:t>
      </w:r>
    </w:p>
    <w:p>
      <w:pPr>
        <w:pStyle w:val="Heading3"/>
        <w:keepNext/>
        <w:keepLines/>
        <w:spacing w:before="240" w:after="120" w:line="269" w:lineRule="auto"/>
      </w:pPr>
      <w:r>
        <w:rPr>
          <w:color w:val="000000"/>
        </w:rPr>
        <w:t>Teaching and competency development</w:t>
      </w:r>
    </w:p>
    <w:p>
      <w:pPr>
        <w:pStyle w:val="Normal"/>
        <w:keepNext/>
        <w:spacing w:before="0" w:after="50" w:line="250" w:lineRule="auto"/>
        <w:rPr/>
      </w:pPr>
      <w:r>
        <w:rPr>
          <w:rFonts w:ascii="Calibri" w:hAnsi="Calibri"/>
          <w:b/>
          <w:color w:val="000000"/>
          <w:sz w:val="20"/>
        </w:rPr>
        <w:t>Teaching tools should make measurement reasoning visible</w:t>
      </w:r>
    </w:p>
    <w:p>
      <w:pPr>
        <w:pStyle w:val="Normal"/>
        <w:spacing w:before="0" w:after="50" w:line="250" w:lineRule="auto"/>
        <w:rPr/>
      </w:pPr>
      <w:r>
        <w:rPr>
          <w:rFonts w:ascii="Calibri" w:hAnsi="Calibri"/>
          <w:color w:val="000000"/>
          <w:sz w:val="20"/>
        </w:rPr>
        <w:t>The proposed education family can use curated images, synthetic demonstrations and structured review exercises to teach observation, calibration and evidence interpretation. The aim is to help learners understand why a result is supported, uncertain or unavailable. A teaching score should not be confused with authorization to perform clinical work independently.</w:t>
      </w:r>
    </w:p>
    <w:p>
      <w:pPr>
        <w:pStyle w:val="Heading3"/>
        <w:keepNext/>
        <w:keepLines/>
        <w:spacing w:before="240" w:after="120" w:line="269" w:lineRule="auto"/>
      </w:pPr>
      <w:r>
        <w:rPr>
          <w:color w:val="000000"/>
        </w:rPr>
        <w:t>Candidate learning activities</w:t>
      </w:r>
    </w:p>
    <w:p>
      <w:pPr>
        <w:pStyle w:val="Normal"/>
        <w:spacing w:before="0" w:after="50" w:line="250" w:lineRule="auto"/>
        <w:rPr/>
      </w:pPr>
      <w:r>
        <w:rPr>
          <w:rFonts w:ascii="Calibri" w:hAnsi="Calibri"/>
          <w:color w:val="000000"/>
          <w:sz w:val="20"/>
        </w:rPr>
        <w:t>Learners could compare boundary choices, identify image-quality problems, inspect the effect of calibration and distinguish measured values from predictions. Heteroresistance examples should separate visible features from confirmed biological labels. Demonstrations should disclose whether an image is experimental, synthetic or illustrative.</w:t>
      </w:r>
    </w:p>
    <w:p>
      <w:pPr>
        <w:spacing w:before="0" w:after="50" w:line="250" w:lineRule="auto"/>
      </w:pPr>
      <w:r>
        <w:rPr>
          <w:rFonts w:ascii="Calibri" w:hAnsi="Calibri"/>
          <w:color w:val="000000"/>
          <w:sz w:val="20"/>
        </w:rPr>
        <w:t xml:space="preserve">Learning objective: Spatial measurement</w:t>
      </w:r>
    </w:p>
    <w:p>
      <w:pPr>
        <w:spacing w:before="0" w:after="50" w:line="250" w:lineRule="auto"/>
      </w:pPr>
      <w:r>
        <w:rPr>
          <w:rFonts w:ascii="Calibri" w:hAnsi="Calibri"/>
          <w:color w:val="000000"/>
          <w:sz w:val="20"/>
        </w:rPr>
        <w:t xml:space="preserve">Proposed assessment: Correct use of units and calibration context.</w:t>
      </w:r>
    </w:p>
    <w:p>
      <w:pPr>
        <w:spacing w:before="0" w:after="50" w:line="250" w:lineRule="auto"/>
      </w:pPr>
      <w:r>
        <w:rPr>
          <w:rFonts w:ascii="Calibri" w:hAnsi="Calibri"/>
          <w:color w:val="000000"/>
          <w:sz w:val="20"/>
        </w:rPr>
        <w:t xml:space="preserve">Learning objective: Quality assessment</w:t>
      </w:r>
    </w:p>
    <w:p>
      <w:pPr>
        <w:spacing w:before="0" w:after="50" w:line="250" w:lineRule="auto"/>
      </w:pPr>
      <w:r>
        <w:rPr>
          <w:rFonts w:ascii="Calibri" w:hAnsi="Calibri"/>
          <w:color w:val="000000"/>
          <w:sz w:val="20"/>
        </w:rPr>
        <w:t xml:space="preserve">Proposed assessment: Recognition of unreadable or compromised observations.</w:t>
      </w:r>
    </w:p>
    <w:p>
      <w:pPr>
        <w:spacing w:before="0" w:after="50" w:line="250" w:lineRule="auto"/>
      </w:pPr>
      <w:r>
        <w:rPr>
          <w:rFonts w:ascii="Calibri" w:hAnsi="Calibri"/>
          <w:color w:val="000000"/>
          <w:sz w:val="20"/>
        </w:rPr>
        <w:t xml:space="preserve">Learning objective: Interpretation</w:t>
      </w:r>
    </w:p>
    <w:p>
      <w:pPr>
        <w:spacing w:before="0" w:after="50" w:line="250" w:lineRule="auto"/>
      </w:pPr>
      <w:r>
        <w:rPr>
          <w:rFonts w:ascii="Calibri" w:hAnsi="Calibri"/>
          <w:color w:val="000000"/>
          <w:sz w:val="20"/>
        </w:rPr>
        <w:t xml:space="preserve">Proposed assessment: Appropriate use of a supplied, versioned method context.</w:t>
      </w:r>
    </w:p>
    <w:p>
      <w:pPr>
        <w:spacing w:before="0" w:after="50" w:line="250" w:lineRule="auto"/>
      </w:pPr>
      <w:r>
        <w:rPr>
          <w:rFonts w:ascii="Calibri" w:hAnsi="Calibri"/>
          <w:color w:val="000000"/>
          <w:sz w:val="20"/>
        </w:rPr>
        <w:t xml:space="preserve">Learning objective: Evidence discipline</w:t>
      </w:r>
    </w:p>
    <w:p>
      <w:pPr>
        <w:spacing w:before="0" w:after="50" w:line="250" w:lineRule="auto"/>
      </w:pPr>
      <w:r>
        <w:rPr>
          <w:rFonts w:ascii="Calibri" w:hAnsi="Calibri"/>
          <w:color w:val="000000"/>
          <w:sz w:val="20"/>
        </w:rPr>
        <w:t xml:space="preserve">Proposed assessment: Distinguishing observation, inference and confirmation.</w:t>
      </w:r>
    </w:p>
    <w:p>
      <w:pPr>
        <w:spacing w:before="0" w:after="50" w:line="250" w:lineRule="auto"/>
      </w:pPr>
      <w:r>
        <w:rPr>
          <w:rFonts w:ascii="Calibri" w:hAnsi="Calibri"/>
          <w:color w:val="000000"/>
          <w:sz w:val="20"/>
        </w:rPr>
        <w:t xml:space="preserve">Learning objective: Record handling</w:t>
      </w:r>
    </w:p>
    <w:p>
      <w:pPr>
        <w:spacing w:before="0" w:after="50" w:line="250" w:lineRule="auto"/>
      </w:pPr>
      <w:r>
        <w:rPr>
          <w:rFonts w:ascii="Calibri" w:hAnsi="Calibri"/>
          <w:color w:val="000000"/>
          <w:sz w:val="20"/>
        </w:rPr>
        <w:t xml:space="preserve">Proposed assessment: Correct identity, correction and audit behavior.</w:t>
      </w:r>
    </w:p>
    <w:p>
      <w:pPr>
        <w:pStyle w:val="Heading3"/>
        <w:keepNext/>
        <w:keepLines/>
        <w:spacing w:before="240" w:after="120" w:line="269" w:lineRule="auto"/>
      </w:pPr>
      <w:r>
        <w:rPr>
          <w:color w:val="000000"/>
        </w:rPr>
        <w:t>Preserve expert disagreement where it is informative</w:t>
      </w:r>
    </w:p>
    <w:p>
      <w:pPr>
        <w:pStyle w:val="Normal"/>
        <w:spacing w:before="0" w:after="50" w:line="250" w:lineRule="auto"/>
        <w:rPr/>
      </w:pPr>
      <w:r>
        <w:rPr>
          <w:rFonts w:ascii="Calibri" w:hAnsi="Calibri"/>
          <w:color w:val="000000"/>
          <w:sz w:val="20"/>
        </w:rPr>
        <w:t>Some image boundaries are ambiguous. A teaching collection can show a justified range or explain why the case should be escalated. Presenting every example as having a single obvious numerical answer can teach false certainty.</w:t>
      </w:r>
    </w:p>
    <w:p>
      <w:pPr>
        <w:pStyle w:val="Normal"/>
        <w:spacing w:before="0" w:after="50" w:line="250" w:lineRule="auto"/>
        <w:rPr/>
      </w:pPr>
      <w:r>
        <w:rPr>
          <w:rFonts w:ascii="Calibri" w:hAnsi="Calibri"/>
          <w:color w:val="000000"/>
          <w:sz w:val="20"/>
        </w:rPr>
        <w:t>The service may include competency support for laboratories, but formal authorization remains with the responsible institution and its qualified process. Training effectiveness should be measured through retained understanding and performance on independent examples. Completion of a module or familiarity with an interface alone does not establish competence for every organism, method or clinical context.</w:t>
      </w:r>
    </w:p>
    <w:p>
      <w:pPr>
        <w:pStyle w:val="Heading3"/>
        <w:keepNext/>
        <w:keepLines/>
        <w:spacing w:before="240" w:after="120" w:line="269" w:lineRule="auto"/>
      </w:pPr>
      <w:r>
        <w:rPr>
          <w:color w:val="000000"/>
        </w:rPr>
        <w:t>Hospital stewardship interfaces</w:t>
      </w:r>
    </w:p>
    <w:p>
      <w:pPr>
        <w:pStyle w:val="Normal"/>
        <w:keepNext/>
        <w:spacing w:before="0" w:after="50" w:line="250" w:lineRule="auto"/>
        <w:rPr/>
      </w:pPr>
      <w:r>
        <w:rPr>
          <w:rFonts w:ascii="Calibri" w:hAnsi="Calibri"/>
          <w:b/>
          <w:color w:val="000000"/>
          <w:sz w:val="20"/>
        </w:rPr>
        <w:t>Stewardship interfaces should deliver reviewed information clearly</w:t>
      </w:r>
    </w:p>
    <w:p>
      <w:pPr>
        <w:pStyle w:val="Normal"/>
        <w:spacing w:before="0" w:after="50" w:line="250" w:lineRule="auto"/>
        <w:rPr/>
      </w:pPr>
      <w:r>
        <w:rPr>
          <w:rFonts w:ascii="Calibri" w:hAnsi="Calibri"/>
          <w:color w:val="000000"/>
          <w:sz w:val="20"/>
        </w:rPr>
        <w:t>The proposed platform can support antimicrobial stewardship by making qualified laboratory results available with their timing, method and review status. It should help the authorized team understand what evidence exists and what remains pending. It does not replace clinical judgment or independently select treatment.</w:t>
      </w:r>
    </w:p>
    <w:p>
      <w:pPr>
        <w:pStyle w:val="Heading3"/>
        <w:keepNext/>
        <w:keepLines/>
        <w:spacing w:before="240" w:after="120" w:line="269" w:lineRule="auto"/>
      </w:pPr>
      <w:r>
        <w:rPr>
          <w:color w:val="000000"/>
        </w:rPr>
        <w:t>Connect the result to its useful context</w:t>
      </w:r>
    </w:p>
    <w:p>
      <w:pPr>
        <w:pStyle w:val="Normal"/>
        <w:spacing w:before="0" w:after="50" w:line="250" w:lineRule="auto"/>
        <w:rPr/>
      </w:pPr>
      <w:r>
        <w:rPr>
          <w:rFonts w:ascii="Calibri" w:hAnsi="Calibri"/>
          <w:color w:val="000000"/>
          <w:sz w:val="20"/>
        </w:rPr>
        <w:t>A stewardship-facing view may need specimen and isolate identity, collection and reporting times, organism identification, reviewed susceptibility findings and significant amendments. The amount of patient information exposed should be limited to the authorized purpose and role.</w:t>
      </w:r>
    </w:p>
    <w:p>
      <w:pPr>
        <w:spacing w:before="0" w:after="50" w:line="250" w:lineRule="auto"/>
      </w:pPr>
      <w:r>
        <w:rPr>
          <w:rFonts w:ascii="Calibri" w:hAnsi="Calibri"/>
          <w:color w:val="000000"/>
          <w:sz w:val="20"/>
        </w:rPr>
        <w:t xml:space="preserve">Interface function: Result availability</w:t>
      </w:r>
    </w:p>
    <w:p>
      <w:pPr>
        <w:spacing w:before="0" w:after="50" w:line="250" w:lineRule="auto"/>
      </w:pPr>
      <w:r>
        <w:rPr>
          <w:rFonts w:ascii="Calibri" w:hAnsi="Calibri"/>
          <w:color w:val="000000"/>
          <w:sz w:val="20"/>
        </w:rPr>
        <w:t xml:space="preserve">Proposed requirement: Distinguish preliminary, reviewed, amended and unavailable states.</w:t>
      </w:r>
    </w:p>
    <w:p>
      <w:pPr>
        <w:spacing w:before="0" w:after="50" w:line="250" w:lineRule="auto"/>
      </w:pPr>
      <w:r>
        <w:rPr>
          <w:rFonts w:ascii="Calibri" w:hAnsi="Calibri"/>
          <w:color w:val="000000"/>
          <w:sz w:val="20"/>
        </w:rPr>
        <w:t xml:space="preserve">Interface function: Timeliness</w:t>
      </w:r>
    </w:p>
    <w:p>
      <w:pPr>
        <w:spacing w:before="0" w:after="50" w:line="250" w:lineRule="auto"/>
      </w:pPr>
      <w:r>
        <w:rPr>
          <w:rFonts w:ascii="Calibri" w:hAnsi="Calibri"/>
          <w:color w:val="000000"/>
          <w:sz w:val="20"/>
        </w:rPr>
        <w:t xml:space="preserve">Proposed requirement: Preserve the interval from relevant workflow events to communication.</w:t>
      </w:r>
    </w:p>
    <w:p>
      <w:pPr>
        <w:spacing w:before="0" w:after="50" w:line="250" w:lineRule="auto"/>
      </w:pPr>
      <w:r>
        <w:rPr>
          <w:rFonts w:ascii="Calibri" w:hAnsi="Calibri"/>
          <w:color w:val="000000"/>
          <w:sz w:val="20"/>
        </w:rPr>
        <w:t xml:space="preserve">Interface function: Alerts</w:t>
      </w:r>
    </w:p>
    <w:p>
      <w:pPr>
        <w:spacing w:before="0" w:after="50" w:line="250" w:lineRule="auto"/>
      </w:pPr>
      <w:r>
        <w:rPr>
          <w:rFonts w:ascii="Calibri" w:hAnsi="Calibri"/>
          <w:color w:val="000000"/>
          <w:sz w:val="20"/>
        </w:rPr>
        <w:t xml:space="preserve">Proposed requirement: Use an authorized policy with escalation and acknowledgment.</w:t>
      </w:r>
    </w:p>
    <w:p>
      <w:pPr>
        <w:spacing w:before="0" w:after="50" w:line="250" w:lineRule="auto"/>
      </w:pPr>
      <w:r>
        <w:rPr>
          <w:rFonts w:ascii="Calibri" w:hAnsi="Calibri"/>
          <w:color w:val="000000"/>
          <w:sz w:val="20"/>
        </w:rPr>
        <w:t xml:space="preserve">Interface function: Amendments</w:t>
      </w:r>
    </w:p>
    <w:p>
      <w:pPr>
        <w:spacing w:before="0" w:after="50" w:line="250" w:lineRule="auto"/>
      </w:pPr>
      <w:r>
        <w:rPr>
          <w:rFonts w:ascii="Calibri" w:hAnsi="Calibri"/>
          <w:color w:val="000000"/>
          <w:sz w:val="20"/>
        </w:rPr>
        <w:t xml:space="preserve">Proposed requirement: Make corrected results visible without erasing the original report.</w:t>
      </w:r>
    </w:p>
    <w:p>
      <w:pPr>
        <w:spacing w:before="0" w:after="50" w:line="250" w:lineRule="auto"/>
      </w:pPr>
      <w:r>
        <w:rPr>
          <w:rFonts w:ascii="Calibri" w:hAnsi="Calibri"/>
          <w:color w:val="000000"/>
          <w:sz w:val="20"/>
        </w:rPr>
        <w:t xml:space="preserve">Interface function: Aggregate review</w:t>
      </w:r>
    </w:p>
    <w:p>
      <w:pPr>
        <w:spacing w:before="0" w:after="50" w:line="250" w:lineRule="auto"/>
      </w:pPr>
      <w:r>
        <w:rPr>
          <w:rFonts w:ascii="Calibri" w:hAnsi="Calibri"/>
          <w:color w:val="000000"/>
          <w:sz w:val="20"/>
        </w:rPr>
        <w:t xml:space="preserve">Proposed requirement: Provide denominators, eligibility and method context.</w:t>
      </w:r>
    </w:p>
    <w:p>
      <w:pPr>
        <w:pStyle w:val="Heading3"/>
        <w:keepNext/>
        <w:keepLines/>
        <w:spacing w:before="240" w:after="120" w:line="269" w:lineRule="auto"/>
      </w:pPr>
      <w:r>
        <w:rPr>
          <w:color w:val="000000"/>
        </w:rPr>
        <w:t>Measure whether information reaches a decision</w:t>
      </w:r>
    </w:p>
    <w:p>
      <w:pPr>
        <w:pStyle w:val="Normal"/>
        <w:spacing w:before="0" w:after="50" w:line="250" w:lineRule="auto"/>
        <w:rPr/>
      </w:pPr>
      <w:r>
        <w:rPr>
          <w:rFonts w:ascii="Calibri" w:hAnsi="Calibri"/>
          <w:color w:val="000000"/>
          <w:sz w:val="20"/>
        </w:rPr>
        <w:t>A shorter analytical interval is one part of a longer pathway. A future study should assess whether reviewed information was received, understood and used appropriately by the intended team. Alert volume, missed acknowledgments and after-hours workflow can affect practical value.</w:t>
      </w:r>
    </w:p>
    <w:p>
      <w:pPr>
        <w:pStyle w:val="Normal"/>
        <w:spacing w:before="0" w:after="50" w:line="250" w:lineRule="auto"/>
        <w:rPr/>
      </w:pPr>
      <w:r>
        <w:rPr>
          <w:rFonts w:ascii="Calibri" w:hAnsi="Calibri"/>
          <w:color w:val="000000"/>
          <w:sz w:val="20"/>
        </w:rPr>
        <w:t>The platform should not infer that every delayed action is inappropriate or that a model can judge treatment quality from a laboratory record alone. Clinical context may justify different decisions. Proposed analytics should therefore support expert review of the process, with carefully defined endpoints and access controls. Claims about reduced antimicrobial use, improved outcomes or shorter hospitalization require studies designed to assess those outcomes and their confounders.</w:t>
      </w:r>
    </w:p>
    <w:p>
      <w:pPr>
        <w:pStyle w:val="Heading3"/>
        <w:keepNext/>
        <w:keepLines/>
        <w:spacing w:before="240" w:after="120" w:line="269" w:lineRule="auto"/>
      </w:pPr>
      <w:r>
        <w:rPr>
          <w:color w:val="000000"/>
        </w:rPr>
        <w:t>Public health surveillance interfaces</w:t>
      </w:r>
    </w:p>
    <w:p>
      <w:pPr>
        <w:pStyle w:val="Normal"/>
        <w:keepNext/>
        <w:spacing w:before="0" w:after="50" w:line="250" w:lineRule="auto"/>
        <w:rPr/>
      </w:pPr>
      <w:r>
        <w:rPr>
          <w:rFonts w:ascii="Calibri" w:hAnsi="Calibri"/>
          <w:b/>
          <w:color w:val="000000"/>
          <w:sz w:val="20"/>
        </w:rPr>
        <w:t>Surveillance needs consistent definitions and complete denominators</w:t>
      </w:r>
    </w:p>
    <w:p>
      <w:pPr>
        <w:pStyle w:val="Normal"/>
        <w:spacing w:before="0" w:after="50" w:line="250" w:lineRule="auto"/>
        <w:rPr/>
      </w:pPr>
      <w:r>
        <w:rPr>
          <w:rFonts w:ascii="Calibri" w:hAnsi="Calibri"/>
          <w:color w:val="000000"/>
          <w:sz w:val="20"/>
        </w:rPr>
        <w:t>Public-health surveillance combines laboratory observations across time and place. A proposed AMReye.AI interface should preserve method, organism, interpretation version and sampling context so that aggregates remain interpretable. Changes in testing practice can create an apparent trend even when the underlying population has not changed.</w:t>
      </w:r>
    </w:p>
    <w:p>
      <w:pPr>
        <w:pStyle w:val="Heading3"/>
        <w:keepNext/>
        <w:keepLines/>
        <w:spacing w:before="240" w:after="120" w:line="269" w:lineRule="auto"/>
      </w:pPr>
      <w:r>
        <w:rPr>
          <w:color w:val="000000"/>
        </w:rPr>
        <w:t>Prepare reviewed data for authorized reporting</w:t>
      </w:r>
    </w:p>
    <w:p>
      <w:pPr>
        <w:pStyle w:val="Normal"/>
        <w:spacing w:before="0" w:after="50" w:line="250" w:lineRule="auto"/>
        <w:rPr/>
      </w:pPr>
      <w:r>
        <w:rPr>
          <w:rFonts w:ascii="Calibri" w:hAnsi="Calibri"/>
          <w:color w:val="000000"/>
          <w:sz w:val="20"/>
        </w:rPr>
        <w:t xml:space="preserve">The export should distinguish patient, specimen, isolate and test records and apply the receiving programme's approved deduplication and inclusion rules. A software default should not silently decide which repeated isolates count in a surveillance denominator. NCDC provides programme-specific surveillance and reporting resources that require controlled implementation. </w:t>
      </w:r>
    </w:p>
    <w:p>
      <w:pPr>
        <w:spacing w:before="0" w:after="50" w:line="250" w:lineRule="auto"/>
      </w:pPr>
      <w:r>
        <w:rPr>
          <w:rFonts w:ascii="Calibri" w:hAnsi="Calibri"/>
          <w:color w:val="000000"/>
          <w:sz w:val="20"/>
        </w:rPr>
        <w:t xml:space="preserve">Data issue: Repeated isolates</w:t>
      </w:r>
    </w:p>
    <w:p>
      <w:pPr>
        <w:spacing w:before="0" w:after="50" w:line="250" w:lineRule="auto"/>
      </w:pPr>
      <w:r>
        <w:rPr>
          <w:rFonts w:ascii="Calibri" w:hAnsi="Calibri"/>
          <w:color w:val="000000"/>
          <w:sz w:val="20"/>
        </w:rPr>
        <w:t xml:space="preserve">Proposed handling: Apply a documented rule and preserve the original records.</w:t>
      </w:r>
    </w:p>
    <w:p>
      <w:pPr>
        <w:spacing w:before="0" w:after="50" w:line="250" w:lineRule="auto"/>
      </w:pPr>
      <w:r>
        <w:rPr>
          <w:rFonts w:ascii="Calibri" w:hAnsi="Calibri"/>
          <w:color w:val="000000"/>
          <w:sz w:val="20"/>
        </w:rPr>
        <w:t xml:space="preserve">Data issue: Changed breakpoints</w:t>
      </w:r>
    </w:p>
    <w:p>
      <w:pPr>
        <w:spacing w:before="0" w:after="50" w:line="250" w:lineRule="auto"/>
      </w:pPr>
      <w:r>
        <w:rPr>
          <w:rFonts w:ascii="Calibri" w:hAnsi="Calibri"/>
          <w:color w:val="000000"/>
          <w:sz w:val="20"/>
        </w:rPr>
        <w:t xml:space="preserve">Proposed handling: Retain rule versions and assess comparability across periods.</w:t>
      </w:r>
    </w:p>
    <w:p>
      <w:pPr>
        <w:spacing w:before="0" w:after="50" w:line="250" w:lineRule="auto"/>
      </w:pPr>
      <w:r>
        <w:rPr>
          <w:rFonts w:ascii="Calibri" w:hAnsi="Calibri"/>
          <w:color w:val="000000"/>
          <w:sz w:val="20"/>
        </w:rPr>
        <w:t xml:space="preserve">Data issue: Missing tests</w:t>
      </w:r>
    </w:p>
    <w:p>
      <w:pPr>
        <w:spacing w:before="0" w:after="50" w:line="250" w:lineRule="auto"/>
      </w:pPr>
      <w:r>
        <w:rPr>
          <w:rFonts w:ascii="Calibri" w:hAnsi="Calibri"/>
          <w:color w:val="000000"/>
          <w:sz w:val="20"/>
        </w:rPr>
        <w:t xml:space="preserve">Proposed handling: Distinguish not tested from tested with no detected finding.</w:t>
      </w:r>
    </w:p>
    <w:p>
      <w:pPr>
        <w:spacing w:before="0" w:after="50" w:line="250" w:lineRule="auto"/>
      </w:pPr>
      <w:r>
        <w:rPr>
          <w:rFonts w:ascii="Calibri" w:hAnsi="Calibri"/>
          <w:color w:val="000000"/>
          <w:sz w:val="20"/>
        </w:rPr>
        <w:t xml:space="preserve">Data issue: Site coverage</w:t>
      </w:r>
    </w:p>
    <w:p>
      <w:pPr>
        <w:spacing w:before="0" w:after="50" w:line="250" w:lineRule="auto"/>
      </w:pPr>
      <w:r>
        <w:rPr>
          <w:rFonts w:ascii="Calibri" w:hAnsi="Calibri"/>
          <w:color w:val="000000"/>
          <w:sz w:val="20"/>
        </w:rPr>
        <w:t xml:space="preserve">Proposed handling: Show reporting completeness and participating-site scope.</w:t>
      </w:r>
    </w:p>
    <w:p>
      <w:pPr>
        <w:spacing w:before="0" w:after="50" w:line="250" w:lineRule="auto"/>
      </w:pPr>
      <w:r>
        <w:rPr>
          <w:rFonts w:ascii="Calibri" w:hAnsi="Calibri"/>
          <w:color w:val="000000"/>
          <w:sz w:val="20"/>
        </w:rPr>
        <w:t xml:space="preserve">Data issue: Amended results</w:t>
      </w:r>
    </w:p>
    <w:p>
      <w:pPr>
        <w:spacing w:before="0" w:after="50" w:line="250" w:lineRule="auto"/>
      </w:pPr>
      <w:r>
        <w:rPr>
          <w:rFonts w:ascii="Calibri" w:hAnsi="Calibri"/>
          <w:color w:val="000000"/>
          <w:sz w:val="20"/>
        </w:rPr>
        <w:t xml:space="preserve">Proposed handling: Reconcile corrections through the authorized reporting process.</w:t>
      </w:r>
    </w:p>
    <w:p>
      <w:pPr>
        <w:pStyle w:val="Heading3"/>
        <w:keepNext/>
        <w:keepLines/>
        <w:spacing w:before="240" w:after="120" w:line="269" w:lineRule="auto"/>
      </w:pPr>
      <w:r>
        <w:rPr>
          <w:color w:val="000000"/>
        </w:rPr>
        <w:t>Quality is more than a larger dataset</w:t>
      </w:r>
    </w:p>
    <w:p>
      <w:pPr>
        <w:pStyle w:val="Normal"/>
        <w:spacing w:before="0" w:after="50" w:line="250" w:lineRule="auto"/>
        <w:rPr/>
      </w:pPr>
      <w:r>
        <w:rPr>
          <w:rFonts w:ascii="Calibri" w:hAnsi="Calibri"/>
          <w:color w:val="000000"/>
          <w:sz w:val="20"/>
        </w:rPr>
        <w:t>Automated aggregation can make errors propagate quickly. The platform should support validation of mappings, exception review and traceability from a summary back to authorized source records. Public outputs should use appropriate aggregation and disclosure controls.</w:t>
      </w:r>
    </w:p>
    <w:p>
      <w:pPr>
        <w:pStyle w:val="Normal"/>
        <w:spacing w:before="0" w:after="50" w:line="250" w:lineRule="auto"/>
        <w:rPr/>
      </w:pPr>
      <w:r>
        <w:rPr>
          <w:rFonts w:ascii="Calibri" w:hAnsi="Calibri"/>
          <w:color w:val="000000"/>
          <w:sz w:val="20"/>
        </w:rPr>
        <w:t>The proposed service could reduce repetitive data preparation and make quality problems easier to investigate. It should not claim participation in a government network, automatic approval of its data or national representativeness without verified agreements and evidence. Surveillance utility should be assessed against the receiving programme's actual requirements and the completeness of the contributing laboratory data.</w:t>
      </w:r>
    </w:p>
    <w:p>
      <w:pPr>
        <w:pStyle w:val="Heading3"/>
        <w:keepNext/>
        <w:keepLines/>
        <w:spacing w:before="240" w:after="120" w:line="269" w:lineRule="auto"/>
      </w:pPr>
      <w:r>
        <w:rPr>
          <w:color w:val="000000"/>
        </w:rPr>
        <w:t>India and diagnostic access</w:t>
      </w:r>
    </w:p>
    <w:p>
      <w:pPr>
        <w:pStyle w:val="Normal"/>
        <w:keepNext/>
        <w:spacing w:before="0" w:after="50" w:line="250" w:lineRule="auto"/>
        <w:rPr/>
      </w:pPr>
      <w:r>
        <w:rPr>
          <w:rFonts w:ascii="Calibri" w:hAnsi="Calibri"/>
          <w:b/>
          <w:color w:val="000000"/>
          <w:sz w:val="20"/>
        </w:rPr>
        <w:t>India provides a relevant setting for practical diagnostic engineering</w:t>
      </w:r>
    </w:p>
    <w:p>
      <w:pPr>
        <w:pStyle w:val="Normal"/>
        <w:spacing w:before="0" w:after="50" w:line="250" w:lineRule="auto"/>
        <w:rPr/>
      </w:pPr>
      <w:r>
        <w:rPr>
          <w:rFonts w:ascii="Calibri" w:hAnsi="Calibri"/>
          <w:color w:val="000000"/>
          <w:sz w:val="20"/>
        </w:rPr>
        <w:t xml:space="preserve">India's National Action Plan on Antimicrobial Resistance 2.0 covers 2025-2029 and adopts coordinated action across sectors. Laboratory capacity, surveillance, responsible antimicrobial use and research are relevant areas in which a carefully evaluated platform could contribute. Alignment with a national priority does not imply government endorsement or a procurement commitment. </w:t>
      </w:r>
    </w:p>
    <w:p>
      <w:pPr>
        <w:pStyle w:val="Heading3"/>
        <w:keepNext/>
        <w:keepLines/>
        <w:spacing w:before="240" w:after="120" w:line="269" w:lineRule="auto"/>
      </w:pPr>
      <w:r>
        <w:rPr>
          <w:color w:val="000000"/>
        </w:rPr>
        <w:t>Design around operational diversity</w:t>
      </w:r>
    </w:p>
    <w:p>
      <w:pPr>
        <w:pStyle w:val="Normal"/>
        <w:spacing w:before="0" w:after="50" w:line="250" w:lineRule="auto"/>
        <w:rPr/>
      </w:pPr>
      <w:r>
        <w:rPr>
          <w:rFonts w:ascii="Calibri" w:hAnsi="Calibri"/>
          <w:color w:val="000000"/>
          <w:sz w:val="20"/>
        </w:rPr>
        <w:t>The proposed product should be evaluated across the laboratory conditions it intends to serve. Power quality, connectivity, staffing, environmental conditions, workload and access to service can vary. A design suitable for one well-supported site may require different operational provisions elsewhere.</w:t>
      </w:r>
    </w:p>
    <w:p>
      <w:pPr>
        <w:spacing w:before="0" w:after="50" w:line="250" w:lineRule="auto"/>
      </w:pPr>
      <w:r>
        <w:rPr>
          <w:rFonts w:ascii="Calibri" w:hAnsi="Calibri"/>
          <w:color w:val="000000"/>
          <w:sz w:val="20"/>
        </w:rPr>
        <w:t xml:space="preserve">Indian deployment consideration: Service reach</w:t>
      </w:r>
    </w:p>
    <w:p>
      <w:pPr>
        <w:spacing w:before="0" w:after="50" w:line="250" w:lineRule="auto"/>
      </w:pPr>
      <w:r>
        <w:rPr>
          <w:rFonts w:ascii="Calibri" w:hAnsi="Calibri"/>
          <w:color w:val="000000"/>
          <w:sz w:val="20"/>
        </w:rPr>
        <w:t xml:space="preserve">Proposed response: Replaceable modules, clear diagnostics and qualified local support.</w:t>
      </w:r>
    </w:p>
    <w:p>
      <w:pPr>
        <w:spacing w:before="0" w:after="50" w:line="250" w:lineRule="auto"/>
      </w:pPr>
      <w:r>
        <w:rPr>
          <w:rFonts w:ascii="Calibri" w:hAnsi="Calibri"/>
          <w:color w:val="000000"/>
          <w:sz w:val="20"/>
        </w:rPr>
        <w:t xml:space="preserve">Indian deployment consideration: Connectivity</w:t>
      </w:r>
    </w:p>
    <w:p>
      <w:pPr>
        <w:spacing w:before="0" w:after="50" w:line="250" w:lineRule="auto"/>
      </w:pPr>
      <w:r>
        <w:rPr>
          <w:rFonts w:ascii="Calibri" w:hAnsi="Calibri"/>
          <w:color w:val="000000"/>
          <w:sz w:val="20"/>
        </w:rPr>
        <w:t xml:space="preserve">Proposed response: Eligible local capture and review with controlled later synchronization.</w:t>
      </w:r>
    </w:p>
    <w:p>
      <w:pPr>
        <w:spacing w:before="0" w:after="50" w:line="250" w:lineRule="auto"/>
      </w:pPr>
      <w:r>
        <w:rPr>
          <w:rFonts w:ascii="Calibri" w:hAnsi="Calibri"/>
          <w:color w:val="000000"/>
          <w:sz w:val="20"/>
        </w:rPr>
        <w:t xml:space="preserve">Indian deployment consideration: Training</w:t>
      </w:r>
    </w:p>
    <w:p>
      <w:pPr>
        <w:spacing w:before="0" w:after="50" w:line="250" w:lineRule="auto"/>
      </w:pPr>
      <w:r>
        <w:rPr>
          <w:rFonts w:ascii="Calibri" w:hAnsi="Calibri"/>
          <w:color w:val="000000"/>
          <w:sz w:val="20"/>
        </w:rPr>
        <w:t xml:space="preserve">Proposed response: Practical competency materials and evaluated language support.</w:t>
      </w:r>
    </w:p>
    <w:p>
      <w:pPr>
        <w:spacing w:before="0" w:after="50" w:line="250" w:lineRule="auto"/>
      </w:pPr>
      <w:r>
        <w:rPr>
          <w:rFonts w:ascii="Calibri" w:hAnsi="Calibri"/>
          <w:color w:val="000000"/>
          <w:sz w:val="20"/>
        </w:rPr>
        <w:t xml:space="preserve">Indian deployment consideration: Procurement</w:t>
      </w:r>
    </w:p>
    <w:p>
      <w:pPr>
        <w:spacing w:before="0" w:after="50" w:line="250" w:lineRule="auto"/>
      </w:pPr>
      <w:r>
        <w:rPr>
          <w:rFonts w:ascii="Calibri" w:hAnsi="Calibri"/>
          <w:color w:val="000000"/>
          <w:sz w:val="20"/>
        </w:rPr>
        <w:t xml:space="preserve">Proposed response: INR cost visibility, supplier qualification and traceable substitutions.</w:t>
      </w:r>
    </w:p>
    <w:p>
      <w:pPr>
        <w:spacing w:before="0" w:after="50" w:line="250" w:lineRule="auto"/>
      </w:pPr>
      <w:r>
        <w:rPr>
          <w:rFonts w:ascii="Calibri" w:hAnsi="Calibri"/>
          <w:color w:val="000000"/>
          <w:sz w:val="20"/>
        </w:rPr>
        <w:t xml:space="preserve">Indian deployment consideration: Data exchange</w:t>
      </w:r>
    </w:p>
    <w:p>
      <w:pPr>
        <w:spacing w:before="0" w:after="50" w:line="250" w:lineRule="auto"/>
      </w:pPr>
      <w:r>
        <w:rPr>
          <w:rFonts w:ascii="Calibri" w:hAnsi="Calibri"/>
          <w:color w:val="000000"/>
          <w:sz w:val="20"/>
        </w:rPr>
        <w:t xml:space="preserve">Proposed response: Interfaces matched to authorized laboratory and surveillance workflows.</w:t>
      </w:r>
    </w:p>
    <w:p>
      <w:pPr>
        <w:pStyle w:val="Heading3"/>
        <w:keepNext/>
        <w:keepLines/>
        <w:spacing w:before="240" w:after="120" w:line="269" w:lineRule="auto"/>
      </w:pPr>
      <w:r>
        <w:rPr>
          <w:color w:val="000000"/>
        </w:rPr>
        <w:t>Build evidence locally without assuming uniformity</w:t>
      </w:r>
    </w:p>
    <w:p>
      <w:pPr>
        <w:pStyle w:val="Normal"/>
        <w:spacing w:before="0" w:after="50" w:line="250" w:lineRule="auto"/>
        <w:rPr/>
      </w:pPr>
      <w:r>
        <w:rPr>
          <w:rFonts w:ascii="Calibri" w:hAnsi="Calibri"/>
          <w:color w:val="000000"/>
          <w:sz w:val="20"/>
        </w:rPr>
        <w:t xml:space="preserve">Indian evaluation should include relevant clinical material, laboratory practices and intended users. ICMR's AMR diagnostic evaluation guidance provides a national reference for planning appropriate evidence; the exact study must follow the intended product claim and current requirements. </w:t>
      </w:r>
    </w:p>
    <w:p>
      <w:pPr>
        <w:pStyle w:val="Normal"/>
        <w:spacing w:before="0" w:after="50" w:line="250" w:lineRule="auto"/>
        <w:rPr/>
      </w:pPr>
      <w:r>
        <w:rPr>
          <w:rFonts w:ascii="Calibri" w:hAnsi="Calibri"/>
          <w:color w:val="000000"/>
          <w:sz w:val="20"/>
        </w:rPr>
        <w:t>The long-term contribution could include domestic engineering capability, maintainable instruments, high-quality data and research collaboration. These benefits should be measured through reliability, qualified workflow performance and service outcomes. Local manufacture is valuable when it improves quality, availability or sustainability, not merely when an imported component is replaced by a custom part.</w:t>
      </w:r>
    </w:p>
    <w:p>
      <w:pPr>
        <w:pStyle w:val="Heading3"/>
        <w:keepNext/>
        <w:keepLines/>
        <w:spacing w:before="240" w:after="120" w:line="269" w:lineRule="auto"/>
      </w:pPr>
      <w:r>
        <w:rPr>
          <w:color w:val="000000"/>
        </w:rPr>
        <w:t>Goa and a regional research pathway</w:t>
      </w:r>
    </w:p>
    <w:p>
      <w:pPr>
        <w:pStyle w:val="Normal"/>
        <w:keepNext/>
        <w:spacing w:before="0" w:after="50" w:line="250" w:lineRule="auto"/>
        <w:rPr/>
      </w:pPr>
      <w:r>
        <w:rPr>
          <w:rFonts w:ascii="Calibri" w:hAnsi="Calibri"/>
          <w:b/>
          <w:color w:val="000000"/>
          <w:sz w:val="20"/>
        </w:rPr>
        <w:t>Goa can be a focused setting for a regional research pathway</w:t>
      </w:r>
    </w:p>
    <w:p>
      <w:pPr>
        <w:pStyle w:val="Normal"/>
        <w:spacing w:before="0" w:after="50" w:line="250" w:lineRule="auto"/>
        <w:rPr/>
      </w:pPr>
      <w:r>
        <w:rPr>
          <w:rFonts w:ascii="Calibri" w:hAnsi="Calibri"/>
          <w:color w:val="000000"/>
          <w:sz w:val="20"/>
        </w:rPr>
        <w:t xml:space="preserve">Goa has relevant public-health and laboratory infrastructure. NCDC lists Goa Medical College and Hospital in its AMR programme material, and the Directorate of Health Services describes a regional laboratory at the college's Department of Microbiology within its surveillance context. Goa's government also documented an FDA-led AMR awareness programme in November 2023. These are contextual facts, not AMReye.AI partnerships.   </w:t>
      </w:r>
    </w:p>
    <w:p>
      <w:pPr>
        <w:pStyle w:val="Heading3"/>
        <w:keepNext/>
        <w:keepLines/>
        <w:spacing w:before="240" w:after="120" w:line="269" w:lineRule="auto"/>
      </w:pPr>
      <w:r>
        <w:rPr>
          <w:color w:val="000000"/>
        </w:rPr>
        <w:t>A proposed regional programme</w:t>
      </w:r>
    </w:p>
    <w:p>
      <w:pPr>
        <w:pStyle w:val="Normal"/>
        <w:spacing w:before="0" w:after="50" w:line="250" w:lineRule="auto"/>
        <w:rPr/>
      </w:pPr>
      <w:r>
        <w:rPr>
          <w:rFonts w:ascii="Calibri" w:hAnsi="Calibri"/>
          <w:color w:val="000000"/>
          <w:sz w:val="20"/>
        </w:rPr>
        <w:t>A bounded research pathway could bring together laboratory users, engineering expertise and data-governance support to evaluate endpoint observation and review. The first objective should be a well-defined measurement study, followed by usability and operational assessment where justified. Any collaboration would require the institutions' own agreement and approvals.</w:t>
      </w:r>
    </w:p>
    <w:p>
      <w:pPr>
        <w:spacing w:before="0" w:after="50" w:line="250" w:lineRule="auto"/>
      </w:pPr>
      <w:r>
        <w:rPr>
          <w:rFonts w:ascii="Calibri" w:hAnsi="Calibri"/>
          <w:color w:val="000000"/>
          <w:sz w:val="20"/>
        </w:rPr>
        <w:t xml:space="preserve">Proposed contribution: Laboratory measurement</w:t>
      </w:r>
    </w:p>
    <w:p>
      <w:pPr>
        <w:spacing w:before="0" w:after="50" w:line="250" w:lineRule="auto"/>
      </w:pPr>
      <w:r>
        <w:rPr>
          <w:rFonts w:ascii="Calibri" w:hAnsi="Calibri"/>
          <w:color w:val="000000"/>
          <w:sz w:val="20"/>
        </w:rPr>
        <w:t xml:space="preserve">Evidence of value: Independent agreement, repeatability and failure accounting.</w:t>
      </w:r>
    </w:p>
    <w:p>
      <w:pPr>
        <w:spacing w:before="0" w:after="50" w:line="250" w:lineRule="auto"/>
      </w:pPr>
      <w:r>
        <w:rPr>
          <w:rFonts w:ascii="Calibri" w:hAnsi="Calibri"/>
          <w:color w:val="000000"/>
          <w:sz w:val="20"/>
        </w:rPr>
        <w:t xml:space="preserve">Proposed contribution: Technical education</w:t>
      </w:r>
    </w:p>
    <w:p>
      <w:pPr>
        <w:spacing w:before="0" w:after="50" w:line="250" w:lineRule="auto"/>
      </w:pPr>
      <w:r>
        <w:rPr>
          <w:rFonts w:ascii="Calibri" w:hAnsi="Calibri"/>
          <w:color w:val="000000"/>
          <w:sz w:val="20"/>
        </w:rPr>
        <w:t xml:space="preserve">Evidence of value: Demonstrated understanding of calibration and evidence boundaries.</w:t>
      </w:r>
    </w:p>
    <w:p>
      <w:pPr>
        <w:spacing w:before="0" w:after="50" w:line="250" w:lineRule="auto"/>
      </w:pPr>
      <w:r>
        <w:rPr>
          <w:rFonts w:ascii="Calibri" w:hAnsi="Calibri"/>
          <w:color w:val="000000"/>
          <w:sz w:val="20"/>
        </w:rPr>
        <w:t xml:space="preserve">Proposed contribution: Service development</w:t>
      </w:r>
    </w:p>
    <w:p>
      <w:pPr>
        <w:spacing w:before="0" w:after="50" w:line="250" w:lineRule="auto"/>
      </w:pPr>
      <w:r>
        <w:rPr>
          <w:rFonts w:ascii="Calibri" w:hAnsi="Calibri"/>
          <w:color w:val="000000"/>
          <w:sz w:val="20"/>
        </w:rPr>
        <w:t xml:space="preserve">Evidence of value: Documented response, repairability and calibration continuity.</w:t>
      </w:r>
    </w:p>
    <w:p>
      <w:pPr>
        <w:spacing w:before="0" w:after="50" w:line="250" w:lineRule="auto"/>
      </w:pPr>
      <w:r>
        <w:rPr>
          <w:rFonts w:ascii="Calibri" w:hAnsi="Calibri"/>
          <w:color w:val="000000"/>
          <w:sz w:val="20"/>
        </w:rPr>
        <w:t xml:space="preserve">Proposed contribution: Regional research</w:t>
      </w:r>
    </w:p>
    <w:p>
      <w:pPr>
        <w:spacing w:before="0" w:after="50" w:line="250" w:lineRule="auto"/>
      </w:pPr>
      <w:r>
        <w:rPr>
          <w:rFonts w:ascii="Calibri" w:hAnsi="Calibri"/>
          <w:color w:val="000000"/>
          <w:sz w:val="20"/>
        </w:rPr>
        <w:t xml:space="preserve">Evidence of value: Reproducible datasets with appropriate permissions and provenance.</w:t>
      </w:r>
    </w:p>
    <w:p>
      <w:pPr>
        <w:spacing w:before="0" w:after="50" w:line="250" w:lineRule="auto"/>
      </w:pPr>
      <w:r>
        <w:rPr>
          <w:rFonts w:ascii="Calibri" w:hAnsi="Calibri"/>
          <w:color w:val="000000"/>
          <w:sz w:val="20"/>
        </w:rPr>
        <w:t xml:space="preserve">Proposed contribution: Wider transfer</w:t>
      </w:r>
    </w:p>
    <w:p>
      <w:pPr>
        <w:spacing w:before="0" w:after="50" w:line="250" w:lineRule="auto"/>
      </w:pPr>
      <w:r>
        <w:rPr>
          <w:rFonts w:ascii="Calibri" w:hAnsi="Calibri"/>
          <w:color w:val="000000"/>
          <w:sz w:val="20"/>
        </w:rPr>
        <w:t xml:space="preserve">Evidence of value: Evaluation beyond the initial local conditions.</w:t>
      </w:r>
    </w:p>
    <w:p>
      <w:pPr>
        <w:pStyle w:val="Heading3"/>
        <w:keepNext/>
        <w:keepLines/>
        <w:spacing w:before="240" w:after="120" w:line="269" w:lineRule="auto"/>
      </w:pPr>
      <w:r>
        <w:rPr>
          <w:color w:val="000000"/>
        </w:rPr>
        <w:t>Connect regional work to broader relevance</w:t>
      </w:r>
    </w:p>
    <w:p>
      <w:pPr>
        <w:pStyle w:val="Normal"/>
        <w:spacing w:before="0" w:after="50" w:line="250" w:lineRule="auto"/>
        <w:rPr/>
      </w:pPr>
      <w:r>
        <w:rPr>
          <w:rFonts w:ascii="Calibri" w:hAnsi="Calibri"/>
          <w:color w:val="000000"/>
          <w:sz w:val="20"/>
        </w:rPr>
        <w:t>Goa-based development could provide a manageable environment for close interaction between instrument engineers and laboratory users. Its wider value would depend on whether findings transfer to different workloads, climates, populations and service settings. A successful local study should therefore define what was tested and what remains outside its scope.</w:t>
      </w:r>
    </w:p>
    <w:p>
      <w:pPr>
        <w:pStyle w:val="Normal"/>
        <w:spacing w:before="0" w:after="50" w:line="250" w:lineRule="auto"/>
        <w:rPr/>
      </w:pPr>
      <w:r>
        <w:rPr>
          <w:rFonts w:ascii="Calibri" w:hAnsi="Calibri"/>
          <w:color w:val="000000"/>
          <w:sz w:val="20"/>
        </w:rPr>
        <w:t>The intended contribution is scientific and practical: better observation records, a stronger measurement culture and evidence that can support responsible product development. No institution, deployment, endorsement or clinical outcome is claimed as secured by this compendium.</w:t>
      </w:r>
    </w:p>
    <w:p>
      <w:pPr>
        <w:pStyle w:val="Heading3"/>
        <w:keepNext/>
        <w:keepLines/>
        <w:spacing w:before="240" w:after="120" w:line="269" w:lineRule="auto"/>
      </w:pPr>
      <w:r>
        <w:rPr>
          <w:color w:val="000000"/>
        </w:rPr>
        <w:t>One Health data integration</w:t>
      </w:r>
    </w:p>
    <w:p>
      <w:pPr>
        <w:pStyle w:val="Normal"/>
        <w:keepNext/>
        <w:spacing w:before="0" w:after="50" w:line="250" w:lineRule="auto"/>
        <w:rPr/>
      </w:pPr>
      <w:r>
        <w:rPr>
          <w:rFonts w:ascii="Calibri" w:hAnsi="Calibri"/>
          <w:b/>
          <w:color w:val="000000"/>
          <w:sz w:val="20"/>
        </w:rPr>
        <w:t>One Health integration should preserve differences between sectors</w:t>
      </w:r>
    </w:p>
    <w:p>
      <w:pPr>
        <w:pStyle w:val="Normal"/>
        <w:spacing w:before="0" w:after="50" w:line="250" w:lineRule="auto"/>
        <w:rPr/>
      </w:pPr>
      <w:r>
        <w:rPr>
          <w:rFonts w:ascii="Calibri" w:hAnsi="Calibri"/>
          <w:color w:val="000000"/>
          <w:sz w:val="20"/>
        </w:rPr>
        <w:t xml:space="preserve">WHO describes One Health as an integrated approach to the linked health of people, animals, plants and ecosystems. For AMReye.AI, the proposed relevance is a common foundation for traceable observations and authorized research across those domains. A shared platform should preserve the different sampling and interpretation methods used by each sector. </w:t>
      </w:r>
    </w:p>
    <w:p>
      <w:pPr>
        <w:pStyle w:val="Heading3"/>
        <w:keepNext/>
        <w:keepLines/>
        <w:spacing w:before="240" w:after="120" w:line="269" w:lineRule="auto"/>
      </w:pPr>
      <w:r>
        <w:rPr>
          <w:color w:val="000000"/>
        </w:rPr>
        <w:t>A shared schema with domain-specific meaning</w:t>
      </w:r>
    </w:p>
    <w:p>
      <w:pPr>
        <w:pStyle w:val="Normal"/>
        <w:spacing w:before="0" w:after="50" w:line="250" w:lineRule="auto"/>
        <w:rPr/>
      </w:pPr>
      <w:r>
        <w:rPr>
          <w:rFonts w:ascii="Calibri" w:hAnsi="Calibri"/>
          <w:color w:val="000000"/>
          <w:sz w:val="20"/>
        </w:rPr>
        <w:t>Common elements can include sample identity, location at an appropriate granularity, time, organism, method, measured value and provenance. Sector-specific extensions should capture host, material, sampling design and the applicable interpretation framework. Harmonization should not force unlike results into a misleading common category.</w:t>
      </w:r>
    </w:p>
    <w:p>
      <w:pPr>
        <w:spacing w:before="0" w:after="50" w:line="250" w:lineRule="auto"/>
      </w:pPr>
      <w:r>
        <w:rPr>
          <w:rFonts w:ascii="Calibri" w:hAnsi="Calibri"/>
          <w:color w:val="000000"/>
          <w:sz w:val="20"/>
        </w:rPr>
        <w:t xml:space="preserve">Integration layer: Identity</w:t>
      </w:r>
    </w:p>
    <w:p>
      <w:pPr>
        <w:spacing w:before="0" w:after="50" w:line="250" w:lineRule="auto"/>
      </w:pPr>
      <w:r>
        <w:rPr>
          <w:rFonts w:ascii="Calibri" w:hAnsi="Calibri"/>
          <w:color w:val="000000"/>
          <w:sz w:val="20"/>
        </w:rPr>
        <w:t xml:space="preserve">Proposed approach: Preserve source-system and biological lineage without unnecessary personal data.</w:t>
      </w:r>
    </w:p>
    <w:p>
      <w:pPr>
        <w:spacing w:before="0" w:after="50" w:line="250" w:lineRule="auto"/>
      </w:pPr>
      <w:r>
        <w:rPr>
          <w:rFonts w:ascii="Calibri" w:hAnsi="Calibri"/>
          <w:color w:val="000000"/>
          <w:sz w:val="20"/>
        </w:rPr>
        <w:t xml:space="preserve">Integration layer: Measurement</w:t>
      </w:r>
    </w:p>
    <w:p>
      <w:pPr>
        <w:spacing w:before="0" w:after="50" w:line="250" w:lineRule="auto"/>
      </w:pPr>
      <w:r>
        <w:rPr>
          <w:rFonts w:ascii="Calibri" w:hAnsi="Calibri"/>
          <w:color w:val="000000"/>
          <w:sz w:val="20"/>
        </w:rPr>
        <w:t xml:space="preserve">Proposed approach: Retain units, method and calibration context.</w:t>
      </w:r>
    </w:p>
    <w:p>
      <w:pPr>
        <w:spacing w:before="0" w:after="50" w:line="250" w:lineRule="auto"/>
      </w:pPr>
      <w:r>
        <w:rPr>
          <w:rFonts w:ascii="Calibri" w:hAnsi="Calibri"/>
          <w:color w:val="000000"/>
          <w:sz w:val="20"/>
        </w:rPr>
        <w:t xml:space="preserve">Integration layer: Interpretation</w:t>
      </w:r>
    </w:p>
    <w:p>
      <w:pPr>
        <w:spacing w:before="0" w:after="50" w:line="250" w:lineRule="auto"/>
      </w:pPr>
      <w:r>
        <w:rPr>
          <w:rFonts w:ascii="Calibri" w:hAnsi="Calibri"/>
          <w:color w:val="000000"/>
          <w:sz w:val="20"/>
        </w:rPr>
        <w:t xml:space="preserve">Proposed approach: Keep human, veterinary and research frameworks explicitly distinct.</w:t>
      </w:r>
    </w:p>
    <w:p>
      <w:pPr>
        <w:spacing w:before="0" w:after="50" w:line="250" w:lineRule="auto"/>
      </w:pPr>
      <w:r>
        <w:rPr>
          <w:rFonts w:ascii="Calibri" w:hAnsi="Calibri"/>
          <w:color w:val="000000"/>
          <w:sz w:val="20"/>
        </w:rPr>
        <w:t xml:space="preserve">Integration layer: Geography and time</w:t>
      </w:r>
    </w:p>
    <w:p>
      <w:pPr>
        <w:spacing w:before="0" w:after="50" w:line="250" w:lineRule="auto"/>
      </w:pPr>
      <w:r>
        <w:rPr>
          <w:rFonts w:ascii="Calibri" w:hAnsi="Calibri"/>
          <w:color w:val="000000"/>
          <w:sz w:val="20"/>
        </w:rPr>
        <w:t xml:space="preserve">Proposed approach: Use appropriate resolution and acknowledge sampling gaps.</w:t>
      </w:r>
    </w:p>
    <w:p>
      <w:pPr>
        <w:spacing w:before="0" w:after="50" w:line="250" w:lineRule="auto"/>
      </w:pPr>
      <w:r>
        <w:rPr>
          <w:rFonts w:ascii="Calibri" w:hAnsi="Calibri"/>
          <w:color w:val="000000"/>
          <w:sz w:val="20"/>
        </w:rPr>
        <w:t xml:space="preserve">Integration layer: Governance</w:t>
      </w:r>
    </w:p>
    <w:p>
      <w:pPr>
        <w:spacing w:before="0" w:after="50" w:line="250" w:lineRule="auto"/>
      </w:pPr>
      <w:r>
        <w:rPr>
          <w:rFonts w:ascii="Calibri" w:hAnsi="Calibri"/>
          <w:color w:val="000000"/>
          <w:sz w:val="20"/>
        </w:rPr>
        <w:t xml:space="preserve">Proposed approach: Define permitted purposes, access and onward sharing.</w:t>
      </w:r>
    </w:p>
    <w:p>
      <w:pPr>
        <w:pStyle w:val="Heading3"/>
        <w:keepNext/>
        <w:keepLines/>
        <w:spacing w:before="240" w:after="120" w:line="269" w:lineRule="auto"/>
      </w:pPr>
      <w:r>
        <w:rPr>
          <w:color w:val="000000"/>
        </w:rPr>
        <w:t>Correlation is a starting point for investigation</w:t>
      </w:r>
    </w:p>
    <w:p>
      <w:pPr>
        <w:pStyle w:val="Normal"/>
        <w:spacing w:before="0" w:after="50" w:line="250" w:lineRule="auto"/>
        <w:rPr/>
      </w:pPr>
      <w:r>
        <w:rPr>
          <w:rFonts w:ascii="Calibri" w:hAnsi="Calibri"/>
          <w:color w:val="000000"/>
          <w:sz w:val="20"/>
        </w:rPr>
        <w:t>Similar patterns across sectors may reflect shared pressures, sampling practices or genuine biological relationships. A dashboard cannot distinguish these explanations by itself. Proposed analyses should account for coverage and population structure and identify the additional evidence needed for causal or transmission claims.</w:t>
      </w:r>
    </w:p>
    <w:p>
      <w:pPr>
        <w:pStyle w:val="Normal"/>
        <w:spacing w:before="0" w:after="50" w:line="250" w:lineRule="auto"/>
        <w:rPr/>
      </w:pPr>
      <w:r>
        <w:rPr>
          <w:rFonts w:ascii="Calibri" w:hAnsi="Calibri"/>
          <w:color w:val="000000"/>
          <w:sz w:val="20"/>
        </w:rPr>
        <w:t>The product opportunity includes interoperable records, coordinated research tools and reusable quality controls. Its humanitarian value depends on whether those tools improve understanding and action while respecting local governance. Universal access to every repository is neither necessary nor assumed; curated, licensed and purpose-limited data use is the proposed strategy.</w:t>
      </w:r>
    </w:p>
    <w:p>
      <w:pPr>
        <w:pStyle w:val="Heading3"/>
        <w:keepNext/>
        <w:keepLines/>
        <w:spacing w:before="240" w:after="120" w:line="269" w:lineRule="auto"/>
      </w:pPr>
      <w:r>
        <w:rPr>
          <w:color w:val="000000"/>
        </w:rPr>
        <w:t>Global partnership and transferability</w:t>
      </w:r>
    </w:p>
    <w:p>
      <w:pPr>
        <w:pStyle w:val="Normal"/>
        <w:keepNext/>
        <w:spacing w:before="0" w:after="50" w:line="250" w:lineRule="auto"/>
        <w:rPr/>
      </w:pPr>
      <w:r>
        <w:rPr>
          <w:rFonts w:ascii="Calibri" w:hAnsi="Calibri"/>
          <w:b/>
          <w:color w:val="000000"/>
          <w:sz w:val="20"/>
        </w:rPr>
        <w:t>Global relevance depends on transferability and local ownership</w:t>
      </w:r>
    </w:p>
    <w:p>
      <w:pPr>
        <w:pStyle w:val="Normal"/>
        <w:spacing w:before="0" w:after="50" w:line="250" w:lineRule="auto"/>
        <w:rPr/>
      </w:pPr>
      <w:r>
        <w:rPr>
          <w:rFonts w:ascii="Calibri" w:hAnsi="Calibri"/>
          <w:color w:val="000000"/>
          <w:sz w:val="20"/>
        </w:rPr>
        <w:t>AMR is a global challenge, but laboratories differ in their resources, methods, populations and regulatory settings. A platform developed in India can be relevant elsewhere if its measurement and service evidence transfer to the intended setting. Exporting a device does not automatically export the validity of every associated model or interpretation.</w:t>
      </w:r>
    </w:p>
    <w:p>
      <w:pPr>
        <w:pStyle w:val="Heading3"/>
        <w:keepNext/>
        <w:keepLines/>
        <w:spacing w:before="240" w:after="120" w:line="269" w:lineRule="auto"/>
      </w:pPr>
      <w:r>
        <w:rPr>
          <w:color w:val="000000"/>
        </w:rPr>
        <w:t>Proposed partnership model</w:t>
      </w:r>
    </w:p>
    <w:p>
      <w:pPr>
        <w:pStyle w:val="Normal"/>
        <w:spacing w:before="0" w:after="50" w:line="250" w:lineRule="auto"/>
        <w:rPr/>
      </w:pPr>
      <w:r>
        <w:rPr>
          <w:rFonts w:ascii="Calibri" w:hAnsi="Calibri"/>
          <w:color w:val="000000"/>
          <w:sz w:val="20"/>
        </w:rPr>
        <w:t>Technical and laboratory partners could contribute domain evaluation, workflow expertise, calibration support or authorized research data. Each collaboration should define responsibilities, access rights, intellectual-property terms and the evidence question. The product should remain usable by its intended laboratory even when a research collaboration ends.</w:t>
      </w:r>
    </w:p>
    <w:p>
      <w:pPr>
        <w:spacing w:before="0" w:after="50" w:line="250" w:lineRule="auto"/>
      </w:pPr>
      <w:r>
        <w:rPr>
          <w:rFonts w:ascii="Calibri" w:hAnsi="Calibri"/>
          <w:color w:val="000000"/>
          <w:sz w:val="20"/>
        </w:rPr>
        <w:t xml:space="preserve">Transfer requirement: Measurement domain</w:t>
      </w:r>
    </w:p>
    <w:p>
      <w:pPr>
        <w:spacing w:before="0" w:after="50" w:line="250" w:lineRule="auto"/>
      </w:pPr>
      <w:r>
        <w:rPr>
          <w:rFonts w:ascii="Calibri" w:hAnsi="Calibri"/>
          <w:color w:val="000000"/>
          <w:sz w:val="20"/>
        </w:rPr>
        <w:t xml:space="preserve">Proposed evidence: Performance on relevant vessels, media and optical conditions.</w:t>
      </w:r>
    </w:p>
    <w:p>
      <w:pPr>
        <w:spacing w:before="0" w:after="50" w:line="250" w:lineRule="auto"/>
      </w:pPr>
      <w:r>
        <w:rPr>
          <w:rFonts w:ascii="Calibri" w:hAnsi="Calibri"/>
          <w:color w:val="000000"/>
          <w:sz w:val="20"/>
        </w:rPr>
        <w:t xml:space="preserve">Transfer requirement: Clinical scope</w:t>
      </w:r>
    </w:p>
    <w:p>
      <w:pPr>
        <w:spacing w:before="0" w:after="50" w:line="250" w:lineRule="auto"/>
      </w:pPr>
      <w:r>
        <w:rPr>
          <w:rFonts w:ascii="Calibri" w:hAnsi="Calibri"/>
          <w:color w:val="000000"/>
          <w:sz w:val="20"/>
        </w:rPr>
        <w:t xml:space="preserve">Proposed evidence: Applicable intended use, standards and regulatory assessment.</w:t>
      </w:r>
    </w:p>
    <w:p>
      <w:pPr>
        <w:spacing w:before="0" w:after="50" w:line="250" w:lineRule="auto"/>
      </w:pPr>
      <w:r>
        <w:rPr>
          <w:rFonts w:ascii="Calibri" w:hAnsi="Calibri"/>
          <w:color w:val="000000"/>
          <w:sz w:val="20"/>
        </w:rPr>
        <w:t xml:space="preserve">Transfer requirement: User context</w:t>
      </w:r>
    </w:p>
    <w:p>
      <w:pPr>
        <w:spacing w:before="0" w:after="50" w:line="250" w:lineRule="auto"/>
      </w:pPr>
      <w:r>
        <w:rPr>
          <w:rFonts w:ascii="Calibri" w:hAnsi="Calibri"/>
          <w:color w:val="000000"/>
          <w:sz w:val="20"/>
        </w:rPr>
        <w:t xml:space="preserve">Proposed evidence: Evaluated language, training and review behavior.</w:t>
      </w:r>
    </w:p>
    <w:p>
      <w:pPr>
        <w:spacing w:before="0" w:after="50" w:line="250" w:lineRule="auto"/>
      </w:pPr>
      <w:r>
        <w:rPr>
          <w:rFonts w:ascii="Calibri" w:hAnsi="Calibri"/>
          <w:color w:val="000000"/>
          <w:sz w:val="20"/>
        </w:rPr>
        <w:t xml:space="preserve">Transfer requirement: Service</w:t>
      </w:r>
    </w:p>
    <w:p>
      <w:pPr>
        <w:spacing w:before="0" w:after="50" w:line="250" w:lineRule="auto"/>
      </w:pPr>
      <w:r>
        <w:rPr>
          <w:rFonts w:ascii="Calibri" w:hAnsi="Calibri"/>
          <w:color w:val="000000"/>
          <w:sz w:val="20"/>
        </w:rPr>
        <w:t xml:space="preserve">Proposed evidence: Sustainable maintenance, spares and calibration arrangements.</w:t>
      </w:r>
    </w:p>
    <w:p>
      <w:pPr>
        <w:spacing w:before="0" w:after="50" w:line="250" w:lineRule="auto"/>
      </w:pPr>
      <w:r>
        <w:rPr>
          <w:rFonts w:ascii="Calibri" w:hAnsi="Calibri"/>
          <w:color w:val="000000"/>
          <w:sz w:val="20"/>
        </w:rPr>
        <w:t xml:space="preserve">Transfer requirement: Data governance</w:t>
      </w:r>
    </w:p>
    <w:p>
      <w:pPr>
        <w:spacing w:before="0" w:after="50" w:line="250" w:lineRule="auto"/>
      </w:pPr>
      <w:r>
        <w:rPr>
          <w:rFonts w:ascii="Calibri" w:hAnsi="Calibri"/>
          <w:color w:val="000000"/>
          <w:sz w:val="20"/>
        </w:rPr>
        <w:t xml:space="preserve">Proposed evidence: Lawful cross-border access and local institutional control.</w:t>
      </w:r>
    </w:p>
    <w:p>
      <w:pPr>
        <w:pStyle w:val="Heading3"/>
        <w:keepNext/>
        <w:keepLines/>
        <w:spacing w:before="240" w:after="120" w:line="269" w:lineRule="auto"/>
      </w:pPr>
      <w:r>
        <w:rPr>
          <w:color w:val="000000"/>
        </w:rPr>
        <w:t>Avoid extracting data without returning value</w:t>
      </w:r>
    </w:p>
    <w:p>
      <w:pPr>
        <w:pStyle w:val="Normal"/>
        <w:spacing w:before="0" w:after="50" w:line="250" w:lineRule="auto"/>
        <w:rPr/>
      </w:pPr>
      <w:r>
        <w:rPr>
          <w:rFonts w:ascii="Calibri" w:hAnsi="Calibri"/>
          <w:color w:val="000000"/>
          <w:sz w:val="20"/>
        </w:rPr>
        <w:t>Research partnerships should specify what participating laboratories receive, such as analytical support, quality insights, training or co-developed methods. Data access should follow a defined purpose and agreement, not an assumption that central AI development justifies unrestricted collection.</w:t>
      </w:r>
    </w:p>
    <w:p>
      <w:pPr>
        <w:pStyle w:val="Normal"/>
        <w:spacing w:before="0" w:after="50" w:line="250" w:lineRule="auto"/>
        <w:rPr/>
      </w:pPr>
      <w:r>
        <w:rPr>
          <w:rFonts w:ascii="Calibri" w:hAnsi="Calibri"/>
          <w:color w:val="000000"/>
          <w:sz w:val="20"/>
        </w:rPr>
        <w:t>Global performance claims should be based on appropriately diverse evidence and disclose important limitations. A model may need local qualification or remain restricted to research in a new setting. This approach supports ambitious collaboration while keeping the laboratory's operational needs and responsibilities central to deployment decisions.</w:t>
      </w:r>
    </w:p>
    <w:p>
      <w:pPr>
        <w:pStyle w:val="Heading3"/>
        <w:keepNext/>
        <w:keepLines/>
        <w:spacing w:before="240" w:after="120" w:line="269" w:lineRule="auto"/>
      </w:pPr>
      <w:r>
        <w:rPr>
          <w:color w:val="000000"/>
        </w:rPr>
        <w:t>Humanitarian design and equitable access</w:t>
      </w:r>
    </w:p>
    <w:p>
      <w:pPr>
        <w:pStyle w:val="Normal"/>
        <w:keepNext/>
        <w:spacing w:before="0" w:after="50" w:line="250" w:lineRule="auto"/>
        <w:rPr/>
      </w:pPr>
      <w:r>
        <w:rPr>
          <w:rFonts w:ascii="Calibri" w:hAnsi="Calibri"/>
          <w:b/>
          <w:color w:val="000000"/>
          <w:sz w:val="20"/>
        </w:rPr>
        <w:t>Humanitarian value requires dependable operation and fair access</w:t>
      </w:r>
    </w:p>
    <w:p>
      <w:pPr>
        <w:pStyle w:val="Normal"/>
        <w:spacing w:before="0" w:after="50" w:line="250" w:lineRule="auto"/>
        <w:rPr/>
      </w:pPr>
      <w:r>
        <w:rPr>
          <w:rFonts w:ascii="Calibri" w:hAnsi="Calibri"/>
          <w:color w:val="000000"/>
          <w:sz w:val="20"/>
        </w:rPr>
        <w:t>The proposed platform's humanitarian objective is to improve the availability and usefulness of reliable laboratory information. Achieving that objective requires more than a lower component price or a faster algorithm. Maintenance, training, consumables, data access and recovery from failure determine whether a laboratory can depend on the system over time.</w:t>
      </w:r>
    </w:p>
    <w:p>
      <w:pPr>
        <w:pStyle w:val="Heading3"/>
        <w:keepNext/>
        <w:keepLines/>
        <w:spacing w:before="240" w:after="120" w:line="269" w:lineRule="auto"/>
      </w:pPr>
      <w:r>
        <w:rPr>
          <w:color w:val="000000"/>
        </w:rPr>
        <w:t>Design for the full service life</w:t>
      </w:r>
    </w:p>
    <w:p>
      <w:pPr>
        <w:pStyle w:val="Normal"/>
        <w:spacing w:before="0" w:after="50" w:line="250" w:lineRule="auto"/>
        <w:rPr/>
      </w:pPr>
      <w:r>
        <w:rPr>
          <w:rFonts w:ascii="Calibri" w:hAnsi="Calibri"/>
          <w:color w:val="000000"/>
          <w:sz w:val="20"/>
        </w:rPr>
        <w:t>The instrument should support repair, understandable fault messages and a practical calibration path. Software should preserve access to authorized records and documented exports. A laboratory should not lose its historical evidence merely because a service contract or network connection changes.</w:t>
      </w:r>
    </w:p>
    <w:p>
      <w:pPr>
        <w:spacing w:before="0" w:after="50" w:line="250" w:lineRule="auto"/>
      </w:pPr>
      <w:r>
        <w:rPr>
          <w:rFonts w:ascii="Calibri" w:hAnsi="Calibri"/>
          <w:color w:val="000000"/>
          <w:sz w:val="20"/>
        </w:rPr>
        <w:t xml:space="preserve">Design objective: Reliability</w:t>
      </w:r>
    </w:p>
    <w:p>
      <w:pPr>
        <w:spacing w:before="0" w:after="50" w:line="250" w:lineRule="auto"/>
      </w:pPr>
      <w:r>
        <w:rPr>
          <w:rFonts w:ascii="Calibri" w:hAnsi="Calibri"/>
          <w:color w:val="000000"/>
          <w:sz w:val="20"/>
        </w:rPr>
        <w:t xml:space="preserve">Proposed measure: Uptime within the qualified environment and complete failure accounting.</w:t>
      </w:r>
    </w:p>
    <w:p>
      <w:pPr>
        <w:spacing w:before="0" w:after="50" w:line="250" w:lineRule="auto"/>
      </w:pPr>
      <w:r>
        <w:rPr>
          <w:rFonts w:ascii="Calibri" w:hAnsi="Calibri"/>
          <w:color w:val="000000"/>
          <w:sz w:val="20"/>
        </w:rPr>
        <w:t xml:space="preserve">Design objective: Repairability</w:t>
      </w:r>
    </w:p>
    <w:p>
      <w:pPr>
        <w:spacing w:before="0" w:after="50" w:line="250" w:lineRule="auto"/>
      </w:pPr>
      <w:r>
        <w:rPr>
          <w:rFonts w:ascii="Calibri" w:hAnsi="Calibri"/>
          <w:color w:val="000000"/>
          <w:sz w:val="20"/>
        </w:rPr>
        <w:t xml:space="preserve">Proposed measure: Time, tools and qualified effort needed to restore service.</w:t>
      </w:r>
    </w:p>
    <w:p>
      <w:pPr>
        <w:spacing w:before="0" w:after="50" w:line="250" w:lineRule="auto"/>
      </w:pPr>
      <w:r>
        <w:rPr>
          <w:rFonts w:ascii="Calibri" w:hAnsi="Calibri"/>
          <w:color w:val="000000"/>
          <w:sz w:val="20"/>
        </w:rPr>
        <w:t xml:space="preserve">Design objective: Affordability</w:t>
      </w:r>
    </w:p>
    <w:p>
      <w:pPr>
        <w:spacing w:before="0" w:after="50" w:line="250" w:lineRule="auto"/>
      </w:pPr>
      <w:r>
        <w:rPr>
          <w:rFonts w:ascii="Calibri" w:hAnsi="Calibri"/>
          <w:color w:val="000000"/>
          <w:sz w:val="20"/>
        </w:rPr>
        <w:t xml:space="preserve">Proposed measure: Total cost of ownership for the actual workflow.</w:t>
      </w:r>
    </w:p>
    <w:p>
      <w:pPr>
        <w:spacing w:before="0" w:after="50" w:line="250" w:lineRule="auto"/>
      </w:pPr>
      <w:r>
        <w:rPr>
          <w:rFonts w:ascii="Calibri" w:hAnsi="Calibri"/>
          <w:color w:val="000000"/>
          <w:sz w:val="20"/>
        </w:rPr>
        <w:t xml:space="preserve">Design objective: Accessibility</w:t>
      </w:r>
    </w:p>
    <w:p>
      <w:pPr>
        <w:spacing w:before="0" w:after="50" w:line="250" w:lineRule="auto"/>
      </w:pPr>
      <w:r>
        <w:rPr>
          <w:rFonts w:ascii="Calibri" w:hAnsi="Calibri"/>
          <w:color w:val="000000"/>
          <w:sz w:val="20"/>
        </w:rPr>
        <w:t xml:space="preserve">Proposed measure: Successful use by the intended staff with evaluated support.</w:t>
      </w:r>
    </w:p>
    <w:p>
      <w:pPr>
        <w:spacing w:before="0" w:after="50" w:line="250" w:lineRule="auto"/>
      </w:pPr>
      <w:r>
        <w:rPr>
          <w:rFonts w:ascii="Calibri" w:hAnsi="Calibri"/>
          <w:color w:val="000000"/>
          <w:sz w:val="20"/>
        </w:rPr>
        <w:t xml:space="preserve">Design objective: Continuity</w:t>
      </w:r>
    </w:p>
    <w:p>
      <w:pPr>
        <w:spacing w:before="0" w:after="50" w:line="250" w:lineRule="auto"/>
      </w:pPr>
      <w:r>
        <w:rPr>
          <w:rFonts w:ascii="Calibri" w:hAnsi="Calibri"/>
          <w:color w:val="000000"/>
          <w:sz w:val="20"/>
        </w:rPr>
        <w:t xml:space="preserve">Proposed measure: Record recovery and safe operation during defined interruptions.</w:t>
      </w:r>
    </w:p>
    <w:p>
      <w:pPr>
        <w:pStyle w:val="Heading3"/>
        <w:keepNext/>
        <w:keepLines/>
        <w:spacing w:before="240" w:after="120" w:line="269" w:lineRule="auto"/>
      </w:pPr>
      <w:r>
        <w:rPr>
          <w:color w:val="000000"/>
        </w:rPr>
        <w:t>Evaluate distribution, not only averages</w:t>
      </w:r>
    </w:p>
    <w:p>
      <w:pPr>
        <w:pStyle w:val="Normal"/>
        <w:spacing w:before="0" w:after="50" w:line="250" w:lineRule="auto"/>
        <w:rPr/>
      </w:pPr>
      <w:r>
        <w:rPr>
          <w:rFonts w:ascii="Calibri" w:hAnsi="Calibri"/>
          <w:color w:val="000000"/>
          <w:sz w:val="20"/>
        </w:rPr>
        <w:t>An improvement should be examined across sites and user groups. A system that performs well only with ideal infrastructure may widen service differences. Studies should therefore identify conditions under which the product is unavailable, requires additional support or imposes excessive repeat work.</w:t>
      </w:r>
    </w:p>
    <w:p>
      <w:pPr>
        <w:pStyle w:val="Normal"/>
        <w:spacing w:before="0" w:after="50" w:line="250" w:lineRule="auto"/>
        <w:rPr/>
      </w:pPr>
      <w:r>
        <w:rPr>
          <w:rFonts w:ascii="Calibri" w:hAnsi="Calibri"/>
          <w:color w:val="000000"/>
          <w:sz w:val="20"/>
        </w:rPr>
        <w:t>No claim that AMReye.AI has already reduced mortality, improved equity or transformed healthcare is made here. Those are potential downstream goals that require evidence. The immediate engineering responsibility is to produce a trustworthy, maintainable measurement and information system whose benefits and limitations can be assessed by the people expected to use it.</w:t>
      </w:r>
    </w:p>
    <w:p>
      <w:pPr>
        <w:pStyle w:val="Heading3"/>
        <w:keepNext/>
        <w:keepLines/>
        <w:spacing w:before="240" w:after="120" w:line="269" w:lineRule="auto"/>
      </w:pPr>
      <w:r>
        <w:rPr>
          <w:color w:val="000000"/>
        </w:rPr>
        <w:t>Measuring application impact</w:t>
      </w:r>
    </w:p>
    <w:p>
      <w:pPr>
        <w:pStyle w:val="Normal"/>
        <w:keepNext/>
        <w:spacing w:before="0" w:after="50" w:line="250" w:lineRule="auto"/>
        <w:rPr/>
      </w:pPr>
      <w:r>
        <w:rPr>
          <w:rFonts w:ascii="Calibri" w:hAnsi="Calibri"/>
          <w:b/>
          <w:color w:val="000000"/>
          <w:sz w:val="20"/>
        </w:rPr>
        <w:t>Impact should be measured at the level of the claim</w:t>
      </w:r>
    </w:p>
    <w:p>
      <w:pPr>
        <w:pStyle w:val="Normal"/>
        <w:spacing w:before="0" w:after="50" w:line="250" w:lineRule="auto"/>
        <w:rPr/>
      </w:pPr>
      <w:r>
        <w:rPr>
          <w:rFonts w:ascii="Calibri" w:hAnsi="Calibri"/>
          <w:color w:val="000000"/>
          <w:sz w:val="20"/>
        </w:rPr>
        <w:t>The platform's impact framework should connect technical outputs to operational and, where justified, clinical outcomes. These are related but distinct levels of evidence. Better image quality can support better measurement, but the subsequent effects on reporting and patient care must be evaluated rather than assumed.</w:t>
      </w:r>
    </w:p>
    <w:p>
      <w:pPr>
        <w:spacing w:before="0" w:after="50" w:line="250" w:lineRule="auto"/>
      </w:pPr>
      <w:r>
        <w:rPr>
          <w:rFonts w:ascii="Calibri" w:hAnsi="Calibri"/>
          <w:color w:val="000000"/>
          <w:sz w:val="20"/>
        </w:rPr>
        <w:t xml:space="preserve">Impact level: Measurement</w:t>
      </w:r>
    </w:p>
    <w:p>
      <w:pPr>
        <w:spacing w:before="0" w:after="50" w:line="250" w:lineRule="auto"/>
      </w:pPr>
      <w:r>
        <w:rPr>
          <w:rFonts w:ascii="Calibri" w:hAnsi="Calibri"/>
          <w:color w:val="000000"/>
          <w:sz w:val="20"/>
        </w:rPr>
        <w:t xml:space="preserve">Candidate metric: Bias, agreement and uncertainty</w:t>
      </w:r>
    </w:p>
    <w:p>
      <w:pPr>
        <w:spacing w:before="0" w:after="50" w:line="250" w:lineRule="auto"/>
      </w:pPr>
      <w:r>
        <w:rPr>
          <w:rFonts w:ascii="Calibri" w:hAnsi="Calibri"/>
          <w:color w:val="000000"/>
          <w:sz w:val="20"/>
        </w:rPr>
        <w:t xml:space="preserve">Important limitation: Does not establish clinical outcome benefit.</w:t>
      </w:r>
    </w:p>
    <w:p>
      <w:pPr>
        <w:spacing w:before="0" w:after="50" w:line="250" w:lineRule="auto"/>
      </w:pPr>
      <w:r>
        <w:rPr>
          <w:rFonts w:ascii="Calibri" w:hAnsi="Calibri"/>
          <w:color w:val="000000"/>
          <w:sz w:val="20"/>
        </w:rPr>
        <w:t xml:space="preserve">Impact level: Workflow</w:t>
      </w:r>
    </w:p>
    <w:p>
      <w:pPr>
        <w:spacing w:before="0" w:after="50" w:line="250" w:lineRule="auto"/>
      </w:pPr>
      <w:r>
        <w:rPr>
          <w:rFonts w:ascii="Calibri" w:hAnsi="Calibri"/>
          <w:color w:val="000000"/>
          <w:sz w:val="20"/>
        </w:rPr>
        <w:t xml:space="preserve">Candidate metric: Reviewed turnaround, repeats and staff effort</w:t>
      </w:r>
    </w:p>
    <w:p>
      <w:pPr>
        <w:spacing w:before="0" w:after="50" w:line="250" w:lineRule="auto"/>
      </w:pPr>
      <w:r>
        <w:rPr>
          <w:rFonts w:ascii="Calibri" w:hAnsi="Calibri"/>
          <w:color w:val="000000"/>
          <w:sz w:val="20"/>
        </w:rPr>
        <w:t xml:space="preserve">Important limitation: Depends on local process and workload.</w:t>
      </w:r>
    </w:p>
    <w:p>
      <w:pPr>
        <w:spacing w:before="0" w:after="50" w:line="250" w:lineRule="auto"/>
      </w:pPr>
      <w:r>
        <w:rPr>
          <w:rFonts w:ascii="Calibri" w:hAnsi="Calibri"/>
          <w:color w:val="000000"/>
          <w:sz w:val="20"/>
        </w:rPr>
        <w:t xml:space="preserve">Impact level: Service</w:t>
      </w:r>
    </w:p>
    <w:p>
      <w:pPr>
        <w:spacing w:before="0" w:after="50" w:line="250" w:lineRule="auto"/>
      </w:pPr>
      <w:r>
        <w:rPr>
          <w:rFonts w:ascii="Calibri" w:hAnsi="Calibri"/>
          <w:color w:val="000000"/>
          <w:sz w:val="20"/>
        </w:rPr>
        <w:t xml:space="preserve">Candidate metric: Uptime, repair time and calibration continuity</w:t>
      </w:r>
    </w:p>
    <w:p>
      <w:pPr>
        <w:spacing w:before="0" w:after="50" w:line="250" w:lineRule="auto"/>
      </w:pPr>
      <w:r>
        <w:rPr>
          <w:rFonts w:ascii="Calibri" w:hAnsi="Calibri"/>
          <w:color w:val="000000"/>
          <w:sz w:val="20"/>
        </w:rPr>
        <w:t xml:space="preserve">Important limitation: Requires representative field observation.</w:t>
      </w:r>
    </w:p>
    <w:p>
      <w:pPr>
        <w:spacing w:before="0" w:after="50" w:line="250" w:lineRule="auto"/>
      </w:pPr>
      <w:r>
        <w:rPr>
          <w:rFonts w:ascii="Calibri" w:hAnsi="Calibri"/>
          <w:color w:val="000000"/>
          <w:sz w:val="20"/>
        </w:rPr>
        <w:t xml:space="preserve">Impact level: Research</w:t>
      </w:r>
    </w:p>
    <w:p>
      <w:pPr>
        <w:spacing w:before="0" w:after="50" w:line="250" w:lineRule="auto"/>
      </w:pPr>
      <w:r>
        <w:rPr>
          <w:rFonts w:ascii="Calibri" w:hAnsi="Calibri"/>
          <w:color w:val="000000"/>
          <w:sz w:val="20"/>
        </w:rPr>
        <w:t xml:space="preserve">Candidate metric: Reproducibility and useful confirmed findings</w:t>
      </w:r>
    </w:p>
    <w:p>
      <w:pPr>
        <w:spacing w:before="0" w:after="50" w:line="250" w:lineRule="auto"/>
      </w:pPr>
      <w:r>
        <w:rPr>
          <w:rFonts w:ascii="Calibri" w:hAnsi="Calibri"/>
          <w:color w:val="000000"/>
          <w:sz w:val="20"/>
        </w:rPr>
        <w:t xml:space="preserve">Important limitation: More data alone is not scientific progress.</w:t>
      </w:r>
    </w:p>
    <w:p>
      <w:pPr>
        <w:spacing w:before="0" w:after="50" w:line="250" w:lineRule="auto"/>
      </w:pPr>
      <w:r>
        <w:rPr>
          <w:rFonts w:ascii="Calibri" w:hAnsi="Calibri"/>
          <w:color w:val="000000"/>
          <w:sz w:val="20"/>
        </w:rPr>
        <w:t xml:space="preserve">Impact level: Clinical or public health</w:t>
      </w:r>
    </w:p>
    <w:p>
      <w:pPr>
        <w:spacing w:before="0" w:after="50" w:line="250" w:lineRule="auto"/>
      </w:pPr>
      <w:r>
        <w:rPr>
          <w:rFonts w:ascii="Calibri" w:hAnsi="Calibri"/>
          <w:color w:val="000000"/>
          <w:sz w:val="20"/>
        </w:rPr>
        <w:t xml:space="preserve">Candidate metric: Prespecified outcome in an appropriate study</w:t>
      </w:r>
    </w:p>
    <w:p>
      <w:pPr>
        <w:spacing w:before="0" w:after="50" w:line="250" w:lineRule="auto"/>
      </w:pPr>
      <w:r>
        <w:rPr>
          <w:rFonts w:ascii="Calibri" w:hAnsi="Calibri"/>
          <w:color w:val="000000"/>
          <w:sz w:val="20"/>
        </w:rPr>
        <w:t xml:space="preserve">Important limitation: Requires control of confounding and adequate evidence.</w:t>
      </w:r>
    </w:p>
    <w:p>
      <w:pPr>
        <w:pStyle w:val="Heading3"/>
        <w:keepNext/>
        <w:keepLines/>
        <w:spacing w:before="240" w:after="120" w:line="269" w:lineRule="auto"/>
      </w:pPr>
      <w:r>
        <w:rPr>
          <w:color w:val="000000"/>
        </w:rPr>
        <w:t>Establish the baseline before deployment</w:t>
      </w:r>
    </w:p>
    <w:p>
      <w:pPr>
        <w:pStyle w:val="Normal"/>
        <w:spacing w:before="0" w:after="50" w:line="250" w:lineRule="auto"/>
        <w:rPr/>
      </w:pPr>
      <w:r>
        <w:rPr>
          <w:rFonts w:ascii="Calibri" w:hAnsi="Calibri"/>
          <w:color w:val="000000"/>
          <w:sz w:val="20"/>
        </w:rPr>
        <w:t>A prospective evaluation should define how the existing workflow is measured and how changes will be attributed. Seasonal workload, staffing and concurrent interventions can affect results. The analysis should include eligible cases that fail, abstain or require a repeat, because these influence real service performance.</w:t>
      </w:r>
    </w:p>
    <w:p>
      <w:pPr>
        <w:pStyle w:val="Normal"/>
        <w:spacing w:before="0" w:after="50" w:line="250" w:lineRule="auto"/>
        <w:rPr/>
      </w:pPr>
      <w:r>
        <w:rPr>
          <w:rFonts w:ascii="Calibri" w:hAnsi="Calibri"/>
          <w:color w:val="000000"/>
          <w:sz w:val="20"/>
        </w:rPr>
        <w:t>For each metric, record the denominator, time window, data source and uncertainty. A reduction in average review time should be accompanied by information about difficult cases and tail delays. An apparent reduction in errors should identify which error class was assessed and whether the reference process was independent.</w:t>
      </w:r>
    </w:p>
    <w:p>
      <w:pPr>
        <w:pStyle w:val="Normal"/>
        <w:spacing w:before="0" w:after="50" w:line="250" w:lineRule="auto"/>
        <w:rPr/>
      </w:pPr>
      <w:r>
        <w:rPr>
          <w:rFonts w:ascii="Calibri" w:hAnsi="Calibri"/>
          <w:color w:val="000000"/>
          <w:sz w:val="20"/>
        </w:rPr>
        <w:t>The proposed compendium's applications are a research and product agenda. Progress should be reported as specific verified increments: a qualified measurement, a reliable interface, a successful service process or a demonstrated outcome within its study domain. This makes the broader vision accountable to evidence without restricting future exploration to the initial Reader V1 configuration.</w:t>
      </w:r>
    </w:p>
    <w:p>
      <w:pPr>
        <w:pStyle w:val="Heading2"/>
        <w:keepNext/>
        <w:keepLines/>
      </w:pPr>
      <w:r>
        <w:rPr>
          <w:color w:val="000000"/>
        </w:rPr>
        <w:t>Additional intended use development opportunities</w:t>
      </w:r>
    </w:p>
    <w:p>
      <w:pPr>
        <w:pStyle w:val="Heading3"/>
        <w:keepNext/>
        <w:keepLines/>
        <w:spacing w:before="240" w:after="120" w:line="269" w:lineRule="auto"/>
      </w:pPr>
      <w:r>
        <w:rPr>
          <w:color w:val="000000"/>
        </w:rPr>
        <w:t>UTI and women's-health application research ;  PROPOSED</w:t>
      </w:r>
    </w:p>
    <w:p>
      <w:pPr>
        <w:pStyle w:val="Normal"/>
        <w:spacing w:before="0" w:after="50" w:line="250" w:lineRule="auto"/>
        <w:rPr/>
      </w:pPr>
      <w:r>
        <w:rPr>
          <w:rFonts w:ascii="Calibri" w:hAnsi="Calibri"/>
          <w:color w:val="000000"/>
          <w:sz w:val="20"/>
        </w:rPr>
        <w:t>Treat UTI/urine-culture automation as a NEXT-STAGE, Reader-V1-adjacent application after endpoint Reader V1 is stable and validated. Reusable elements may include controlled plate imaging, plate localisation, image provenance, local compute, reviewer workflow and reporting, but urine-culture colony detection/counting, mixed-growth handling, specimen/loop-volume rules, media-specific appearance, culture interpretation and ID linkage require a separate intended-use dataset and validation programme. Strong external regulatory precedent exists for this class of human-reviewed workflow: FDA 510(k) K183648 cleared APAS Independence with Urine Analysis Module as a microbial-colony image-assessment system for automated urine-culture plate imaging and interpretation, including presence/absence of growth and semi-quantitative colony counts on specified media/1 µL inocula; all growth-positive plates must be reviewed by a trained microbiologist. This supports the feasibility of a separately validated, human-reviewed urine-culture imaging module, not AMReye performance, clearance or identical intended use. FDA record: </w:t>
      </w:r>
      <w:hyperlink r:id="rId16">
        <w:r>
          <w:rPr>
            <w:rFonts w:ascii="Calibri" w:hAnsi="Calibri"/>
            <w:color w:val="000000"/>
            <w:sz w:val="22"/>
          </w:rPr>
          <w:t>https://www.accessdata.fda.gov/cdrh_docs/reviews/K183648.pdf</w:t>
        </w:r>
      </w:hyperlink>
      <w:r>
        <w:rPr>
          <w:rFonts w:ascii="Calibri" w:hAnsi="Calibri"/>
          <w:color w:val="000000"/>
          <w:sz w:val="20"/>
        </w:rPr>
        <w:t> .  Peer-reviewed workflow context: Chiu et al., Microbiology Spectrum 2022, DOI 10.1128/spectrum.01442-22, compared APAS Independence with manual standard-of-care processing across 1,519 urine cultures. Growth-pattern discrepancies occurred in 4.74% of specimens and pathogen-identification discrepancies in 3.69%; the authors reported substantial downstream AST agreement and reduced manual processing burden. Use this as external evidence that automated urine-plate triage can improve workflow while still requiring discrepant-case review; it does not establish that the same algorithms, thresholds or performance transfer to AMReye. Official paper: </w:t>
      </w:r>
      <w:hyperlink r:id="rId17">
        <w:r>
          <w:rPr>
            <w:rFonts w:ascii="Calibri" w:hAnsi="Calibri"/>
            <w:color w:val="000000"/>
            <w:sz w:val="22"/>
          </w:rPr>
          <w:t>https://doi.org/10.1128/spectrum.01442-22</w:t>
        </w:r>
      </w:hyperlink>
      <w:r>
        <w:rPr>
          <w:rFonts w:ascii="Calibri" w:hAnsi="Calibri"/>
          <w:color w:val="000000"/>
          <w:sz w:val="20"/>
        </w:rPr>
        <w:t> . Treat other women's infection-related applications as separate intended-use questions rather than assuming one urine/AST workflow diagnoses every condition. Do not promise diagnosis directly from unprocessed specimens or autonomous prescribing. Prioritize a defensible unmet need and a feasible partner-laboratory validation pathway before committing features.</w:t>
      </w:r>
    </w:p>
    <w:p>
      <w:pPr>
        <w:pStyle w:val="Heading3"/>
        <w:keepNext/>
        <w:keepLines/>
        <w:spacing w:before="240" w:after="120" w:line="269" w:lineRule="auto"/>
      </w:pPr>
      <w:r>
        <w:rPr>
          <w:color w:val="000000"/>
        </w:rPr>
        <w:t>MRSA phenotypic support ;  READER V1-COMPATIBLE; molecular-diagnostics modules ;  FUTURE R&amp;D</w:t>
      </w:r>
    </w:p>
    <w:p>
      <w:pPr>
        <w:pStyle w:val="Normal"/>
        <w:spacing w:before="0" w:after="50" w:line="250" w:lineRule="auto"/>
        <w:rPr/>
      </w:pPr>
      <w:r>
        <w:rPr>
          <w:rFonts w:ascii="Calibri" w:hAnsi="Calibri"/>
          <w:color w:val="000000"/>
          <w:sz w:val="20"/>
        </w:rPr>
        <w:t>Investigate organism- and method-specific MRSA workflows and genotype-phenotype concordance as a research extension. Bounded near-term opportunity: cefoxitin disk diffusion fits Reader V1’s existing measurement, QC and versioned-standards architecture rather than requiring a new molecular instrument. CDC laboratory guidance (updated 2025, pointing users to the current CLSI M100 criteria) lists cefoxitin disk diffusion among recommended phenotypic MRSA methods and notes that cefoxitin gives clearer endpoints and is easier to read than oxacillin. AMReye may support this workflow only with current organism-specific breakpoints, incubation/QC rules and human review; mecA/mecC, PBP2a and other molecular/protein tests remain independently measured external/confirmatory channels. Source: </w:t>
      </w:r>
      <w:hyperlink r:id="rId18">
        <w:r>
          <w:rPr>
            <w:rFonts w:ascii="Calibri" w:hAnsi="Calibri"/>
            <w:color w:val="000000"/>
            <w:sz w:val="22"/>
          </w:rPr>
          <w:t>https://www.cdc.gov/mrsa/php/laboratories/index.html</w:t>
        </w:r>
      </w:hyperlink>
      <w:r>
        <w:rPr>
          <w:rFonts w:ascii="Calibri" w:hAnsi="Calibri"/>
          <w:color w:val="000000"/>
          <w:sz w:val="20"/>
        </w:rPr>
        <w:t> ; current CLSI M100/Breakpoint Implementation Toolkit should be checked at implementation time. A molecular channel can complement phenotypic AST but cannot be assumed to replace all susceptibility testing. CDC identifies phenotypic methods and PCR for mecA as distinct methods, and notes that a mecA-targeted PCR does not detect every alternative resistance mechanism. External reference: </w:t>
      </w:r>
      <w:hyperlink r:id="rId18">
        <w:r>
          <w:rPr>
            <w:rFonts w:ascii="Calibri" w:hAnsi="Calibri"/>
            <w:color w:val="000000"/>
            <w:sz w:val="22"/>
          </w:rPr>
          <w:t>https://www.cdc.gov/mrsa/php/laboratories/index.html</w:t>
        </w:r>
      </w:hyperlink>
      <w:r>
        <w:rPr>
          <w:rFonts w:ascii="Calibri" w:hAnsi="Calibri"/>
          <w:color w:val="000000"/>
          <w:sz w:val="20"/>
        </w:rPr>
        <w:t> . This is a feasibility anchor, not validation of AMR-Eye.</w:t>
      </w:r>
    </w:p>
    <w:p>
      <w:pPr>
        <w:pStyle w:val="Normal"/>
        <w:spacing w:before="0" w:after="50" w:line="250" w:lineRule="auto"/>
        <w:rPr/>
      </w:pPr>
      <w:r>
        <w:rPr>
          <w:rFonts w:ascii="Calibri" w:hAnsi="Calibri"/>
          <w:color w:val="000000"/>
          <w:sz w:val="20"/>
        </w:rPr>
        <w:t>Clarify whether the owner's “RT-PCR” means real-time PCR/qPCR or reverse-transcription PCR before specifying a module. Compare importing results from an existing qualified molecular instrument with physical integration of a separate module. Define its intended target class, sample-processing boundary, contamination control, instrument interface, quality controls and independent analytical/clinical validation requirements. No molecular test, resistance-gene prediction, broad superbug detector or combined diagnostic has been implemented through this update.</w:t>
      </w:r>
    </w:p>
    <w:p>
      <w:pPr>
        <w:pStyle w:val="Heading3"/>
        <w:keepNext/>
        <w:keepLines/>
        <w:spacing w:before="240" w:after="120" w:line="269" w:lineRule="auto"/>
      </w:pPr>
      <w:r>
        <w:rPr>
          <w:color w:val="000000"/>
        </w:rPr>
        <w:t>Bioinformatics ;  PROPOSED RESEARCH WORKSTREAM</w:t>
      </w:r>
    </w:p>
    <w:p>
      <w:pPr>
        <w:pStyle w:val="Normal"/>
        <w:spacing w:before="0" w:after="50" w:line="250" w:lineRule="auto"/>
        <w:rPr/>
      </w:pPr>
      <w:r>
        <w:rPr>
          <w:rFonts w:ascii="Calibri" w:hAnsi="Calibri"/>
          <w:color w:val="000000"/>
          <w:sz w:val="20"/>
        </w:rPr>
        <w:t>Develop a staged plan for curated organism/antimicrobial metadata, reproducible AMR data analysis, linkage of authorized phenotypic and molecular records, resistance-mechanism annotation and later surveillance research. Keep sequencing-derived or externally measured genotypes separate from image-derived hypotheses. Use versioned public databases, documented licenses and traceable identifiers; never infer an isolate's actual sequence or resistance gene solely because a plate image appears similar. Specify data rights, de-identification, versioned pipelines, reference provenance, independent validation and limitations before use. Computational predictions remain predictions, not wet-lab evidence.</w:t>
      </w:r>
    </w:p>
    <w:p>
      <w:pPr>
        <w:pStyle w:val="Heading3"/>
        <w:keepNext/>
        <w:keepLines/>
        <w:spacing w:before="240" w:after="120" w:line="269" w:lineRule="auto"/>
      </w:pPr>
      <w:r>
        <w:rPr>
          <w:color w:val="000000"/>
        </w:rPr>
        <w:t>Plate data model and digital-twin ambition ;  RESEARCH TARGET</w:t>
      </w:r>
    </w:p>
    <w:p>
      <w:pPr>
        <w:pStyle w:val="Normal"/>
        <w:spacing w:before="0" w:after="50" w:line="250" w:lineRule="auto"/>
        <w:rPr/>
      </w:pPr>
      <w:r>
        <w:rPr>
          <w:rFonts w:ascii="Calibri" w:hAnsi="Calibri"/>
          <w:color w:val="000000"/>
          <w:sz w:val="20"/>
        </w:rPr>
        <w:t>The owner's aim is to capture every useful, defensible plate-derived data channel. Start with a structured digital plate record: immutable source images; capture/calibration/device metadata; plate identity and geometry; medium and disk metadata; calibrated zone boundaries; growth/colony or lawn observations; color/texture where measurable; readability and artifacts; timestamps; reviewer corrections; uncertainty; and links to independent reference results. Later candidate channels include serial growth imaging, microscopy, spectral/illumination modes, environmental records and carefully evaluated non-optical sensing.</w:t>
      </w:r>
    </w:p>
    <w:p>
      <w:pPr>
        <w:pStyle w:val="Normal"/>
        <w:spacing w:before="0" w:after="50" w:line="250" w:lineRule="auto"/>
        <w:rPr/>
      </w:pPr>
      <w:r>
        <w:rPr>
          <w:rFonts w:ascii="Calibri" w:hAnsi="Calibri"/>
          <w:color w:val="000000"/>
          <w:sz w:val="20"/>
        </w:rPr>
        <w:t>For every proposed channel record the biological/engineering question, measurable signal, units, resolution, calibration, uncertainty, confounders, reference method, incremental decision value, acquisition burden and validation gate. Distinguish measured, derived, imputed and simulated values. Missing or unobservable attributes must remain unknown. Do not claim that every biological property is recoverable from one plate image or that an image archive is a validated predictive digital twin. A true modeling extension needs explicit state variables, experimentally checked predictions and documented limits. Add sensors only where they improve a defined decision beyond the Reader V1 baseline.</w:t>
      </w:r>
    </w:p>
    <w:p>
      <w:pPr>
        <w:pStyle w:val="Heading3"/>
        <w:keepNext/>
        <w:keepLines/>
        <w:spacing w:before="240" w:after="120" w:line="269" w:lineRule="auto"/>
      </w:pPr>
      <w:r>
        <w:rPr>
          <w:color w:val="000000"/>
        </w:rPr>
        <w:t>Robotics and microscopy ;  FUTURE R&amp;D</w:t>
      </w:r>
    </w:p>
    <w:p>
      <w:pPr>
        <w:pStyle w:val="Normal"/>
        <w:spacing w:before="0" w:after="50" w:line="250" w:lineRule="auto"/>
        <w:rPr/>
      </w:pPr>
      <w:r>
        <w:rPr>
          <w:rFonts w:ascii="Calibri" w:hAnsi="Calibri"/>
          <w:color w:val="000000"/>
          <w:sz w:val="20"/>
        </w:rPr>
        <w:t>Evaluate robotic loading/indexing, plate handling, inoculation or picking, probing and micro-scale imaging as separate modules. Compare result integration with existing automation against building a new robot. Each physical module requires a risk assessment, containment/contamination strategy, compatible disposables, repeatability, interlocks, decontamination workflow, supervision and independent verification. Begin with non-biological surrogates and authorized institutional engineering review; this dossier is not an operational protocol for handling pathogenic cultures. Macro plate images, colony-scale images and cell microscopy are different data channels. Separate robotics safety control from language-model, vision, UI and network failures. No robotic system has been built or qualified through this update.</w:t>
      </w:r>
    </w:p>
    <w:p>
      <w:pPr>
        <w:pStyle w:val="Heading3"/>
        <w:keepNext/>
        <w:keepLines/>
        <w:spacing w:before="240" w:after="120" w:line="269" w:lineRule="auto"/>
      </w:pPr>
      <w:r>
        <w:rPr>
          <w:color w:val="000000"/>
        </w:rPr>
        <w:t>Competitor and alternative-workflow matrix</w:t>
      </w:r>
    </w:p>
    <w:p>
      <w:pPr>
        <w:pStyle w:val="Normal"/>
        <w:spacing w:before="0" w:after="50" w:line="250" w:lineRule="auto"/>
        <w:rPr/>
      </w:pPr>
      <w:r>
        <w:rPr>
          <w:rFonts w:ascii="Calibri" w:hAnsi="Calibri"/>
          <w:color w:val="000000"/>
          <w:sz w:val="20"/>
        </w:rPr>
        <w:t>Revisit the already recorded comparators: manual laboratory workflows, reader systems such as BIOMIC, integrated disk-diffusion automation such as COPAN Radian, broader automation including WASPLab/Reshape, and ID/AST or MIC platforms such as VITEK and Phoenix. These are different comparator classes. Add newly verified research/open-source implementations and other relevant competitors based on public evidence. Compare exact intended use, supported assays, handling, optics, time-to-result definition, QC/human review, interoperability, throughput, cost evidence, serviceability and validation status.</w:t>
      </w:r>
    </w:p>
    <w:p>
      <w:pPr>
        <w:pStyle w:val="Normal"/>
        <w:spacing w:before="0" w:after="50" w:line="250" w:lineRule="auto"/>
        <w:rPr/>
      </w:pPr>
      <w:r>
        <w:rPr>
          <w:rFonts w:ascii="Calibri" w:hAnsi="Calibri"/>
          <w:color w:val="000000"/>
          <w:sz w:val="20"/>
        </w:rPr>
        <w:t>For each useful capability choose BUILD, INTEGRATE/PARTNER, DEFER or REJECT with a reason. Do not assume every competing technology belongs in the same device. Public claims, research benchmarks and vendor marketing are not proof of AMR-Eye superiority; assess prior art, licensing and freedom-to-operate with qualified advice before copying protected technology or claiming novelty.</w:t>
      </w:r>
    </w:p>
    <w:p>
      <w:pPr>
        <w:pStyle w:val="Heading3"/>
        <w:keepNext/>
        <w:keepLines/>
        <w:spacing w:before="240" w:after="120" w:line="269" w:lineRule="auto"/>
      </w:pPr>
      <w:r>
        <w:rPr>
          <w:color w:val="000000"/>
        </w:rPr>
        <w:t>Open-source and specialist-tool preference</w:t>
      </w:r>
    </w:p>
    <w:p>
      <w:pPr>
        <w:pStyle w:val="Normal"/>
        <w:spacing w:before="0" w:after="50" w:line="250" w:lineRule="auto"/>
        <w:rPr/>
      </w:pPr>
      <w:r>
        <w:rPr>
          <w:rFonts w:ascii="Calibri" w:hAnsi="Calibri"/>
          <w:color w:val="000000"/>
          <w:sz w:val="20"/>
        </w:rPr>
        <w:t>Prefer suitable open-source, interoperable and exportable components where they meet the requirements. Concrete research/interoperability candidates: OpenELIS Global is an MPL-2.0 open-source LIS with FHIR R4 support, analyzer connectivity through standards including HL7/ASTM, and an offline deployment path; use it as a non-exclusive interoperability test target behind an AMReye standards-based adapter layer rather than as a committed dependency. India interoperability anchor: the NRCeS/NHA ABDM FHIR R4 Observation profile (current published guide v6.5.0) states that laboratory results are summarized in DiagnosticReport resources that reference Observation resources, and explicitly notes that a microbial-susceptibility panel may be represented as a nested Observation referencing other Observations. This is a strong structural pattern for AMReye exports: keep measurements, organism/method/standard metadata and S/I/R interpretation machine-readable, while preserving DiagnosticReport/Observation relationships. Do not assume FHIR alone defines AST semantics, local test codes or breakpoint rules; site mappings and standards/version metadata remain necessary. Add terminology-aware export rather than free-text-only AST fields. LOINC explicitly models antimicrobial-susceptibility observations in class ABXBACT and distinguishes method, including “Agar diffusion” for Kirby-Bauer-style results; the LOINC Users’ Guide (updated July 2026) gives examples in which the antimicrobial, susceptibility property, isolate system, result scale and method are represented together. This provides a strong coding layer for AMReye exports while the raw measured zone diameter, method, disk potency and source standard remain preserved separately. Official reference: </w:t>
      </w:r>
      <w:hyperlink r:id="rId19">
        <w:r>
          <w:rPr>
            <w:rFonts w:ascii="Calibri" w:hAnsi="Calibri"/>
            <w:color w:val="000000"/>
            <w:sz w:val="22"/>
          </w:rPr>
          <w:t>https://loinc.org/kb/users-guide/special-cases/antimicrobial-susceptibilities</w:t>
        </w:r>
      </w:hyperlink>
      <w:r>
        <w:rPr>
          <w:rFonts w:ascii="Calibri" w:hAnsi="Calibri"/>
          <w:color w:val="000000"/>
          <w:sz w:val="20"/>
        </w:rPr>
        <w:t> .</w:t>
      </w:r>
    </w:p>
    <w:p>
      <w:pPr>
        <w:pStyle w:val="Normal"/>
        <w:spacing w:before="0" w:after="50" w:line="250" w:lineRule="auto"/>
        <w:rPr/>
      </w:pPr>
      <w:r>
        <w:rPr>
          <w:rFonts w:ascii="Calibri" w:hAnsi="Calibri"/>
          <w:color w:val="000000"/>
          <w:sz w:val="20"/>
        </w:rPr>
        <w:t>Interoperability must also preserve the meaning of categorical interpretations instead of translating letters mechanically. HL7 terminology includes susceptibility interpretation codes such as S/R/I, but the generic HL7 “I” definition reflects an Intermediate concept and is not semantically identical to EUCAST’s current “I = Susceptible, increased exposure.” Therefore AMReye must retain the originating breakpoint system/version and its full category meaning, and site interfaces should map only through an agreed implementation profile rather than converting EUCAST I into a generic Intermediate label. Where the receiver cannot represent the source semantics safely, export the measured value + standard/version + source-category text/code and flag mapping limitations rather than silently altering meaning. HL7 terminology anchor: </w:t>
      </w:r>
      <w:hyperlink r:id="rId20">
        <w:r>
          <w:rPr>
            <w:rFonts w:ascii="Calibri" w:hAnsi="Calibri"/>
            <w:color w:val="000000"/>
            <w:sz w:val="22"/>
          </w:rPr>
          <w:t>https://terminology.hl7.org/7.0.1/ValueSet-v3-ObservationInterpretationSusceptibility.html</w:t>
        </w:r>
      </w:hyperlink>
      <w:r>
        <w:rPr>
          <w:rFonts w:ascii="Calibri" w:hAnsi="Calibri"/>
          <w:color w:val="000000"/>
          <w:sz w:val="20"/>
        </w:rPr>
        <w:t> . Add WHONET/BacLink-compatible delimited-text export as a practical surveillance/interoperability target alongside FHIR. WHONET 2026 supports current CLSI 2026 and EUCAST 2026 breakpoints and export to the WHO GLASS data structure, while BacLink is designed to convert LIS/instrument AST exports into WHONET-compatible data. Treat this as an export/adapter requirement, not a replacement for the canonical AMReye data model or site LIS integration. Official references: </w:t>
      </w:r>
      <w:hyperlink r:id="rId21">
        <w:r>
          <w:rPr>
            <w:rFonts w:ascii="Calibri" w:hAnsi="Calibri"/>
            <w:color w:val="000000"/>
            <w:sz w:val="22"/>
          </w:rPr>
          <w:t>https://whonet.org/software.html</w:t>
        </w:r>
      </w:hyperlink>
      <w:r>
        <w:rPr>
          <w:rFonts w:ascii="Calibri" w:hAnsi="Calibri"/>
          <w:color w:val="000000"/>
          <w:sz w:val="20"/>
        </w:rPr>
        <w:t> and </w:t>
      </w:r>
      <w:hyperlink r:id="rId22">
        <w:r>
          <w:rPr>
            <w:rFonts w:ascii="Calibri" w:hAnsi="Calibri"/>
            <w:color w:val="000000"/>
            <w:sz w:val="22"/>
          </w:rPr>
          <w:t>https://whonet.org/features.html</w:t>
        </w:r>
      </w:hyperlink>
      <w:r>
        <w:rPr>
          <w:rFonts w:ascii="Calibri" w:hAnsi="Calibri"/>
          <w:color w:val="000000"/>
          <w:sz w:val="20"/>
        </w:rPr>
        <w:t> . Official ABDM profile: </w:t>
      </w:r>
      <w:hyperlink r:id="rId23">
        <w:r>
          <w:rPr>
            <w:rFonts w:ascii="Calibri" w:hAnsi="Calibri"/>
            <w:color w:val="000000"/>
            <w:sz w:val="22"/>
          </w:rPr>
          <w:t>https://www.nrces.in/ndhm/fhir/r4/StructureDefinition-Observation.html</w:t>
        </w:r>
      </w:hyperlink>
      <w:r>
        <w:rPr>
          <w:rFonts w:ascii="Calibri" w:hAnsi="Calibri"/>
          <w:color w:val="000000"/>
          <w:sz w:val="20"/>
        </w:rPr>
        <w:t> . diskImageR (Gerstein et al., Microbiology 2016, DOI 10.1099/mic.0.000295) is a useful historical algorithm/reference for photographic disk-diffusion quantification and subpopulation-growth analysis, but it is not bacterial clinical Reader V1 validation evidence. Makrai et al. (Scientific Data 2023, DOI 10.1038/s41597-023-02404-8) provide 369 plate images across 24 veterinary bacterial species with 56,865 annotated colonies; this can support colony-detection pretraining or benchmarking, but cannot substitute for clinical UTI, Indian-laboratory or intended-use validation data. Add Reader-V1-aligned external dataset: Giske/Egli et al., Dryad DOI 10.5061/dryad.5dv41nsfj (2024), 225 clinical Gram-negative disk-diffusion images with SIRscan-associated measurements, released CC0; use for algorithm development, robustness and external-domain benchmarking, not as independent AMReye metrological ground truth because annotations/measurements originate from another automated system and a limited acquisition domain. Add colony/UTI research dataset: Du et al., Scientific Data 2026, DOI 10.1038/s41597-026-07095-5. The source reports 950 original high-resolution images covering 19 clinically important bacterial species and 151 strains, with 59,221 manually annotated colony instances; augmentation expands this to 1,900 images / 118,442 targets. Use it for colony-detection research, pretraining and controlled benchmarking only. The authors explicitly note that pure cultures do not represent complex clinical specimens such as mixed urine cultures. Treat the article, code and deposited dataset as separate licensable artefacts: the article is CC BY-NC-ND 4.0 and the cited code is Apache-2.0; verify the actual deposited dataset licence and commercial-training permissions before product use. Official OpenELIS references: </w:t>
      </w:r>
      <w:hyperlink r:id="rId24">
        <w:r>
          <w:rPr>
            <w:rFonts w:ascii="Calibri" w:hAnsi="Calibri"/>
            <w:color w:val="000000"/>
            <w:sz w:val="22"/>
          </w:rPr>
          <w:t>https://openelis-global.org/</w:t>
        </w:r>
      </w:hyperlink>
      <w:r>
        <w:rPr>
          <w:rFonts w:ascii="Calibri" w:hAnsi="Calibri"/>
          <w:color w:val="000000"/>
          <w:sz w:val="20"/>
        </w:rPr>
        <w:t> and </w:t>
      </w:r>
      <w:hyperlink r:id="rId25">
        <w:r>
          <w:rPr>
            <w:rFonts w:ascii="Calibri" w:hAnsi="Calibri"/>
            <w:color w:val="000000"/>
            <w:sz w:val="22"/>
          </w:rPr>
          <w:t>https://docs.openelisci.org/</w:t>
        </w:r>
      </w:hyperlink>
      <w:r>
        <w:rPr>
          <w:rFonts w:ascii="Calibri" w:hAnsi="Calibri"/>
          <w:color w:val="000000"/>
          <w:sz w:val="20"/>
        </w:rPr>
        <w:t> . Check software, model-weight and dataset licenses independently, plus maintenance, reproducibility, privacy, security, hardware fit, validation burden and total cost. A public repository is not automatically an open-source license, and open-source software does not remove deployment or clinical-validation obligations. Specific current example: Ultralytics states that its YOLO stack and models are AGPL-3.0 by default and that proprietary/closed-source, SaaS or embedded commercial use requires an Enterprise license. Therefore Ultralytics YOLO may remain a research/reference candidate only until the project chooses either an AGPL-compatible disclosure path or an appropriate commercial license; do not lock it in as a production dependency by default. Official reference: </w:t>
      </w:r>
      <w:hyperlink r:id="rId26">
        <w:r>
          <w:rPr>
            <w:rFonts w:ascii="Calibri" w:hAnsi="Calibri"/>
            <w:color w:val="000000"/>
            <w:sz w:val="22"/>
          </w:rPr>
          <w:t>https://www.ultralytics.com/license</w:t>
        </w:r>
      </w:hyperlink>
      <w:r>
        <w:rPr>
          <w:rFonts w:ascii="Calibri" w:hAnsi="Calibri"/>
          <w:color w:val="000000"/>
          <w:sz w:val="20"/>
        </w:rPr>
        <w:t> . Use the narrowest appropriate connected research, database, computational, design or engineering specialist; preserve primary-source verification and final evidence review. Avoid duplicating the same work across many tools or exposing private data to unrelated services.</w:t>
      </w:r>
    </w:p>
    <w:p>
      <w:pPr>
        <w:pStyle w:val="Heading2"/>
        <w:keepNext/>
        <w:keepLines/>
        <w:spacing w:before="240" w:after="120" w:line="269" w:lineRule="auto"/>
      </w:pPr>
      <w:r>
        <w:rPr>
          <w:color w:val="000000"/>
        </w:rPr>
        <w:t>Defensive Biosecurity &amp; Engineered-AMR Preparedness ;  FUTURE R&amp;D</w:t>
      </w:r>
    </w:p>
    <w:p>
      <w:pPr>
        <w:pStyle w:val="Normal"/>
        <w:spacing w:before="0" w:after="50" w:line="250" w:lineRule="auto"/>
        <w:rPr/>
      </w:pPr>
      <w:r>
        <w:rPr>
          <w:rFonts w:ascii="Calibri" w:hAnsi="Calibri"/>
          <w:color w:val="000000"/>
          <w:sz w:val="20"/>
        </w:rPr>
        <w:t>Strategic concept: AMReye.AI may have a future defensive role in scenarios where antimicrobial resistance is deliberately engineered, deliberately selected, or otherwise deployed maliciously, including plausible future situations in which AI-assisted biological design contributes to threat development. The project’s counter-role would be defensive: rapidly characterize phenotypic resistance and susceptibility, flag unusual resistance patterns for qualified review, structure comparison of candidate antimicrobial or other authorized countermeasure options, and preserve an auditable evidence trail for laboratory and public-health response.</w:t>
      </w:r>
    </w:p>
    <w:p>
      <w:pPr>
        <w:pStyle w:val="Normal"/>
        <w:spacing w:before="0" w:after="50" w:line="250" w:lineRule="auto"/>
        <w:rPr/>
      </w:pPr>
      <w:r>
        <w:rPr>
          <w:rFonts w:ascii="Calibri" w:hAnsi="Calibri"/>
          <w:color w:val="000000"/>
          <w:sz w:val="20"/>
        </w:rPr>
        <w:t>Important boundary: AMReye.AI cannot infer malicious intent, engineered origin, weaponization, or actor attribution from AST or plate imaging alone. Those determinations require independent genomic, epidemiological, forensic and intelligence evidence. Likewise, “finding a cure” should be expressed as supporting countermeasure selection and research prioritization; the platform does not currently discover cures, design therapeutics, or autonomously prescribe treatment.</w:t>
      </w:r>
    </w:p>
    <w:p>
      <w:pPr>
        <w:pStyle w:val="Normal"/>
        <w:spacing w:before="0" w:after="50" w:line="250" w:lineRule="auto"/>
        <w:rPr/>
      </w:pPr>
      <w:r>
        <w:rPr>
          <w:rFonts w:ascii="Calibri" w:hAnsi="Calibri"/>
          <w:color w:val="000000"/>
          <w:sz w:val="20"/>
        </w:rPr>
        <w:t>Emerging-resistance surveillance framing ;  DEFENSIVE / PUBLIC-HEALTH, NOT THREAT ATTRIBUTION: WHO GLASS-EAR exists specifically to support early detection, reporting, expert discussion and risk assessment of emerging antimicrobial-resistance events through national AMR surveillance systems and the GLASS IT platform. This provides a more defensible future role for AMReye than “bioweapon detection”: a validated system could flag an unusual or high-concern phenotypic pattern against the applicable local/standards context, package the raw plate image, measurement/QC record and relevant metadata for qualified laboratory review, and support escalation into the laboratory’s existing reference/public-health pathway when institutional criteria are met. AMReye should not submit events directly to GLASS-EAR or label an isolate an emerging threat unless the authorized national/reference surveillance workflow does so. A rare/unusual phenotype may reflect method error, known resistance, local epidemiology, mixed culture or a genuinely emerging event; confirmation can require repeat phenotypic testing, reference-laboratory work, molecular/genomic investigation and epidemiology. This feature therefore belongs in REVIEW / REFERRAL / ESCALATION logic, not autonomous diagnosis or attribution. Official anchor: </w:t>
      </w:r>
      <w:hyperlink r:id="rId27">
        <w:r>
          <w:rPr>
            <w:rFonts w:ascii="Calibri" w:hAnsi="Calibri"/>
            <w:color w:val="000000"/>
            <w:sz w:val="22"/>
          </w:rPr>
          <w:t>https://www.who.int/initiatives/glass/glass-focused-surveillance</w:t>
        </w:r>
      </w:hyperlink>
      <w:r>
        <w:rPr>
          <w:rFonts w:ascii="Calibri" w:hAnsi="Calibri"/>
          <w:color w:val="000000"/>
          <w:sz w:val="20"/>
        </w:rPr>
        <w:t> .</w:t>
      </w:r>
    </w:p>
    <w:p>
      <w:pPr>
        <w:pStyle w:val="Normal"/>
        <w:spacing w:before="0" w:after="50" w:line="250" w:lineRule="auto"/>
        <w:rPr/>
      </w:pPr>
      <w:r>
        <w:rPr>
          <w:rFonts w:ascii="Calibri" w:hAnsi="Calibri"/>
          <w:color w:val="000000"/>
          <w:sz w:val="20"/>
        </w:rPr>
        <w:t>Internal strategic framing: “AI-assisted defense against AI-enabled or engineered AMR threats” or “AI vs AI for AMR biosecurity” may be used as future-strategy shorthand only. It must not imply that resistance itself is AI, that such attacks are inevitable, or that AMReye.AI is a validated bioweapon detector.</w:t>
      </w:r>
    </w:p>
    <w:p>
      <w:pPr>
        <w:pStyle w:val="Normal"/>
        <w:spacing w:before="0" w:after="50" w:line="250" w:lineRule="auto"/>
        <w:rPr/>
      </w:pPr>
      <w:r>
        <w:rPr>
          <w:rFonts w:ascii="Calibri" w:hAnsi="Calibri"/>
          <w:color w:val="000000"/>
          <w:sz w:val="20"/>
        </w:rPr>
        <w:t>Maturity and governance: FUTURE R&amp;D / emergency preparedness. Any development in this area must remain defensive, authorized, institutionally governed and subject to appropriate biosafety, biosecurity, ethics, regulatory, data-governance and human-review controls. No operational pathogen-engineering or weaponization capability is part of AMReye.AI’s scope.</w:t>
      </w:r>
    </w:p>
    <w:p>
      <w:pPr>
        <w:pStyle w:val="Heading3"/>
        <w:keepNext/>
        <w:keepLines/>
        <w:spacing w:before="240" w:after="120" w:line="269" w:lineRule="auto"/>
      </w:pPr>
      <w:r>
        <w:rPr>
          <w:color w:val="000000"/>
        </w:rPr>
        <w:t>Platform scope ;  INDIA-ORIGIN, GLOBAL-READY</w:t>
      </w:r>
    </w:p>
    <w:p>
      <w:pPr>
        <w:pStyle w:val="Normal"/>
        <w:spacing w:before="0" w:after="50" w:line="250" w:lineRule="auto"/>
        <w:rPr/>
      </w:pPr>
      <w:r>
        <w:rPr>
          <w:rFonts w:ascii="Calibri" w:hAnsi="Calibri"/>
          <w:color w:val="000000"/>
          <w:sz w:val="20"/>
        </w:rPr>
        <w:t>AMReye.AI is not limited to India. The invariant platform concept is controlled imaging, traceable dimensional measurement, QC/readability/abstention, human review, a versioned interpretation layer, an auditable digital plate record and standards-based data export. Country, sector and organism-specific interpretation must remain modular. Human clinical, veterinary, aquatic, food, environmental and spaceflight uses are separate intended uses; validation, reference methods, breakpoints, regulatory status and workflow assumptions do not transfer automatically between them.</w:t>
      </w:r>
    </w:p>
    <w:p>
      <w:pPr>
        <w:pStyle w:val="Heading3"/>
        <w:keepNext/>
        <w:keepLines/>
        <w:spacing w:before="240" w:after="120" w:line="269" w:lineRule="auto"/>
      </w:pPr>
      <w:r>
        <w:rPr>
          <w:color w:val="000000"/>
        </w:rPr>
        <w:t>India opportunity map ;  VERIFIED POLICY ALIGNMENT, NOT ENDORSEMENT</w:t>
      </w:r>
    </w:p>
    <w:p>
      <w:pPr>
        <w:pStyle w:val="Normal"/>
        <w:spacing w:before="0" w:after="50" w:line="250" w:lineRule="auto"/>
        <w:rPr/>
      </w:pPr>
      <w:r>
        <w:rPr>
          <w:rFonts w:ascii="Calibri" w:hAnsi="Calibri"/>
          <w:color w:val="000000"/>
          <w:sz w:val="20"/>
        </w:rPr>
        <w:t>NAP-AMR 2.0 (2025-2029), Government of India, provides a substantially broader and more concrete AMReye relevance map than earlier dossier wording. It calls for strengthened microbiology laboratories at national, state, district and block levels; standardized pathogen-identification/AST protocols; laboratory quality systems; standardized digital AMR documentation and LIMS; expansion of surveillance; antimicrobial stewardship; and research/innovation across One Health. NHM specifically describes strengthening District Hospital Laboratories, Integrated Public Health Laboratories and Block Public Health Laboratories and linking LIMS into AMR surveillance. This creates a future deployment hypothesis for a validated, serviceable, offline-capable reader/data system at tertiary, secondary, district and selected peripheral laboratories; not a claim that AMReye is selected for those programmes.</w:t>
      </w:r>
    </w:p>
    <w:p>
      <w:pPr>
        <w:pStyle w:val="Normal"/>
        <w:spacing w:before="0" w:after="50" w:line="250" w:lineRule="auto"/>
        <w:rPr/>
      </w:pPr>
      <w:r>
        <w:rPr>
          <w:rFonts w:ascii="Calibri" w:hAnsi="Calibri"/>
          <w:color w:val="000000"/>
          <w:sz w:val="20"/>
        </w:rPr>
        <w:t>The existing Indian surveillance ecosystem also provides concrete future integration/validation contexts. NAP-AMR records NARS-Net expansion across state medical colleges, ICMR AMRSN nodal/regional laboratories and state surveillance networks, with aggregated data contributing to WHO GLASS. It separately describes FSSAI food-sector AMR-AST surveillance and the ICAR/FAO-supported INFAAR veterinary/fisheries network. AMReye should therefore maintain distinct future profiles for: (1) human clinical endpoint disk-diffusion Reader V1; (2) facility antibiograms/AMS and surveillance export; (3) UTI/urine-culture imaging after separate validation; (4) severe-infection/blood-culture rapid-AST research; (5) MRSA/other organism-specific phenotypic workflows; (6) veterinary/livestock AST; (7) aquatic/fisheries AST; and (8) foodborne-isolate AST/surveillance. Antibiotic-residue measurement is a different analytical problem and is not a Reader V1 capability.</w:t>
      </w:r>
    </w:p>
    <w:p>
      <w:pPr>
        <w:pStyle w:val="Normal"/>
        <w:spacing w:before="0" w:after="50" w:line="250" w:lineRule="auto"/>
        <w:rPr/>
      </w:pPr>
      <w:r>
        <w:rPr>
          <w:rFonts w:ascii="Calibri" w:hAnsi="Calibri"/>
          <w:color w:val="000000"/>
          <w:sz w:val="20"/>
        </w:rPr>
        <w:t>India-specific translational opportunity: NAP-AMR identifies ICMR/CSIR/DBT/DST/IAIH work on rapid diagnostics, point-of-care diagnostics, pathogen/resistance identification, Target Product Profiles and product differentiation. The document records TPPs for priority conditions including sepsis, neonatal sepsis and typhoid, plus cost-effectiveness work on two rapid UTI diagnostics. Current 2026 public evidence strengthens this beyond policy alignment: C-CAMP publicly positions the India AMR Innovation Hub (IAIH) as the innovation arm of NAP-AMR 2.0, and the February 2026 India AMR Innovation Workshop reported support for more than 60 innovations across therapeutics, diagnostics and devices. C-CAMP/ICARS programmes also provide an evidence-backed translation model combining One Health AMR innovation support with technical, regulatory, IP and deployment facilitation in India/LMIC contexts. Treat IAIH/C-CAMP, ICARS, ICMR, NCDC, CSIR, DBT, DST, NHM, veterinary/fisheries institutions and suitable laboratories as categories for evidence-based outreach and collaboration research; do not imply AMReye eligibility, selection, funding, endorsement or partnership without a current official call/agreement. Official anchors: </w:t>
      </w:r>
      <w:hyperlink r:id="rId28">
        <w:r>
          <w:rPr>
            <w:rFonts w:ascii="Calibri" w:hAnsi="Calibri"/>
            <w:color w:val="000000"/>
            <w:sz w:val="22"/>
          </w:rPr>
          <w:t>https://www.psa.gov.in/iaih</w:t>
        </w:r>
      </w:hyperlink>
      <w:r>
        <w:rPr>
          <w:rFonts w:ascii="Calibri" w:hAnsi="Calibri"/>
          <w:color w:val="000000"/>
          <w:sz w:val="20"/>
        </w:rPr>
        <w:t> ; </w:t>
      </w:r>
      <w:hyperlink r:id="rId29">
        <w:r>
          <w:rPr>
            <w:rFonts w:ascii="Calibri" w:hAnsi="Calibri"/>
            <w:color w:val="000000"/>
            <w:sz w:val="22"/>
          </w:rPr>
          <w:t>https://www.psa.gov.in/pdf-article/2nd-india-antimicrobial-resistance-amr-innovation-workshop/10662</w:t>
        </w:r>
      </w:hyperlink>
      <w:r>
        <w:rPr>
          <w:rFonts w:ascii="Calibri" w:hAnsi="Calibri"/>
          <w:color w:val="000000"/>
          <w:sz w:val="20"/>
        </w:rPr>
        <w:t> ; </w:t>
      </w:r>
      <w:hyperlink r:id="rId30">
        <w:r>
          <w:rPr>
            <w:rFonts w:ascii="Calibri" w:hAnsi="Calibri"/>
            <w:color w:val="000000"/>
            <w:sz w:val="22"/>
          </w:rPr>
          <w:t>https://www.ccamp.res.in/node/9130</w:t>
        </w:r>
      </w:hyperlink>
      <w:r>
        <w:rPr>
          <w:rFonts w:ascii="Calibri" w:hAnsi="Calibri"/>
          <w:color w:val="000000"/>
          <w:sz w:val="20"/>
        </w:rPr>
        <w:t> ; </w:t>
      </w:r>
      <w:hyperlink r:id="rId31">
        <w:r>
          <w:rPr>
            <w:rFonts w:ascii="Calibri" w:hAnsi="Calibri"/>
            <w:color w:val="000000"/>
            <w:sz w:val="22"/>
          </w:rPr>
          <w:t>https://icars-global.org/seven-awarded-innovations-c-camp/</w:t>
        </w:r>
      </w:hyperlink>
    </w:p>
    <w:p>
      <w:pPr>
        <w:pStyle w:val="Normal"/>
        <w:spacing w:before="0" w:after="50" w:line="250" w:lineRule="auto"/>
        <w:rPr/>
      </w:pPr>
      <w:r>
        <w:rPr>
          <w:rFonts w:ascii="Calibri" w:hAnsi="Calibri"/>
          <w:color w:val="000000"/>
          <w:sz w:val="20"/>
        </w:rPr>
        <w:t>Useful India burden/workflow context from NAP-AMR: 2023 NCDC/ICMR surveillance cited E. coli as the most commonly isolated pathogen in surveillance data and predominantly associated it with urine specimens; the document also highlights MRSA, VRE, carbapenem-resistant Gram-negative organisms, bloodstream infections and high empirical antibiotic use. These observations support prioritising UTI, bloodstream/sepsis, resistant Gram-negative and MRSA workflow research, but they do not define AMReye’s final clinical claims or market size.</w:t>
      </w:r>
    </w:p>
    <w:p>
      <w:pPr>
        <w:pStyle w:val="Normal"/>
        <w:spacing w:before="0" w:after="50" w:line="250" w:lineRule="auto"/>
        <w:rPr/>
      </w:pPr>
      <w:r>
        <w:rPr>
          <w:rFonts w:ascii="Calibri" w:hAnsi="Calibri"/>
          <w:color w:val="000000"/>
          <w:sz w:val="20"/>
        </w:rPr>
        <w:t>Official India anchor: </w:t>
      </w:r>
      <w:hyperlink r:id="rId32">
        <w:r>
          <w:rPr>
            <w:rFonts w:ascii="Calibri" w:hAnsi="Calibri"/>
            <w:color w:val="000000"/>
            <w:sz w:val="22"/>
          </w:rPr>
          <w:t>https://www.ncdc.mohfw.gov.in/wp-content/uploads/2025/11/National-Action-Plan-on-Antimicrobial-Resistance-NAP-AMR-2.0.pdf</w:t>
        </w:r>
      </w:hyperlink>
    </w:p>
    <w:p>
      <w:pPr>
        <w:pStyle w:val="Heading3"/>
        <w:keepNext/>
        <w:keepLines/>
        <w:spacing w:before="240" w:after="120" w:line="269" w:lineRule="auto"/>
      </w:pPr>
      <w:r>
        <w:rPr>
          <w:color w:val="000000"/>
        </w:rPr>
        <w:t>25.2A Goa-specific validation and One Health opportunity map ;  PROSPECTIVE, NOT PARTNERSHIP</w:t>
      </w:r>
    </w:p>
    <w:p>
      <w:pPr>
        <w:pStyle w:val="Normal"/>
        <w:spacing w:before="0" w:after="50" w:line="250" w:lineRule="auto"/>
        <w:rPr/>
      </w:pPr>
      <w:r>
        <w:rPr>
          <w:rFonts w:ascii="Calibri" w:hAnsi="Calibri"/>
          <w:color w:val="000000"/>
          <w:sz w:val="20"/>
        </w:rPr>
        <w:t>Goa offers a practical local validation/discovery ecosystem that should be approached as prospective stakeholders rather than represented as existing AMReye partners. Goa Medical College &amp; Hospital, Bambolim, is not merely a generic tertiary-laboratory target: NCDC’s official NARS-Net records list GMC Goa as a participating sentinel site, including in the 2024 annual report. NARS-Net sites submit selected priority-pathogen AST data to NCDC on a monthly basis under programme SOPs, maintain internal QC, participate in national EQAS and may use manual and/or automated AST methods; NCDC’s 2025 bulletin also records WHONET 2025 offline data management across the network. This makes GMC especially relevant for standards/QC/customer-discovery and future validation discussions because its laboratory operates inside a national AMR-surveillance framework, while also raising the bar: AMReye would have to fit the programme’s existing SOP/QC/data-governance and surveillance workflow rather than create a parallel process. NARS-Net participation is not evidence that GMC or NCDC has agreed to evaluate AMReye.</w:t>
      </w:r>
    </w:p>
    <w:p>
      <w:pPr>
        <w:pStyle w:val="Normal"/>
        <w:spacing w:before="0" w:after="50" w:line="250" w:lineRule="auto"/>
        <w:rPr/>
      </w:pPr>
      <w:r>
        <w:rPr>
          <w:rFonts w:ascii="Calibri" w:hAnsi="Calibri"/>
          <w:color w:val="000000"/>
          <w:sz w:val="20"/>
        </w:rPr>
        <w:t>Goa Medical College Department of Microbiology separately documents diagnostic bacteriology, molecular and research laboratory activity and postgraduate microbiology training. The Goa Directorate of Health Services / NHM network is a public-sector discovery/deployment stakeholder category spanning district hospitals, a sub-district hospital and community-health facilities; any pilot would require formal institutional, ethics and regulatory approvals. ICAR-CCARI Goa provides an evidence-backed One Health research context through animal/fisheries science and aquaculture programmes, making veterinary and fisheries/aquatic AST a plausible later research branch after method-specific validation. NAP-AMR 2.0’s published list of seven states with finalized State Action Plans on AMR does not include Goa; absent a newer official Goa SAP-CAR source, do not claim that Goa already has a finalized state AMR action plan. Official anchors: </w:t>
      </w:r>
      <w:hyperlink r:id="rId33">
        <w:r>
          <w:rPr>
            <w:rFonts w:ascii="Calibri" w:hAnsi="Calibri"/>
            <w:color w:val="000000"/>
            <w:sz w:val="22"/>
          </w:rPr>
          <w:t>https://ncdc.mohfw.gov.in/wp-content/uploads/2025/09/Final_Annual-Report-2025_Jan-to-Dec-2024.pdf</w:t>
        </w:r>
      </w:hyperlink>
      <w:r>
        <w:rPr>
          <w:rFonts w:ascii="Calibri" w:hAnsi="Calibri"/>
          <w:color w:val="000000"/>
          <w:sz w:val="20"/>
        </w:rPr>
        <w:t> ; </w:t>
      </w:r>
      <w:hyperlink r:id="rId34">
        <w:r>
          <w:rPr>
            <w:rFonts w:ascii="Calibri" w:hAnsi="Calibri"/>
            <w:color w:val="000000"/>
            <w:sz w:val="22"/>
          </w:rPr>
          <w:t>https://www.ncdc.mohfw.gov.in/includes/About/CentresAndDivision/amr.php</w:t>
        </w:r>
      </w:hyperlink>
      <w:r>
        <w:rPr>
          <w:rFonts w:ascii="Calibri" w:hAnsi="Calibri"/>
          <w:color w:val="000000"/>
          <w:sz w:val="20"/>
        </w:rPr>
        <w:t> ; </w:t>
      </w:r>
      <w:hyperlink r:id="rId35">
        <w:r>
          <w:rPr>
            <w:rFonts w:ascii="Calibri" w:hAnsi="Calibri"/>
            <w:color w:val="000000"/>
            <w:sz w:val="22"/>
          </w:rPr>
          <w:t>https://ncdc.mohfw.gov.in/wp-content/uploads/2025/10/Semi-Annual-Bulletin-Issue-5-Jan-to-June-2025.pdf</w:t>
        </w:r>
      </w:hyperlink>
      <w:r>
        <w:rPr>
          <w:rFonts w:ascii="Calibri" w:hAnsi="Calibri"/>
          <w:color w:val="000000"/>
          <w:sz w:val="20"/>
        </w:rPr>
        <w:t> ; </w:t>
      </w:r>
      <w:hyperlink r:id="rId36">
        <w:r>
          <w:rPr>
            <w:rFonts w:ascii="Calibri" w:hAnsi="Calibri"/>
            <w:color w:val="000000"/>
            <w:sz w:val="22"/>
          </w:rPr>
          <w:t>https://gmcgoa.edu.in/department-of-microbiology/</w:t>
        </w:r>
      </w:hyperlink>
      <w:r>
        <w:rPr>
          <w:rFonts w:ascii="Calibri" w:hAnsi="Calibri"/>
          <w:color w:val="000000"/>
          <w:sz w:val="20"/>
        </w:rPr>
        <w:t> ; </w:t>
      </w:r>
      <w:hyperlink r:id="rId37">
        <w:r>
          <w:rPr>
            <w:rFonts w:ascii="Calibri" w:hAnsi="Calibri"/>
            <w:color w:val="000000"/>
            <w:sz w:val="22"/>
          </w:rPr>
          <w:t>https://nhm.goa.gov.in/health-centers-hospitals/</w:t>
        </w:r>
      </w:hyperlink>
      <w:r>
        <w:rPr>
          <w:rFonts w:ascii="Calibri" w:hAnsi="Calibri"/>
          <w:color w:val="000000"/>
          <w:sz w:val="20"/>
        </w:rPr>
        <w:t> ; </w:t>
      </w:r>
      <w:hyperlink r:id="rId38">
        <w:r>
          <w:rPr>
            <w:rFonts w:ascii="Calibri" w:hAnsi="Calibri"/>
            <w:color w:val="000000"/>
            <w:sz w:val="22"/>
          </w:rPr>
          <w:t>https://ccari.res.in/Shirish.html</w:t>
        </w:r>
      </w:hyperlink>
      <w:r>
        <w:rPr>
          <w:rFonts w:ascii="Calibri" w:hAnsi="Calibri"/>
          <w:color w:val="000000"/>
          <w:sz w:val="20"/>
        </w:rPr>
        <w:t> ; </w:t>
      </w:r>
      <w:hyperlink r:id="rId39">
        <w:r>
          <w:rPr>
            <w:rFonts w:ascii="Calibri" w:hAnsi="Calibri"/>
            <w:color w:val="000000"/>
            <w:sz w:val="22"/>
          </w:rPr>
          <w:t>https://ccari.res.in/estuarinecage231025.html</w:t>
        </w:r>
      </w:hyperlink>
      <w:r>
        <w:rPr>
          <w:rFonts w:ascii="Calibri" w:hAnsi="Calibri"/>
          <w:color w:val="000000"/>
          <w:sz w:val="20"/>
        </w:rPr>
        <w:t> .</w:t>
      </w:r>
    </w:p>
    <w:p>
      <w:pPr>
        <w:pStyle w:val="Normal"/>
        <w:spacing w:before="0" w:after="50" w:line="250" w:lineRule="auto"/>
        <w:rPr/>
      </w:pPr>
      <w:r>
        <w:rPr>
          <w:rFonts w:ascii="Calibri" w:hAnsi="Calibri"/>
          <w:color w:val="000000"/>
          <w:sz w:val="20"/>
        </w:rPr>
        <w:t>Goa regulatory translation is locally actionable but roles must remain distinct. The Government of Goa Directorate of Food and Drugs Administration (DFDA), Bambolim, regulates manufacture/sale/distribution of drugs and medical devices in the state and is the relevant State Licensing Authority pathway if AMReye is confirmed as a Class A/B IVD manufactured in Goa. Goa has separately stated that Class A/B medical-device manufacturing licensing is handled under MDR 2017 through the medical-device online portal. CDSCO also maintains a Goa Sub-Zonal Office at Manohar International Airport, Mopa; this is a useful central-regulator liaison point but must not be represented as the authority that has classified or approved AMReye. Risk classification/new-IVD/clinical-performance responsibilities must follow the CDSCO/SLA division applicable to the final intended use and class. These institutions are candidate outreach/regulatory/validation categories only; no endorsement, agreement, pilot, licence or data access is established. Official anchors: </w:t>
      </w:r>
      <w:hyperlink r:id="rId36">
        <w:r>
          <w:rPr>
            <w:rFonts w:ascii="Calibri" w:hAnsi="Calibri"/>
            <w:color w:val="000000"/>
            <w:sz w:val="22"/>
          </w:rPr>
          <w:t>https://gmcgoa.edu.in/department-of-microbiology/</w:t>
        </w:r>
      </w:hyperlink>
      <w:r>
        <w:rPr>
          <w:rFonts w:ascii="Calibri" w:hAnsi="Calibri"/>
          <w:color w:val="000000"/>
          <w:sz w:val="20"/>
        </w:rPr>
        <w:t> ; </w:t>
      </w:r>
      <w:hyperlink r:id="rId37">
        <w:r>
          <w:rPr>
            <w:rFonts w:ascii="Calibri" w:hAnsi="Calibri"/>
            <w:color w:val="000000"/>
            <w:sz w:val="22"/>
          </w:rPr>
          <w:t>https://nhm.goa.gov.in/health-centers-hospitals/</w:t>
        </w:r>
      </w:hyperlink>
      <w:r>
        <w:rPr>
          <w:rFonts w:ascii="Calibri" w:hAnsi="Calibri"/>
          <w:color w:val="000000"/>
          <w:sz w:val="20"/>
        </w:rPr>
        <w:t> ; </w:t>
      </w:r>
      <w:hyperlink r:id="rId38">
        <w:r>
          <w:rPr>
            <w:rFonts w:ascii="Calibri" w:hAnsi="Calibri"/>
            <w:color w:val="000000"/>
            <w:sz w:val="22"/>
          </w:rPr>
          <w:t>https://ccari.res.in/Shirish.html</w:t>
        </w:r>
      </w:hyperlink>
      <w:r>
        <w:rPr>
          <w:rFonts w:ascii="Calibri" w:hAnsi="Calibri"/>
          <w:color w:val="000000"/>
          <w:sz w:val="20"/>
        </w:rPr>
        <w:t> ; </w:t>
      </w:r>
      <w:hyperlink r:id="rId39">
        <w:r>
          <w:rPr>
            <w:rFonts w:ascii="Calibri" w:hAnsi="Calibri"/>
            <w:color w:val="000000"/>
            <w:sz w:val="22"/>
          </w:rPr>
          <w:t>https://ccari.res.in/estuarinecage231025.html</w:t>
        </w:r>
      </w:hyperlink>
      <w:r>
        <w:rPr>
          <w:rFonts w:ascii="Calibri" w:hAnsi="Calibri"/>
          <w:color w:val="000000"/>
          <w:sz w:val="20"/>
        </w:rPr>
        <w:t> ; </w:t>
      </w:r>
      <w:hyperlink r:id="rId40">
        <w:r>
          <w:rPr>
            <w:rFonts w:ascii="Calibri" w:hAnsi="Calibri"/>
            <w:color w:val="000000"/>
            <w:sz w:val="22"/>
          </w:rPr>
          <w:t>https://www.goa.gov.in/department/foods-and-drugs-administration/</w:t>
        </w:r>
      </w:hyperlink>
      <w:r>
        <w:rPr>
          <w:rFonts w:ascii="Calibri" w:hAnsi="Calibri"/>
          <w:color w:val="000000"/>
          <w:sz w:val="20"/>
        </w:rPr>
        <w:t> ; </w:t>
      </w:r>
      <w:hyperlink r:id="rId41">
        <w:r>
          <w:rPr>
            <w:rFonts w:ascii="Calibri" w:hAnsi="Calibri"/>
            <w:color w:val="000000"/>
            <w:sz w:val="22"/>
          </w:rPr>
          <w:t>https://www.goa.gov.in/wp-content/uploads/2022/08/License-Mandatory-For-Manufacture-Of-Medical-Devices.pdf</w:t>
        </w:r>
      </w:hyperlink>
      <w:r>
        <w:rPr>
          <w:rFonts w:ascii="Calibri" w:hAnsi="Calibri"/>
          <w:color w:val="000000"/>
          <w:sz w:val="20"/>
        </w:rPr>
        <w:t> ; </w:t>
      </w:r>
      <w:hyperlink r:id="rId42">
        <w:r>
          <w:rPr>
            <w:rFonts w:ascii="Calibri" w:hAnsi="Calibri"/>
            <w:color w:val="000000"/>
            <w:sz w:val="22"/>
          </w:rPr>
          <w:t>https://cdsco.gov.in/opencms/opencms/en/Departments/Sub-Zone/Goa/</w:t>
        </w:r>
      </w:hyperlink>
      <w:r>
        <w:rPr>
          <w:rFonts w:ascii="Calibri" w:hAnsi="Calibri"/>
          <w:color w:val="000000"/>
          <w:sz w:val="20"/>
        </w:rPr>
        <w:t> .</w:t>
      </w:r>
    </w:p>
    <w:p>
      <w:pPr>
        <w:pStyle w:val="Heading3"/>
        <w:keepNext/>
        <w:keepLines/>
        <w:spacing w:before="240" w:after="120" w:line="269" w:lineRule="auto"/>
      </w:pPr>
      <w:r>
        <w:rPr>
          <w:color w:val="000000"/>
        </w:rPr>
        <w:t>Worldwide deployment and surveillance ;  GLOBAL USE CASES</w:t>
      </w:r>
    </w:p>
    <w:p>
      <w:pPr>
        <w:pStyle w:val="Normal"/>
        <w:spacing w:before="0" w:after="50" w:line="250" w:lineRule="auto"/>
        <w:rPr/>
      </w:pPr>
      <w:r>
        <w:rPr>
          <w:rFonts w:ascii="Calibri" w:hAnsi="Calibri"/>
          <w:color w:val="000000"/>
          <w:sz w:val="20"/>
        </w:rPr>
        <w:t>The global need is not confined to LMICs. WHO’s Global Antibiotic Resistance Surveillance Report 2025 analyses more than 23 million bacteriologically confirmed infection episodes across bloodstream, urinary, gastrointestinal and gonorrhoea surveillance, with data from 104 countries in 2023 and 110 countries over 2016-2023. This supports a global design requirement for standardized, exportable AST data rather than a country-specific closed database. WHO GLASS is a surveillance framework, not a direct device interface or endorsement; AMReye data could contribute only through approved national/LIS/WHONET/GLASS pathways.</w:t>
      </w:r>
    </w:p>
    <w:p>
      <w:pPr>
        <w:pStyle w:val="Normal"/>
        <w:spacing w:before="0" w:after="50" w:line="250" w:lineRule="auto"/>
        <w:rPr/>
      </w:pPr>
      <w:r>
        <w:rPr>
          <w:rFonts w:ascii="Calibri" w:hAnsi="Calibri"/>
          <w:color w:val="000000"/>
          <w:sz w:val="20"/>
        </w:rPr>
        <w:t>Global policy baseline update ;  VERIFIED 2026: the Seventy-ninth World Health Assembly adopted the updated Global Action Plan on Antimicrobial Resistance (GAP-AMR) 2026-2036 on 23 May 2026, replacing the 2015 plan as the current global strategic framework. The updated plan was developed through the Quadripartite (FAO, UNEP, WHO and WOAH) and explicitly spans humans, animals, plants, food systems and the environment. It emphasizes stronger surveillance systems and laboratory networks, infection prevention, equitable access and appropriate antimicrobial use, innovation/R&amp;D, sustainable agrifood systems, governance, financing and accountability. By 2030, the plan aims to enable the 2024 UNGA target of a 10% reduction in bacterial-AMR-associated human deaths while also reducing antimicrobial use in agrifood systems and environmental pollution from resistant microbes and antimicrobial residues. These are system-level public-health targets, not AMReye performance targets or evidence of endorsement. Product implication: AMReye’s global architecture should continue to prioritize quality-assured phenotypic measurements, standards/version provenance, One-Health modularity and export into approved national/surveillance workflows rather than building an India-only closed data system. Official anchors: </w:t>
      </w:r>
      <w:hyperlink r:id="rId43">
        <w:r>
          <w:rPr>
            <w:rFonts w:ascii="Calibri" w:hAnsi="Calibri"/>
            <w:color w:val="000000"/>
            <w:sz w:val="22"/>
          </w:rPr>
          <w:t>https://www.who.int/news/item/25-05-2026-the-world-health-assembly-adopts-updated-global-action-plan-on-antimicrobial-resistance-%282026-2036%29</w:t>
        </w:r>
      </w:hyperlink>
      <w:r>
        <w:rPr>
          <w:rFonts w:ascii="Calibri" w:hAnsi="Calibri"/>
          <w:color w:val="000000"/>
          <w:sz w:val="20"/>
        </w:rPr>
        <w:t> ; </w:t>
      </w:r>
      <w:hyperlink r:id="rId44">
        <w:r>
          <w:rPr>
            <w:rFonts w:ascii="Calibri" w:hAnsi="Calibri"/>
            <w:color w:val="000000"/>
            <w:sz w:val="22"/>
          </w:rPr>
          <w:t>https://apps.who.int/gb/ebwha/pdf_files/WHA79/A79_5Add2-en.pdf</w:t>
        </w:r>
      </w:hyperlink>
      <w:r>
        <w:rPr>
          <w:rFonts w:ascii="Calibri" w:hAnsi="Calibri"/>
          <w:color w:val="000000"/>
          <w:sz w:val="20"/>
        </w:rPr>
        <w:t> ; </w:t>
      </w:r>
      <w:hyperlink r:id="rId45">
        <w:r>
          <w:rPr>
            <w:rFonts w:ascii="Calibri" w:hAnsi="Calibri"/>
            <w:color w:val="000000"/>
            <w:sz w:val="22"/>
          </w:rPr>
          <w:t>https://www.who.int/en/news-room/fact-sheets/detail/antimicrobial-resistance</w:t>
        </w:r>
      </w:hyperlink>
      <w:r>
        <w:rPr>
          <w:rFonts w:ascii="Calibri" w:hAnsi="Calibri"/>
          <w:color w:val="000000"/>
          <w:sz w:val="20"/>
        </w:rPr>
        <w:t> .</w:t>
      </w:r>
    </w:p>
    <w:p>
      <w:pPr>
        <w:pStyle w:val="Normal"/>
        <w:spacing w:before="0" w:after="50" w:line="250" w:lineRule="auto"/>
        <w:rPr/>
      </w:pPr>
      <w:r>
        <w:rPr>
          <w:rFonts w:ascii="Calibri" w:hAnsi="Calibri"/>
          <w:color w:val="000000"/>
          <w:sz w:val="20"/>
        </w:rPr>
        <w:t>Regional surveillance architecture reinforces the need for adapters rather than one universal export. In Europe, EARS-Net receives routine clinical AST data from national surveillance initiatives/laboratory networks, focuses its core surveillance on invasive isolates and supports annual external quality assessment. In the United States, CDC’s NHSN Antimicrobial Resistance Option requires electronic LIS/EHR-accessible discrete data and standardized HL7 Clinical Document Architecture submission; manual entry is not accepted, and facilities are instructed to submit final/corrected rather than preliminary AST results. WHO’s GLASS ecosystem uses the GLASS IT Platform and WHONET; WHO currently reports WHONET use in more than 2,300 hospital, public-health, animal-health and food laboratories across more than 130 countries. These examples show that a globally useful AMReye should preserve complete, discrete isolate/result metadata locally and provide validated region/site-specific adapters, rather than trying to transmit directly to every surveillance system from Reader firmware. Official anchors: </w:t>
      </w:r>
      <w:hyperlink r:id="rId46">
        <w:r>
          <w:rPr>
            <w:rFonts w:ascii="Calibri" w:hAnsi="Calibri"/>
            <w:color w:val="000000"/>
            <w:sz w:val="22"/>
          </w:rPr>
          <w:t>https://www.ecdc.europa.eu/en/about-us/networks/disease-networks-and-laboratory-networks/ears-net-data</w:t>
        </w:r>
      </w:hyperlink>
      <w:r>
        <w:rPr>
          <w:rFonts w:ascii="Calibri" w:hAnsi="Calibri"/>
          <w:color w:val="000000"/>
          <w:sz w:val="20"/>
        </w:rPr>
        <w:t> ; </w:t>
      </w:r>
      <w:hyperlink r:id="rId47">
        <w:r>
          <w:rPr>
            <w:rFonts w:ascii="Calibri" w:hAnsi="Calibri"/>
            <w:color w:val="000000"/>
            <w:sz w:val="22"/>
          </w:rPr>
          <w:t>https://www.cdc.gov/nhsn/faqs/faq-ar.html</w:t>
        </w:r>
      </w:hyperlink>
      <w:r>
        <w:rPr>
          <w:rFonts w:ascii="Calibri" w:hAnsi="Calibri"/>
          <w:color w:val="000000"/>
          <w:sz w:val="20"/>
        </w:rPr>
        <w:t> ; </w:t>
      </w:r>
      <w:hyperlink r:id="rId48">
        <w:r>
          <w:rPr>
            <w:rFonts w:ascii="Calibri" w:hAnsi="Calibri"/>
            <w:color w:val="000000"/>
            <w:sz w:val="22"/>
          </w:rPr>
          <w:t>https://www.cdc.gov/nhsn/pdfs/pscmanual/11pscaurcurrent.pdf</w:t>
        </w:r>
      </w:hyperlink>
      <w:r>
        <w:rPr>
          <w:rFonts w:ascii="Calibri" w:hAnsi="Calibri"/>
          <w:color w:val="000000"/>
          <w:sz w:val="20"/>
        </w:rPr>
        <w:t> ; </w:t>
      </w:r>
      <w:hyperlink r:id="rId49">
        <w:r>
          <w:rPr>
            <w:rFonts w:ascii="Calibri" w:hAnsi="Calibri"/>
            <w:color w:val="000000"/>
            <w:sz w:val="22"/>
          </w:rPr>
          <w:t>https://www.who.int/initiatives/glass</w:t>
        </w:r>
      </w:hyperlink>
      <w:r>
        <w:rPr>
          <w:rFonts w:ascii="Calibri" w:hAnsi="Calibri"/>
          <w:color w:val="000000"/>
          <w:sz w:val="20"/>
        </w:rPr>
        <w:t> .</w:t>
      </w:r>
    </w:p>
    <w:p>
      <w:pPr>
        <w:pStyle w:val="Normal"/>
        <w:spacing w:before="0" w:after="50" w:line="250" w:lineRule="auto"/>
        <w:rPr/>
      </w:pPr>
      <w:r>
        <w:rPr>
          <w:rFonts w:ascii="Calibri" w:hAnsi="Calibri"/>
          <w:color w:val="000000"/>
          <w:sz w:val="20"/>
        </w:rPr>
        <w:t>Regional deployment patterns ;  AFRICA, SOUTH-EAST ASIA, LATIN AMERICA/CARIBBEAN: Africa CDC’s AMR Control Framework 2026-2030 prioritizes equitable access to diagnostics, One Health coordination, surveillance supported by robust data governance and stronger laboratory systems, with specific recognition that fragile/conflict-affected settings need flexible service models. Africa CDC’s ARILAC programme, launched with ASLM/EU in May 2026, reported that only about 20% of laboratories in the programme context currently use automated pathogen-ID or AST systems and is investing in microbiology capacity, QA, automated ID/AST and connected surveillance; RISLNET links national public-health institutes, academic/private/public laboratories and veterinary networks. For AMReye this supports a hypothesis for modular/offline readers, remote review, QA/training and interoperable exports in selected laboratories; but not a continent-wide market-size claim or assumption that disk diffusion is the correct assay everywhere. Official anchors: </w:t>
      </w:r>
      <w:hyperlink r:id="rId50">
        <w:r>
          <w:rPr>
            <w:rFonts w:ascii="Calibri" w:hAnsi="Calibri"/>
            <w:color w:val="000000"/>
            <w:sz w:val="22"/>
          </w:rPr>
          <w:t>https://africacdc.org/download/antimicrobial-resistance-control-framework-2026-2030/</w:t>
        </w:r>
      </w:hyperlink>
      <w:r>
        <w:rPr>
          <w:rFonts w:ascii="Calibri" w:hAnsi="Calibri"/>
          <w:color w:val="000000"/>
          <w:sz w:val="20"/>
        </w:rPr>
        <w:t> ; </w:t>
      </w:r>
      <w:hyperlink r:id="rId51">
        <w:r>
          <w:rPr>
            <w:rFonts w:ascii="Calibri" w:hAnsi="Calibri"/>
            <w:color w:val="000000"/>
            <w:sz w:val="22"/>
          </w:rPr>
          <w:t>https://africacdc.org/news-item/africa-cdc-aslm-and-the-european-union-launch-one-health-laboratory-initiative-to-strengthen-amr-control-in-africa/</w:t>
        </w:r>
      </w:hyperlink>
      <w:r>
        <w:rPr>
          <w:rFonts w:ascii="Calibri" w:hAnsi="Calibri"/>
          <w:color w:val="000000"/>
          <w:sz w:val="20"/>
        </w:rPr>
        <w:t> ; </w:t>
      </w:r>
      <w:hyperlink r:id="rId52">
        <w:r>
          <w:rPr>
            <w:rFonts w:ascii="Calibri" w:hAnsi="Calibri"/>
            <w:color w:val="000000"/>
            <w:sz w:val="22"/>
          </w:rPr>
          <w:t>https://africacdc.org/rislnet/</w:t>
        </w:r>
      </w:hyperlink>
      <w:r>
        <w:rPr>
          <w:rFonts w:ascii="Calibri" w:hAnsi="Calibri"/>
          <w:color w:val="000000"/>
          <w:sz w:val="20"/>
        </w:rPr>
        <w:t> .</w:t>
      </w:r>
    </w:p>
    <w:p>
      <w:pPr>
        <w:pStyle w:val="Normal"/>
        <w:spacing w:before="0" w:after="50" w:line="250" w:lineRule="auto"/>
        <w:rPr/>
      </w:pPr>
      <w:r>
        <w:rPr>
          <w:rFonts w:ascii="Calibri" w:hAnsi="Calibri"/>
          <w:color w:val="000000"/>
          <w:sz w:val="20"/>
        </w:rPr>
        <w:t>WHO South-East Asia’s current regional laboratory roadmap (2023-2027) emphasizes diagnostic preparedness, integrated laboratory networking and genomic surveillance; a 2026 regional surveillance consultation likewise prioritizes data quality, laboratory strengthening, governance, collaboration and system integration. Product implication: in this region AMReye should be one phenotypic component in a mixed diagnostic ecosystem that also includes molecular/genomic methods; it should export interoperable results and not compete with sequencing where sequencing answers a different question. Official anchors: </w:t>
      </w:r>
      <w:hyperlink r:id="rId53">
        <w:r>
          <w:rPr>
            <w:rFonts w:ascii="Calibri" w:hAnsi="Calibri"/>
            <w:color w:val="000000"/>
            <w:sz w:val="22"/>
          </w:rPr>
          <w:t>https://www.who.int/publications/i/item/9789290209942</w:t>
        </w:r>
      </w:hyperlink>
      <w:r>
        <w:rPr>
          <w:rFonts w:ascii="Calibri" w:hAnsi="Calibri"/>
          <w:color w:val="000000"/>
          <w:sz w:val="20"/>
        </w:rPr>
        <w:t> ; </w:t>
      </w:r>
      <w:hyperlink r:id="rId54">
        <w:r>
          <w:rPr>
            <w:rFonts w:ascii="Calibri" w:hAnsi="Calibri"/>
            <w:color w:val="000000"/>
            <w:sz w:val="22"/>
          </w:rPr>
          <w:t>https://www.who.int/publications/i/item/sea-hdc-1</w:t>
        </w:r>
      </w:hyperlink>
      <w:r>
        <w:rPr>
          <w:rFonts w:ascii="Calibri" w:hAnsi="Calibri"/>
          <w:color w:val="000000"/>
          <w:sz w:val="20"/>
        </w:rPr>
        <w:t> .</w:t>
      </w:r>
    </w:p>
    <w:p>
      <w:pPr>
        <w:pStyle w:val="Normal"/>
        <w:spacing w:before="0" w:after="50" w:line="250" w:lineRule="auto"/>
        <w:rPr/>
      </w:pPr>
      <w:r>
        <w:rPr>
          <w:rFonts w:ascii="Calibri" w:hAnsi="Calibri"/>
          <w:color w:val="000000"/>
          <w:sz w:val="20"/>
        </w:rPr>
        <w:t>In Latin America and the Caribbean, PAHO’s ReLAVRA+ network is built around national reference laboratories, comparable/reproducible AMR data, isolate-level surveillance, capacity-building and EQA; PAHO’s 2025 network overview states that ReLAVRA+ has expanded to 33 countries. A 2026 Caribbean laboratory programme is actively strengthening LIMS/WHONET and deploying high-end systems such as VITEK 2, MALDI-TOF and IR Biotyper alongside standardized data flows. AMReye’s plausible niche therefore varies by site: in lower-automation settings it may be a standardized image reader; in highly equipped laboratories it is more plausibly a complementary disk-diffusion/QC/research/remote-review layer or an interoperable data source rather than a replacement for installed automated ID/AST platforms. Official anchors: </w:t>
      </w:r>
      <w:hyperlink r:id="rId55">
        <w:r>
          <w:rPr>
            <w:rFonts w:ascii="Calibri" w:hAnsi="Calibri"/>
            <w:color w:val="000000"/>
            <w:sz w:val="22"/>
          </w:rPr>
          <w:t>https://www.paho.org/en/topics/antimicrobial-resistance/latin-american-and-caribbean-network-antimicrobial-resistance</w:t>
        </w:r>
      </w:hyperlink>
      <w:r>
        <w:rPr>
          <w:rFonts w:ascii="Calibri" w:hAnsi="Calibri"/>
          <w:color w:val="000000"/>
          <w:sz w:val="20"/>
        </w:rPr>
        <w:t> ; </w:t>
      </w:r>
      <w:hyperlink r:id="rId56">
        <w:r>
          <w:rPr>
            <w:rFonts w:ascii="Calibri" w:hAnsi="Calibri"/>
            <w:color w:val="000000"/>
            <w:sz w:val="22"/>
          </w:rPr>
          <w:t>https://www.paho.org/en/documents/relavra-leading-fight-against-antimicrobial-resistance-latin-america-and-caribbean</w:t>
        </w:r>
      </w:hyperlink>
      <w:r>
        <w:rPr>
          <w:rFonts w:ascii="Calibri" w:hAnsi="Calibri"/>
          <w:color w:val="000000"/>
          <w:sz w:val="20"/>
        </w:rPr>
        <w:t> ; </w:t>
      </w:r>
      <w:hyperlink r:id="rId57">
        <w:r>
          <w:rPr>
            <w:rFonts w:ascii="Calibri" w:hAnsi="Calibri"/>
            <w:color w:val="000000"/>
            <w:sz w:val="22"/>
          </w:rPr>
          <w:t>https://www.paho.org/en/news/10-4-2026-caribbean-laboratory-professionals-participating-training-lims-and-new-technologies</w:t>
        </w:r>
      </w:hyperlink>
      <w:r>
        <w:rPr>
          <w:rFonts w:ascii="Calibri" w:hAnsi="Calibri"/>
          <w:color w:val="000000"/>
          <w:sz w:val="20"/>
        </w:rPr>
        <w:t> ; </w:t>
      </w:r>
      <w:hyperlink r:id="rId58">
        <w:r>
          <w:rPr>
            <w:rFonts w:ascii="Calibri" w:hAnsi="Calibri"/>
            <w:color w:val="000000"/>
            <w:sz w:val="22"/>
          </w:rPr>
          <w:t>https://www.paho.org/en/news/10-4-2026-equipment-update-uk-fleming-fund-and-paho-strengthening-laboratory-capacity-across</w:t>
        </w:r>
      </w:hyperlink>
      <w:r>
        <w:rPr>
          <w:rFonts w:ascii="Calibri" w:hAnsi="Calibri"/>
          <w:color w:val="000000"/>
          <w:sz w:val="20"/>
        </w:rPr>
        <w:t> .</w:t>
      </w:r>
    </w:p>
    <w:p>
      <w:pPr>
        <w:pStyle w:val="Normal"/>
        <w:spacing w:before="0" w:after="50" w:line="250" w:lineRule="auto"/>
        <w:rPr/>
      </w:pPr>
      <w:r>
        <w:rPr>
          <w:rFonts w:ascii="Calibri" w:hAnsi="Calibri"/>
          <w:color w:val="000000"/>
          <w:sz w:val="20"/>
        </w:rPr>
        <w:t>WHO laboratory-SOP watch item ;  DRAFT/CONSULTATION SOURCE, NOT YET A FINAL STANDARD: WHO published a 20 May 2026 consultation package for a Toolkit for Standard Operating Procedures for Bacteriology, Mycology and Antimicrobial Susceptibility Testing. The draft toolkit is designed for standardized, practical laboratory workflows and includes specimen processing, organism identification, bacterial/antifungal susceptibility testing, resistance-mechanism detection, QC/QA, biosafety, storage and reporting, with particular attention to widely accessible methods and LMIC laboratories. Public feedback closed 30 June 2026. Until WHO publishes a final toolkit/version, use it only as a source-discovery and workflow-design reference; do not cite draft SOP text as a final regulatory or method requirement. Watch for the final release and reconcile it against CLSI/EUCAST/ICMR/NCDC workflows when available. Consultation anchor: </w:t>
      </w:r>
      <w:hyperlink r:id="rId59">
        <w:r>
          <w:rPr>
            <w:rFonts w:ascii="Calibri" w:hAnsi="Calibri"/>
            <w:color w:val="000000"/>
            <w:sz w:val="22"/>
          </w:rPr>
          <w:t>https://www.who.int/news-room/articles-detail/who-toolkit-for-standard-operating-procedures-for-bacteriology--mycology-and-antimicrobial-susceptibility-testing</w:t>
        </w:r>
      </w:hyperlink>
      <w:r>
        <w:rPr>
          <w:rFonts w:ascii="Calibri" w:hAnsi="Calibri"/>
          <w:color w:val="000000"/>
          <w:sz w:val="20"/>
        </w:rPr>
        <w:t> .</w:t>
      </w:r>
    </w:p>
    <w:p>
      <w:pPr>
        <w:pStyle w:val="Normal"/>
        <w:spacing w:before="0" w:after="50" w:line="250" w:lineRule="auto"/>
        <w:rPr/>
      </w:pPr>
      <w:r>
        <w:rPr>
          <w:rFonts w:ascii="Calibri" w:hAnsi="Calibri"/>
          <w:color w:val="000000"/>
          <w:sz w:val="20"/>
        </w:rPr>
        <w:t>Current burden framing should use modern estimates rather than the old 10-million-deaths-by-2050 scenario as the primary forecast. The GBD 2021 AMR analysis (Lancet 2024; DOI 10.1016/S0140-6736(24)01867-1) estimated 4.71 million deaths associated with bacterial AMR and 1.14 million attributable in 2021; its reference forecast for 2050 was 8.22 million associated and 1.91 million attributable deaths annually, with high forecast mortality rates in South Asia and Latin America/Caribbean. Associated and attributable deaths must remain distinct.</w:t>
      </w:r>
    </w:p>
    <w:p>
      <w:pPr>
        <w:pStyle w:val="Normal"/>
        <w:spacing w:before="0" w:after="50" w:line="250" w:lineRule="auto"/>
        <w:rPr/>
      </w:pPr>
      <w:r>
        <w:rPr>
          <w:rFonts w:ascii="Calibri" w:hAnsi="Calibri"/>
          <w:color w:val="000000"/>
          <w:sz w:val="20"/>
        </w:rPr>
        <w:t>Global product/use-case families to investigate: hospital and diagnostic-laboratory endpoint disk-diffusion reading; decentralized/offline laboratories where manual disk diffusion remains important; human-reviewed rapid/early-read disk-diffusion pathways; research/teaching/EQA and plate-image archives; facility antibiograms and surveillance export; veterinary diagnostic AST; aquaculture AST; food/public-health isolate testing; and environmental isolate phenotyping. Each requires the applicable standard and separate validation. Human CLSI/EUCAST breakpoints must not be automatically reused for animals or aquatic pathogens. CLSI VET01 provides animal AST disk/dilution methods and explicitly covers veterinary, public-health, research, food and environmental laboratories; CLSI VET03/VET04 provide separate standardized methods/interpretation for aquatic animal bacteria, including different incubation conditions. Official references: </w:t>
      </w:r>
      <w:hyperlink r:id="rId60">
        <w:r>
          <w:rPr>
            <w:rFonts w:ascii="Calibri" w:hAnsi="Calibri"/>
            <w:color w:val="000000"/>
            <w:sz w:val="22"/>
          </w:rPr>
          <w:t>https://clsi.org/shop/standards/vet01/</w:t>
        </w:r>
      </w:hyperlink>
      <w:r>
        <w:rPr>
          <w:rFonts w:ascii="Calibri" w:hAnsi="Calibri"/>
          <w:color w:val="000000"/>
          <w:sz w:val="20"/>
        </w:rPr>
        <w:t> ; </w:t>
      </w:r>
      <w:hyperlink r:id="rId61">
        <w:r>
          <w:rPr>
            <w:rFonts w:ascii="Calibri" w:hAnsi="Calibri"/>
            <w:color w:val="000000"/>
            <w:sz w:val="22"/>
          </w:rPr>
          <w:t>https://clsi.org/shop/standards/vet03/</w:t>
        </w:r>
      </w:hyperlink>
      <w:r>
        <w:rPr>
          <w:rFonts w:ascii="Calibri" w:hAnsi="Calibri"/>
          <w:color w:val="000000"/>
          <w:sz w:val="20"/>
        </w:rPr>
        <w:t> ; </w:t>
      </w:r>
      <w:hyperlink r:id="rId62">
        <w:r>
          <w:rPr>
            <w:rFonts w:ascii="Calibri" w:hAnsi="Calibri"/>
            <w:color w:val="000000"/>
            <w:sz w:val="22"/>
          </w:rPr>
          <w:t>https://clsi.org/shop/standards/vet04/</w:t>
        </w:r>
      </w:hyperlink>
      <w:r>
        <w:rPr>
          <w:rFonts w:ascii="Calibri" w:hAnsi="Calibri"/>
          <w:color w:val="000000"/>
          <w:sz w:val="20"/>
        </w:rPr>
        <w:t> . VET04 interpretive tables are valid only when used with the VET03 aquatic-animal methods; this reinforces the rule that sector-specific methods and breakpoints must travel together rather than reusing the human profile. EUCAST VetCAST is also developing veterinary clinical breakpoints: as of 17 September 2026, EUCAST still presents the first VetCAST breakpoint table v1.0 as a preliminary public-consultation document rather than a final production table. Therefore the standards engine should be architected to add a future validated VetCAST profile, but preliminary values must not be hard-coded into clinical output. Current status anchor: </w:t>
      </w:r>
      <w:hyperlink r:id="rId63">
        <w:r>
          <w:rPr>
            <w:rFonts w:ascii="Calibri" w:hAnsi="Calibri"/>
            <w:color w:val="000000"/>
            <w:sz w:val="22"/>
          </w:rPr>
          <w:t>https://www.eucast.org/vetcast/</w:t>
        </w:r>
      </w:hyperlink>
      <w:r>
        <w:rPr>
          <w:rFonts w:ascii="Calibri" w:hAnsi="Calibri"/>
          <w:color w:val="000000"/>
          <w:sz w:val="20"/>
        </w:rPr>
        <w:t> and </w:t>
      </w:r>
      <w:hyperlink r:id="rId64">
        <w:r>
          <w:rPr>
            <w:rFonts w:ascii="Calibri" w:hAnsi="Calibri"/>
            <w:color w:val="000000"/>
            <w:sz w:val="22"/>
          </w:rPr>
          <w:t>https://www.eucast.org/about-eucast/public-consultations/</w:t>
        </w:r>
      </w:hyperlink>
      <w:r>
        <w:rPr>
          <w:rFonts w:ascii="Calibri" w:hAnsi="Calibri"/>
          <w:color w:val="000000"/>
          <w:sz w:val="20"/>
        </w:rPr>
        <w:t> .</w:t>
      </w:r>
    </w:p>
    <w:p>
      <w:pPr>
        <w:pStyle w:val="Normal"/>
        <w:spacing w:before="0" w:after="50" w:line="250" w:lineRule="auto"/>
        <w:rPr/>
      </w:pPr>
      <w:r>
        <w:rPr>
          <w:rFonts w:ascii="Calibri" w:hAnsi="Calibri"/>
          <w:color w:val="000000"/>
          <w:sz w:val="20"/>
        </w:rPr>
        <w:t>Food/One-Health surveillance does not automatically imply a disk-diffusion hardware market. The U.S. FDA/CDC/USDA National Antimicrobial Resistance Monitoring System (NARMS) 2026-2030 strategy combines phenotypic AST with whole-genome sequencing across human, animal, food and other prioritized sources, and its surveillance architecture is designed around integrated phenotypic/genotypic data rather than a single reader technology. This is a useful global model for AMReye: where a sector uses disk diffusion under an accepted method, the reader can contribute standardized phenotype/data capture; where surveillance is based on broth microdilution, WGS or other methods, AMReye should integrate/import the resulting data instead of forcing a disk-diffusion workflow. Official anchors: </w:t>
      </w:r>
      <w:hyperlink r:id="rId65">
        <w:r>
          <w:rPr>
            <w:rFonts w:ascii="Calibri" w:hAnsi="Calibri"/>
            <w:color w:val="000000"/>
            <w:sz w:val="22"/>
          </w:rPr>
          <w:t>https://www.fda.gov/animal-veterinary/cvm-updates/fda-releases-national-antimicrobial-resistance-monitoring-system-narms-strategic-plan-2026-2030</w:t>
        </w:r>
      </w:hyperlink>
      <w:r>
        <w:rPr>
          <w:rFonts w:ascii="Calibri" w:hAnsi="Calibri"/>
          <w:color w:val="000000"/>
          <w:sz w:val="20"/>
        </w:rPr>
        <w:t> ; </w:t>
      </w:r>
      <w:hyperlink r:id="rId66">
        <w:r>
          <w:rPr>
            <w:rFonts w:ascii="Calibri" w:hAnsi="Calibri"/>
            <w:color w:val="000000"/>
            <w:sz w:val="22"/>
          </w:rPr>
          <w:t>https://www.fda.gov/media/79976/download</w:t>
        </w:r>
      </w:hyperlink>
      <w:r>
        <w:rPr>
          <w:rFonts w:ascii="Calibri" w:hAnsi="Calibri"/>
          <w:color w:val="000000"/>
          <w:sz w:val="20"/>
        </w:rPr>
        <w:t> ; </w:t>
      </w:r>
      <w:hyperlink r:id="rId67">
        <w:r>
          <w:rPr>
            <w:rFonts w:ascii="Calibri" w:hAnsi="Calibri"/>
            <w:color w:val="000000"/>
            <w:sz w:val="22"/>
          </w:rPr>
          <w:t>https://www.fda.gov/animal-veterinary/national-antimicrobial-resistance-monitoring-system/narms-resources</w:t>
        </w:r>
      </w:hyperlink>
      <w:r>
        <w:rPr>
          <w:rFonts w:ascii="Calibri" w:hAnsi="Calibri"/>
          <w:color w:val="000000"/>
          <w:sz w:val="20"/>
        </w:rPr>
        <w:t> .</w:t>
      </w:r>
    </w:p>
    <w:p>
      <w:pPr>
        <w:pStyle w:val="Heading3"/>
        <w:keepNext/>
        <w:keepLines/>
        <w:spacing w:before="240" w:after="120" w:line="269" w:lineRule="auto"/>
      </w:pPr>
      <w:r>
        <w:rPr>
          <w:color w:val="000000"/>
        </w:rPr>
        <w:t>Spaceflight and extraterrestrial-habitat microbiology ;  FUTURE R&amp;D</w:t>
      </w:r>
    </w:p>
    <w:p>
      <w:pPr>
        <w:pStyle w:val="Normal"/>
        <w:spacing w:before="0" w:after="50" w:line="250" w:lineRule="auto"/>
        <w:rPr/>
      </w:pPr>
      <w:r>
        <w:rPr>
          <w:rFonts w:ascii="Calibri" w:hAnsi="Calibri"/>
          <w:color w:val="000000"/>
          <w:sz w:val="20"/>
        </w:rPr>
        <w:t>Space is a scientifically real AMR/microbiology domain, but it is not a current AMReye product claim. NASA’s Microbial Tracking investigations monitor bacteria/fungi on the International Space Station, including antimicrobial-resistance and virulence genes; NASA’s GEARS investigation specifically studies antibiotic-resistant Enterococcus faecalis/faecium aboard the ISS for crew-health and long-duration-mission risk. Peer-reviewed ISS work has also combined genomics with phenotypic antibiotic-resistance testing. Evidence is not one-directional: some studies report resistance/adaptation differences, while other 2026 work found no detectable increase in antibiotic resistance under the tested conditions. Therefore do not claim that microgravity universally creates “superbugs.”</w:t>
      </w:r>
    </w:p>
    <w:p>
      <w:pPr>
        <w:pStyle w:val="Normal"/>
        <w:spacing w:before="0" w:after="50" w:line="250" w:lineRule="auto"/>
        <w:rPr/>
      </w:pPr>
      <w:r>
        <w:rPr>
          <w:rFonts w:ascii="Calibri" w:hAnsi="Calibri"/>
          <w:color w:val="000000"/>
          <w:sz w:val="20"/>
        </w:rPr>
        <w:t>Potential AMReye-derived space research roles, only after substantial redesign/validation, include: compact phenotypic AST of cultured crew/environmental isolates; automated plate imaging for air/surface/water microbial monitoring; cross-linking phenotypic AST with onboard sequencing; longitudinal tracking of microbial adaptation in closed habitats; antimicrobial-surface/material testing; and microbiology support for lunar/Mars habitats. Space-specific engineering would prioritize sealed operation/containment, low mass/power, low consumables, long shelf life, stable calibration, self-test, easy crew workflow, offline inference, delayed synchronization and robust audit trails. Earth clinical standards cannot simply be assumed valid for every space-isolated organism/workflow.</w:t>
      </w:r>
    </w:p>
    <w:p>
      <w:pPr>
        <w:pStyle w:val="Normal"/>
        <w:spacing w:before="0" w:after="50" w:line="250" w:lineRule="auto"/>
        <w:rPr/>
      </w:pPr>
      <w:r>
        <w:rPr>
          <w:rFonts w:ascii="Calibri" w:hAnsi="Calibri"/>
          <w:color w:val="000000"/>
          <w:sz w:val="20"/>
        </w:rPr>
        <w:t>NASA anchors: </w:t>
      </w:r>
      <w:hyperlink r:id="rId68">
        <w:r>
          <w:rPr>
            <w:rFonts w:ascii="Calibri" w:hAnsi="Calibri"/>
            <w:color w:val="000000"/>
            <w:sz w:val="22"/>
          </w:rPr>
          <w:t>https://science.nasa.gov/biological-physical/investigations/microbial-tracking-3/</w:t>
        </w:r>
      </w:hyperlink>
      <w:r>
        <w:rPr>
          <w:rFonts w:ascii="Calibri" w:hAnsi="Calibri"/>
          <w:color w:val="000000"/>
          <w:sz w:val="20"/>
        </w:rPr>
        <w:t> ; </w:t>
      </w:r>
      <w:hyperlink r:id="rId69">
        <w:r>
          <w:rPr>
            <w:rFonts w:ascii="Calibri" w:hAnsi="Calibri"/>
            <w:color w:val="000000"/>
            <w:sz w:val="22"/>
          </w:rPr>
          <w:t>https://science.nasa.gov/biological-physical/investigations/gears-genomic-enumeration-of-antibiotic-resistance-in-space/</w:t>
        </w:r>
      </w:hyperlink>
      <w:r>
        <w:rPr>
          <w:rFonts w:ascii="Calibri" w:hAnsi="Calibri"/>
          <w:color w:val="000000"/>
          <w:sz w:val="20"/>
        </w:rPr>
        <w:t> . Research anchor: Madrigal et al., Microbiome 2022, machine-learning/genomic AMR analysis of ISS microbiomes with phenotypic disk-assay validation in selected isolates.</w:t>
      </w:r>
    </w:p>
    <w:p>
      <w:pPr>
        <w:pStyle w:val="Heading3"/>
        <w:keepNext/>
        <w:keepLines/>
        <w:spacing w:before="240" w:after="120" w:line="269" w:lineRule="auto"/>
      </w:pPr>
      <w:r>
        <w:rPr>
          <w:color w:val="000000"/>
        </w:rPr>
        <w:t>25.4A India / ISRO space-biology pathway ;  EVIDENCE-BACKED RESEARCH ECOSYSTEM, FUTURE R&amp;D FOR AMReye</w:t>
      </w:r>
    </w:p>
    <w:p>
      <w:pPr>
        <w:pStyle w:val="Normal"/>
        <w:spacing w:before="0" w:after="50" w:line="250" w:lineRule="auto"/>
        <w:rPr/>
      </w:pPr>
      <w:r>
        <w:rPr>
          <w:rFonts w:ascii="Calibri" w:hAnsi="Calibri"/>
          <w:color w:val="000000"/>
          <w:sz w:val="20"/>
        </w:rPr>
        <w:t>India now has direct evidence of space-biology and microbial-monitoring activity relevant to an eventual AMReye-derived research instrument. ISRO’s POEM-4/PSLV-C60 programme carried RVSat-1 from RV College of Engineering, a microbiological experiment designed to measure growth kinetics of the human gut bacterium Bacteroides thetaiotaomicron under microgravity and compare it with Earth controls; ISRO later reported that POEM-4’s intended payload experiments, including growth of bacterium in microgravity, were successfully completed. This is evidence that compact Indian orbital microbial-growth experiments are already feasible; it is not AMReye validation and did not test AMReye AST.</w:t>
      </w:r>
    </w:p>
    <w:p>
      <w:pPr>
        <w:pStyle w:val="Normal"/>
        <w:spacing w:before="0" w:after="50" w:line="250" w:lineRule="auto"/>
        <w:rPr/>
      </w:pPr>
      <w:r>
        <w:rPr>
          <w:rFonts w:ascii="Calibri" w:hAnsi="Calibri"/>
          <w:color w:val="000000"/>
          <w:sz w:val="20"/>
        </w:rPr>
        <w:t>ISRO’s published Human Space Programme research areas separately identify microbial monitoring in microgravity as a research need, including in-flight identification/quantification and remote observation, together with microbial-control/disinfection research for water and habitat environments. The 2025 HOPE analogue mission in Ladakh also included refinement of sample-collection and microbial-analysis techniques for future human exploration. These programmes support research questions around closed-habitat microbial surveillance, longitudinal growth records and crew/environmental microbiology, while showing that AMReye would need to complement; not duplicate; non-culture molecular/species-monitoring approaches.</w:t>
      </w:r>
    </w:p>
    <w:p>
      <w:pPr>
        <w:pStyle w:val="Normal"/>
        <w:spacing w:before="0" w:after="50" w:line="250" w:lineRule="auto"/>
        <w:rPr/>
      </w:pPr>
      <w:r>
        <w:rPr>
          <w:rFonts w:ascii="Calibri" w:hAnsi="Calibri"/>
          <w:color w:val="000000"/>
          <w:sz w:val="20"/>
        </w:rPr>
        <w:t>The Indian Microgravity Experiments programme IMEx-2026 is an important future-access precedent. ISRO’s 29 January 2026 Announcement of Opportunity invited Space Biology and Biotechnology proposals from PIs at government-recognised academic institutions, national research laboratories, Indian startups and industry; applicants were expected first to demonstrate laboratory-scale scientific feasibility, with selected mature experiments potentially progressing through terrestrial microgravity validation toward ISRO-enabled LEO/Bharatiya Antariksh Station opportunities. The current 2026 cycle considered proposals submitted by 28 February 2026, so that deadline is historical and must not be presented as open. Future IMEx/HSFC calls should be monitored only after AMReye has a bounded space-biology experiment and Earth-side feasibility data.</w:t>
      </w:r>
    </w:p>
    <w:p>
      <w:pPr>
        <w:pStyle w:val="Normal"/>
        <w:spacing w:before="0" w:after="50" w:line="250" w:lineRule="auto"/>
        <w:rPr/>
      </w:pPr>
      <w:r>
        <w:rPr>
          <w:rFonts w:ascii="Calibri" w:hAnsi="Calibri"/>
          <w:color w:val="000000"/>
          <w:sz w:val="20"/>
        </w:rPr>
        <w:t>ISRO and AIIMS New Delhi signed a March 2026 framework MoU on Space Medicine and Research that explicitly includes immunology/gut microbiome, infectious-disease control and countermeasures, biomedical research and long-duration human-spaceflight health. ISRO and DBT have also established a space-biotechnology collaboration intended to support research and future biotechnology experimentation associated with Bharatiya Antariksh Station. These create evidence-backed stakeholder/research categories, not an AMReye partnership or eligibility claim.</w:t>
      </w:r>
    </w:p>
    <w:p>
      <w:pPr>
        <w:pStyle w:val="Normal"/>
        <w:spacing w:before="0" w:after="50" w:line="250" w:lineRule="auto"/>
        <w:rPr/>
      </w:pPr>
      <w:r>
        <w:rPr>
          <w:rFonts w:ascii="Calibri" w:hAnsi="Calibri"/>
          <w:color w:val="000000"/>
          <w:sz w:val="20"/>
        </w:rPr>
        <w:t>A credible Indian-space AMReye proposal should therefore begin as a narrow research instrument; for example, calibrated longitudinal phenotyping of an approved non-hazardous microbial model under altered gravity or closed-habitat conditions, or controlled culture-based confirmation complementary to non-culture microbial monitoring; rather than proposing clinical astronaut AST before Earth validation. It would require flight-compatible containment, thermal control, low power/mass, autonomous operation, ground controls, biological safety, sample/consumable stability, vibration/launch qualification, mission data handling and explicit scientific hypotheses. Official anchors: </w:t>
      </w:r>
      <w:hyperlink r:id="rId70">
        <w:r>
          <w:rPr>
            <w:rFonts w:ascii="Calibri" w:hAnsi="Calibri"/>
            <w:color w:val="000000"/>
            <w:sz w:val="22"/>
          </w:rPr>
          <w:t>https://www.isro.gov.in/POEM_4_Payloads_spadex.html</w:t>
        </w:r>
      </w:hyperlink>
      <w:r>
        <w:rPr>
          <w:rFonts w:ascii="Calibri" w:hAnsi="Calibri"/>
          <w:color w:val="000000"/>
          <w:sz w:val="20"/>
        </w:rPr>
        <w:t> ; </w:t>
      </w:r>
      <w:hyperlink r:id="rId71">
        <w:r>
          <w:rPr>
            <w:rFonts w:ascii="Calibri" w:hAnsi="Calibri"/>
            <w:color w:val="000000"/>
            <w:sz w:val="22"/>
          </w:rPr>
          <w:t>https://www.isro.gov.in/POEMCompletedOrbitsSpace.html</w:t>
        </w:r>
      </w:hyperlink>
      <w:r>
        <w:rPr>
          <w:rFonts w:ascii="Calibri" w:hAnsi="Calibri"/>
          <w:color w:val="000000"/>
          <w:sz w:val="20"/>
        </w:rPr>
        <w:t> ; </w:t>
      </w:r>
      <w:hyperlink r:id="rId72">
        <w:r>
          <w:rPr>
            <w:rFonts w:ascii="Calibri" w:hAnsi="Calibri"/>
            <w:color w:val="000000"/>
            <w:sz w:val="22"/>
          </w:rPr>
          <w:t>https://www.isro.gov.in/media_isro/pdf/programme/Research_Areas_in_Space_for_web2023.pdf</w:t>
        </w:r>
      </w:hyperlink>
      <w:r>
        <w:rPr>
          <w:rFonts w:ascii="Calibri" w:hAnsi="Calibri"/>
          <w:color w:val="000000"/>
          <w:sz w:val="20"/>
        </w:rPr>
        <w:t> ; </w:t>
      </w:r>
      <w:hyperlink r:id="rId73">
        <w:r>
          <w:rPr>
            <w:rFonts w:ascii="Calibri" w:hAnsi="Calibri"/>
            <w:color w:val="000000"/>
            <w:sz w:val="22"/>
          </w:rPr>
          <w:t>https://www.isro.gov.in/Space_Analog_Mission.html</w:t>
        </w:r>
      </w:hyperlink>
      <w:r>
        <w:rPr>
          <w:rFonts w:ascii="Calibri" w:hAnsi="Calibri"/>
          <w:color w:val="000000"/>
          <w:sz w:val="20"/>
        </w:rPr>
        <w:t> ; </w:t>
      </w:r>
      <w:hyperlink r:id="rId74">
        <w:r>
          <w:rPr>
            <w:rFonts w:ascii="Calibri" w:hAnsi="Calibri"/>
            <w:color w:val="000000"/>
            <w:sz w:val="22"/>
          </w:rPr>
          <w:t>https://www.isro.gov.in/IndianMicrogravityExperiments_IMEx2026.html</w:t>
        </w:r>
      </w:hyperlink>
      <w:r>
        <w:rPr>
          <w:rFonts w:ascii="Calibri" w:hAnsi="Calibri"/>
          <w:color w:val="000000"/>
          <w:sz w:val="20"/>
        </w:rPr>
        <w:t> ; </w:t>
      </w:r>
      <w:hyperlink r:id="rId75">
        <w:r>
          <w:rPr>
            <w:rFonts w:ascii="Calibri" w:hAnsi="Calibri"/>
            <w:color w:val="000000"/>
            <w:sz w:val="22"/>
          </w:rPr>
          <w:t>https://www.isro.gov.in/ISRO_AIIMS_NewDelhi_signs_Framework_Memorandum.html</w:t>
        </w:r>
      </w:hyperlink>
      <w:r>
        <w:rPr>
          <w:rFonts w:ascii="Calibri" w:hAnsi="Calibri"/>
          <w:color w:val="000000"/>
          <w:sz w:val="20"/>
        </w:rPr>
        <w:t> ; </w:t>
      </w:r>
      <w:hyperlink r:id="rId76">
        <w:r>
          <w:rPr>
            <w:rFonts w:ascii="Calibri" w:hAnsi="Calibri"/>
            <w:color w:val="000000"/>
            <w:sz w:val="22"/>
          </w:rPr>
          <w:t>https://new1.isro.gov.in/DBT_ISRO_signs_Framework_Memorandum_of_Understanding_on_Cooperation_in_Space_Biotechnology.html</w:t>
        </w:r>
      </w:hyperlink>
      <w:r>
        <w:rPr>
          <w:rFonts w:ascii="Calibri" w:hAnsi="Calibri"/>
          <w:color w:val="000000"/>
          <w:sz w:val="20"/>
        </w:rPr>
        <w:t> .</w:t>
      </w:r>
    </w:p>
    <w:p>
      <w:pPr>
        <w:pStyle w:val="Heading3"/>
        <w:keepNext/>
        <w:keepLines/>
        <w:spacing w:before="240" w:after="120" w:line="269" w:lineRule="auto"/>
      </w:pPr>
      <w:r>
        <w:rPr>
          <w:color w:val="000000"/>
        </w:rPr>
        <w:t>Planetary protection and astrobiology / “alien microbes” ;  SPECULATIVE FUTURE R&amp;D</w:t>
      </w:r>
    </w:p>
    <w:p>
      <w:pPr>
        <w:pStyle w:val="Normal"/>
        <w:spacing w:before="0" w:after="50" w:line="250" w:lineRule="auto"/>
        <w:rPr/>
      </w:pPr>
      <w:r>
        <w:rPr>
          <w:rFonts w:ascii="Calibri" w:hAnsi="Calibri"/>
          <w:color w:val="000000"/>
          <w:sz w:val="20"/>
        </w:rPr>
        <w:t>No extraterrestrial life has been confirmed. NASA states that it has not found credible evidence of extraterrestrial life, and its astrobiology programme describes the search for life rather than an existing alien-microbe sample base. Therefore AMReye must not claim an “alien AST” capability today.</w:t>
      </w:r>
    </w:p>
    <w:p>
      <w:pPr>
        <w:pStyle w:val="Normal"/>
        <w:spacing w:before="0" w:after="50" w:line="250" w:lineRule="auto"/>
        <w:rPr/>
      </w:pPr>
      <w:r>
        <w:rPr>
          <w:rFonts w:ascii="Calibri" w:hAnsi="Calibri"/>
          <w:color w:val="000000"/>
          <w:sz w:val="20"/>
        </w:rPr>
        <w:t>A scientifically defensible speculative extension is generic growth-response metrology: if future missions recover or culture a replicating non-terrestrial biological system under authorized planetary-protection/containment conditions, AMReye-like imaging could potentially quantify growth, inhibition, morphology and time-series response to experimentally selected environmental or chemical perturbations. That would be an astrobiology research instrument, not clinical AST. Earth antibiotics, bacterial taxonomy, CLSI/EUCAST breakpoints, susceptibility categories and therapeutic meaning could not be assumed to apply. The more immediate planetary-protection-adjacent use is terrestrial bioburden/contamination monitoring of spacecraft or returned-sample facilities, again only under mission-specific validated methods.</w:t>
      </w:r>
    </w:p>
    <w:p>
      <w:pPr>
        <w:pStyle w:val="Normal"/>
        <w:spacing w:before="0" w:after="50" w:line="250" w:lineRule="auto"/>
        <w:rPr/>
      </w:pPr>
      <w:r>
        <w:rPr>
          <w:rFonts w:ascii="Calibri" w:hAnsi="Calibri"/>
          <w:color w:val="000000"/>
          <w:sz w:val="20"/>
        </w:rPr>
        <w:t>Planetary-protection work is fundamentally about limiting forward contamination of Solar System bodies and protecting Earth from potentially hazardous returned biological material. Any such AMReye extension would require mission-agency authorization, contamination control, biosafety/planetary-protection governance and assay-specific validation. NASA references: </w:t>
      </w:r>
      <w:hyperlink r:id="rId77">
        <w:r>
          <w:rPr>
            <w:rFonts w:ascii="Calibri" w:hAnsi="Calibri"/>
            <w:color w:val="000000"/>
            <w:sz w:val="22"/>
          </w:rPr>
          <w:t>https://astrobiology.nasa.gov/research/astrobiology-at-nasa/planetary-protection-research/</w:t>
        </w:r>
      </w:hyperlink>
      <w:r>
        <w:rPr>
          <w:rFonts w:ascii="Calibri" w:hAnsi="Calibri"/>
          <w:color w:val="000000"/>
          <w:sz w:val="20"/>
        </w:rPr>
        <w:t> and </w:t>
      </w:r>
      <w:hyperlink r:id="rId78">
        <w:r>
          <w:rPr>
            <w:rFonts w:ascii="Calibri" w:hAnsi="Calibri"/>
            <w:color w:val="000000"/>
            <w:sz w:val="22"/>
          </w:rPr>
          <w:t>https://astrobiology.nasa.gov/about/</w:t>
        </w:r>
      </w:hyperlink>
      <w:r>
        <w:rPr>
          <w:rFonts w:ascii="Calibri" w:hAnsi="Calibri"/>
          <w:color w:val="000000"/>
          <w:sz w:val="20"/>
        </w:rPr>
        <w:t> .</w:t>
      </w:r>
    </w:p>
    <w:p>
      <w:pPr>
        <w:pStyle w:val="Heading3"/>
        <w:keepNext/>
        <w:keepLines/>
        <w:spacing w:before="240" w:after="120" w:line="269" w:lineRule="auto"/>
      </w:pPr>
      <w:r>
        <w:rPr>
          <w:color w:val="000000"/>
        </w:rPr>
        <w:t>Deployment maturity matrix</w:t>
      </w:r>
    </w:p>
    <w:p>
      <w:pPr>
        <w:pStyle w:val="Normal"/>
        <w:spacing w:before="0" w:after="50" w:line="250" w:lineRule="auto"/>
        <w:rPr/>
      </w:pPr>
      <w:r>
        <w:rPr>
          <w:rFonts w:ascii="Calibri" w:hAnsi="Calibri"/>
          <w:color w:val="000000"/>
          <w:sz w:val="20"/>
        </w:rPr>
        <w:t>BUILD NOW / CORE: human endpoint disk-diffusion Reader V1 with metrology, QC/abstention, human review, versioned standards and export.</w:t>
      </w:r>
    </w:p>
    <w:p>
      <w:pPr>
        <w:pStyle w:val="Normal"/>
        <w:spacing w:before="0" w:after="50" w:line="250" w:lineRule="auto"/>
        <w:rPr/>
      </w:pPr>
      <w:r>
        <w:rPr>
          <w:rFonts w:ascii="Calibri" w:hAnsi="Calibri"/>
          <w:color w:val="000000"/>
          <w:sz w:val="20"/>
        </w:rPr>
        <w:t>TEST NOW / LOW-RISK SOFTWARE: Validation Mode; material/lot provenance; local QC/distribution-drift dashboard; standards-version/change log; research-grade remote REVIEW PACKAGE; WHONET/FHIR/LOINC-compatible export prototypes. These can be developed against research/synthetic/de-identified data without claiming clinical deployment.</w:t>
      </w:r>
    </w:p>
    <w:p>
      <w:pPr>
        <w:pStyle w:val="Normal"/>
        <w:spacing w:before="0" w:after="50" w:line="250" w:lineRule="auto"/>
        <w:rPr/>
      </w:pPr>
      <w:r>
        <w:rPr>
          <w:rFonts w:ascii="Calibri" w:hAnsi="Calibri"/>
          <w:color w:val="000000"/>
          <w:sz w:val="20"/>
        </w:rPr>
        <w:t>NEXT-STAGE, DIRECT READER/DATA EXTENSIONS WITH SEPARATE VALIDATION: UTI/urine-culture imaging; facility antibiograms/AMS analytics; selected rapid/early-read disk-diffusion workflows; CLSI M44 antifungal disk diffusion for supported yeasts; EUCAST rapidly growing anaerobe disk diffusion; method-specific phenotypic multi-disk screens such as D-zone-type workflows; authorized remote clinical review after privacy/workflow validation.</w:t>
      </w:r>
    </w:p>
    <w:p>
      <w:pPr>
        <w:pStyle w:val="Normal"/>
        <w:spacing w:before="0" w:after="50" w:line="250" w:lineRule="auto"/>
        <w:rPr/>
      </w:pPr>
      <w:r>
        <w:rPr>
          <w:rFonts w:ascii="Calibri" w:hAnsi="Calibri"/>
          <w:color w:val="000000"/>
          <w:sz w:val="20"/>
        </w:rPr>
        <w:t>NEXT-STAGE, SEPARATE INTENDED USE / STANDARDS / DATASET: veterinary/livestock AST; aquatic/fisheries AST; food/public-health isolate AST; veterinary chromogenic/on-farm culture interpretation; water membrane-filter/chromogenic colony enumeration; pharmaceutical antibiotic-potency microbiological assays; antimicrobial-material agar-diffusion measurement.</w:t>
      </w:r>
    </w:p>
    <w:p>
      <w:pPr>
        <w:pStyle w:val="Normal"/>
        <w:spacing w:before="0" w:after="50" w:line="250" w:lineRule="auto"/>
        <w:rPr/>
      </w:pPr>
      <w:r>
        <w:rPr>
          <w:rFonts w:ascii="Calibri" w:hAnsi="Calibri"/>
          <w:color w:val="000000"/>
          <w:sz w:val="20"/>
        </w:rPr>
        <w:t>RESEARCH: environmental isolate phenotyping, cross-sector One Health analytics, time-series growth and phenotype-genotype linkage; phage plaque/phagogram imaging with specialist partners; advanced remote/EQA research; generic closed-habitat microbial growth phenotyping.</w:t>
      </w:r>
    </w:p>
    <w:p>
      <w:pPr>
        <w:pStyle w:val="Normal"/>
        <w:spacing w:before="0" w:after="50" w:line="250" w:lineRule="auto"/>
        <w:rPr/>
      </w:pPr>
      <w:r>
        <w:rPr>
          <w:rFonts w:ascii="Calibri" w:hAnsi="Calibri"/>
          <w:color w:val="000000"/>
          <w:sz w:val="20"/>
        </w:rPr>
        <w:t>INTEGRATE / PARTNER RATHER THAN FORCE INTO READER V1: molecular/genomic resistance assays; antimicrobial-residue chemistry; metagenomic/environmental ARG surveillance; most tuberculosis/mycobacterial DST; proprietary gradient-diffusion MIC-strip assays until named-product integration/validation is agreed.</w:t>
      </w:r>
    </w:p>
    <w:p>
      <w:pPr>
        <w:pStyle w:val="Normal"/>
        <w:spacing w:before="0" w:after="50" w:line="250" w:lineRule="auto"/>
        <w:rPr/>
      </w:pPr>
      <w:r>
        <w:rPr>
          <w:rFonts w:ascii="Calibri" w:hAnsi="Calibri"/>
          <w:color w:val="000000"/>
          <w:sz w:val="20"/>
        </w:rPr>
        <w:t>FUTURE R&amp;D: space-habitat microbial monitoring and crew/environmental-isolate phenotypic AST after mission-specific engineering/validation; India/ISRO space-biology experiments only after a bounded Earth-side feasibility study.</w:t>
      </w:r>
    </w:p>
    <w:p>
      <w:pPr>
        <w:pStyle w:val="Normal"/>
        <w:spacing w:before="0" w:after="50" w:line="250" w:lineRule="auto"/>
        <w:rPr/>
      </w:pPr>
      <w:r>
        <w:rPr>
          <w:rFonts w:ascii="Calibri" w:hAnsi="Calibri"/>
          <w:color w:val="000000"/>
          <w:sz w:val="20"/>
        </w:rPr>
        <w:t>SPECULATIVE FUTURE R&amp;D: astrobiology/extraterrestrial growth-response phenotyping and planetary-protection-adjacent research. No extraterrestrial-organism detection or treatment capability is demonstrated.</w:t>
      </w:r>
    </w:p>
    <w:p>
      <w:pPr>
        <w:pStyle w:val="Normal"/>
        <w:spacing w:before="0" w:after="50" w:line="250" w:lineRule="auto"/>
        <w:rPr/>
      </w:pPr>
      <w:r>
        <w:rPr>
          <w:rFonts w:ascii="Calibri" w:hAnsi="Calibri"/>
          <w:color w:val="000000"/>
          <w:sz w:val="20"/>
        </w:rPr>
        <w:t>This section expands the market/scientific scope without changing the immediate engineering sequence: Reader V1 remains the evidence-building core from which separately validated sector and mission modules may later branch.</w:t>
      </w:r>
    </w:p>
    <w:p>
      <w:pPr>
        <w:pStyle w:val="Heading3"/>
        <w:keepNext/>
        <w:keepLines/>
        <w:spacing w:before="240" w:after="120" w:line="269" w:lineRule="auto"/>
      </w:pPr>
      <w:r>
        <w:rPr>
          <w:color w:val="000000"/>
        </w:rPr>
        <w:t>Telemicrobiology, remote expert review, training and quality-assurance workflows ;  TEST NOW / NEXT-STAGE</w:t>
      </w:r>
    </w:p>
    <w:p>
      <w:pPr>
        <w:pStyle w:val="Normal"/>
        <w:spacing w:before="0" w:after="50" w:line="250" w:lineRule="auto"/>
        <w:rPr/>
      </w:pPr>
      <w:r>
        <w:rPr>
          <w:rFonts w:ascii="Calibri" w:hAnsi="Calibri"/>
          <w:color w:val="000000"/>
          <w:sz w:val="20"/>
        </w:rPr>
        <w:t>A high-value extension of Reader V1 is store-and-forward digital microbiology rather than another biological assay. The existing core already requires immutable plate images, calibrated measurements, QC/readability state, standards version, reviewer identity, corrections and audit history; those same records can support remote expert consultation, asynchronous review, teaching, blinded re-reading and inter-reader comparison. Karah et al., American Journal of Clinical Pathology 2022 (published online 2021), DOI 10.1093/ajcp/aqab160, demonstrated a semi-mobile teleclinical-microbiology workflow that transmitted macro/micro images and laboratory records for remote co-interpretation of species identification and AST from 74 urinary isolates in a hard-to-reach humanitarian setting; data security and cost-effectiveness were identified as practical concerns. Aparicio-Calvente et al., Eur J Clin Microbiol Infect Dis 2026, DOI 10.1007/s10096-025-05362-8, separately showed that fixed-time digital imaging could support remote interpretation of EUCAST RAST plates. These are external feasibility precedents, not AMReye performance.</w:t>
      </w:r>
    </w:p>
    <w:p>
      <w:pPr>
        <w:pStyle w:val="Normal"/>
        <w:spacing w:before="0" w:after="50" w:line="250" w:lineRule="auto"/>
        <w:rPr/>
      </w:pPr>
      <w:r>
        <w:rPr>
          <w:rFonts w:ascii="Calibri" w:hAnsi="Calibri"/>
          <w:color w:val="000000"/>
          <w:sz w:val="20"/>
        </w:rPr>
        <w:t>Near-term software experiment: add an optional REVIEW PACKAGE that contains the original image/hash, calibration, plate metadata, measured zones/boundaries, standards/method version, QC flags and an immutable reviewer workflow so a second authorized microbiologist can independently review or adjudicate a plate. The local laboratory must retain a safe offline workflow if connectivity fails. Any cross-site or cross-border clinical use requires role-based access, encryption, privacy/data-transfer governance, identity/audit controls, responsibility for final sign-out and validation for the intended workflow.</w:t>
      </w:r>
    </w:p>
    <w:p>
      <w:pPr>
        <w:pStyle w:val="Normal"/>
        <w:spacing w:before="0" w:after="50" w:line="250" w:lineRule="auto"/>
        <w:rPr/>
      </w:pPr>
      <w:r>
        <w:rPr>
          <w:rFonts w:ascii="Calibri" w:hAnsi="Calibri"/>
          <w:color w:val="000000"/>
          <w:sz w:val="20"/>
        </w:rPr>
        <w:t>Training/EQA is a related but distinct research/service opportunity. NAP-AMR 2.0 prioritizes standardized AST training, laboratory quality systems and surveillance-quality data. Buhl et al., Anaerobe 2026, DOI 10.1016/j.anaerobe.2026.103025, reported an external-quality-assessment/interlaboratory challenge across 35 laboratories and highlighted continued need for local technical expertise, internal QC and external quality assurance even with standardized EUCAST disk diffusion. AMReye could therefore support digital teaching sets, competency assessment, blinded reader exercises and research-grade inter-reader/EQA image packages. It must not present itself as an accredited EQA/proficiency-testing provider unless separately qualified/accredited for that function.</w:t>
      </w:r>
    </w:p>
    <w:p>
      <w:pPr>
        <w:pStyle w:val="Heading3"/>
        <w:keepNext/>
        <w:keepLines/>
        <w:spacing w:before="240" w:after="120" w:line="269" w:lineRule="auto"/>
      </w:pPr>
      <w:r>
        <w:rPr>
          <w:color w:val="000000"/>
        </w:rPr>
        <w:t>Veterinary on-farm culture imaging and dairy mastitis ;  NEXT-STAGE / SEPARATE INTENDED USE</w:t>
      </w:r>
    </w:p>
    <w:p>
      <w:pPr>
        <w:pStyle w:val="Normal"/>
        <w:spacing w:before="0" w:after="50" w:line="250" w:lineRule="auto"/>
        <w:rPr/>
      </w:pPr>
      <w:r>
        <w:rPr>
          <w:rFonts w:ascii="Calibri" w:hAnsi="Calibri"/>
          <w:color w:val="000000"/>
          <w:sz w:val="20"/>
        </w:rPr>
        <w:t>Plate-image automation also has a credible veterinary use beyond standard veterinary disk-diffusion AST. Garcia et al., Scientific Reports 2024, DOI 10.1038/s41598-023-50296-w, evaluated an AI-based mobile application for interpreting chromogenic culture plates from clinical mastitis samples. The study included 476 milk samples from 11 farms under specialist laboratory conditions and a second on-farm trial involving 208 samples from 150 farms; MALDI-TOF MS and expert interpretation were used as reference context. This supports the feasibility of digital plate interpretation close to the farm, but it is not evidence that AMReye can identify mastitis pathogens and it is not the same assay as disk-diffusion AST.</w:t>
      </w:r>
    </w:p>
    <w:p>
      <w:pPr>
        <w:pStyle w:val="Normal"/>
        <w:spacing w:before="0" w:after="50" w:line="250" w:lineRule="auto"/>
        <w:rPr/>
      </w:pPr>
      <w:r>
        <w:rPr>
          <w:rFonts w:ascii="Calibri" w:hAnsi="Calibri"/>
          <w:color w:val="000000"/>
          <w:sz w:val="20"/>
        </w:rPr>
        <w:t>A future veterinary/chromogenic-culture module could reuse controlled imaging, local/edge inference, image provenance, operator guidance, reviewer workflow and offline synchronization. It would require its own culture media, organism/pathogen-group labels, veterinary reference methods, training data, decision rules, confirmation pathway and veterinary regulatory/intended-use review. Do not reuse human clinical breakpoints or imply that a colony-image classifier provides complete antimicrobial susceptibility. Treat selective-treatment or stewardship benefit as a hypothesis to validate with veterinary partners.</w:t>
      </w:r>
    </w:p>
    <w:p>
      <w:pPr>
        <w:pStyle w:val="Heading3"/>
        <w:keepNext/>
        <w:keepLines/>
        <w:spacing w:before="240" w:after="120" w:line="269" w:lineRule="auto"/>
      </w:pPr>
      <w:r>
        <w:rPr>
          <w:color w:val="000000"/>
        </w:rPr>
        <w:t>Non-clinical antimicrobial-material and surface testing ;  RESEARCH / OPTIONAL INDUSTRIAL MODULE</w:t>
      </w:r>
    </w:p>
    <w:p>
      <w:pPr>
        <w:pStyle w:val="Normal"/>
        <w:spacing w:before="0" w:after="50" w:line="250" w:lineRule="auto"/>
        <w:rPr/>
      </w:pPr>
      <w:r>
        <w:rPr>
          <w:rFonts w:ascii="Calibri" w:hAnsi="Calibri"/>
          <w:color w:val="000000"/>
          <w:sz w:val="20"/>
        </w:rPr>
        <w:t>The calibrated imaging/metrology core may have a non-clinical R&amp;D/QC use in agar-diffusion testing of antimicrobial materials, textiles, coatings or surfaces, but this must remain separate from clinical AST. ISO 20645:2004, Textile fabrics ;  Determination of antibacterial activity ;  Agar diffusion plate test, was reviewed and confirmed in 2024 and remains current; it specifies an agar-diffusion method for antibacterial-treated textiles and can be adapted to some other materials. AATCC TM147 is a qualitative parallel-streak method in which inhibition-zone size and narrowing of growth streaks contribute to assessment of diffusible antibacterial activity. These standards have their own specimens, organisms, interpretation and licensing/copyright conditions.</w:t>
      </w:r>
    </w:p>
    <w:p>
      <w:pPr>
        <w:pStyle w:val="Normal"/>
        <w:spacing w:before="0" w:after="50" w:line="250" w:lineRule="auto"/>
        <w:rPr/>
      </w:pPr>
      <w:r>
        <w:rPr>
          <w:rFonts w:ascii="Calibri" w:hAnsi="Calibri"/>
          <w:color w:val="000000"/>
          <w:sz w:val="20"/>
        </w:rPr>
        <w:t>Potential AMReye-derived role: standardized image capture, dimensional measurement, image provenance, repeatability analysis and report generation for authorized material-testing workflows. Clinical CLSI/EUCAST breakpoints and S/I/R categories must not be applied. Because some material methods are qualitative or only semi-quantitative, automated millimetre measurement must not be advertised as improving the underlying standard unless demonstrated. This branch should be pursued only if industrial/user discovery shows value and after the applicable ISO/AATCC method and accreditation requirements are reviewed. Official anchors: </w:t>
      </w:r>
      <w:hyperlink r:id="rId79">
        <w:r>
          <w:rPr>
            <w:rFonts w:ascii="Calibri" w:hAnsi="Calibri"/>
            <w:color w:val="000000"/>
            <w:sz w:val="22"/>
          </w:rPr>
          <w:t>https://www.iso.org/standard/35499.html</w:t>
        </w:r>
      </w:hyperlink>
      <w:r>
        <w:rPr>
          <w:rFonts w:ascii="Calibri" w:hAnsi="Calibri"/>
          <w:color w:val="000000"/>
          <w:sz w:val="20"/>
        </w:rPr>
        <w:t> ; </w:t>
      </w:r>
      <w:hyperlink r:id="rId80">
        <w:r>
          <w:rPr>
            <w:rFonts w:ascii="Calibri" w:hAnsi="Calibri"/>
            <w:color w:val="000000"/>
            <w:sz w:val="22"/>
          </w:rPr>
          <w:t>https://members.aatcc.org/store/tm147/554/</w:t>
        </w:r>
      </w:hyperlink>
      <w:r>
        <w:rPr>
          <w:rFonts w:ascii="Calibri" w:hAnsi="Calibri"/>
          <w:color w:val="000000"/>
          <w:sz w:val="20"/>
        </w:rPr>
        <w:t> .</w:t>
      </w:r>
    </w:p>
    <w:p>
      <w:pPr>
        <w:pStyle w:val="Heading3"/>
        <w:keepNext/>
        <w:keepLines/>
        <w:spacing w:before="240" w:after="120" w:line="269" w:lineRule="auto"/>
      </w:pPr>
      <w:r>
        <w:rPr>
          <w:color w:val="000000"/>
        </w:rPr>
        <w:t>Phage susceptibility / phagogram imaging ;  FUTURE R&amp;D / INTEGRATE-PARTNER</w:t>
      </w:r>
    </w:p>
    <w:p>
      <w:pPr>
        <w:pStyle w:val="Normal"/>
        <w:spacing w:before="0" w:after="50" w:line="250" w:lineRule="auto"/>
        <w:rPr/>
      </w:pPr>
      <w:r>
        <w:rPr>
          <w:rFonts w:ascii="Calibri" w:hAnsi="Calibri"/>
          <w:color w:val="000000"/>
          <w:sz w:val="20"/>
        </w:rPr>
        <w:t>Bacteriophage susceptibility testing is scientifically adjacent to AMR phenotyping but is not a simple replacement of antibiotic disks with phages. Kolenda et al., Journal of Antimicrobial Chemotherapy 2024, DOI 10.1093/jac/dkae325, concluded that plaque-based and growth-kinetic phage susceptibility methods remain labour-intensive, require automation and still lack a generally established reference method for routine phagograms. Perlemoine et al., PLOS ONE 2021, DOI 10.1371/journal.pone.0248917, demonstrated computer-assisted wide-field lensless monitoring of phage plaques, including time-series plaque growth, susceptibility assessment and observation of resistant microcolonies under that study's conditions. These studies support imaging as a useful phage-laboratory research tool, not an AMReye phage-therapy claim.</w:t>
      </w:r>
    </w:p>
    <w:p>
      <w:pPr>
        <w:pStyle w:val="Normal"/>
        <w:spacing w:before="0" w:after="50" w:line="250" w:lineRule="auto"/>
        <w:rPr/>
      </w:pPr>
      <w:r>
        <w:rPr>
          <w:rFonts w:ascii="Calibri" w:hAnsi="Calibri"/>
          <w:color w:val="000000"/>
          <w:sz w:val="20"/>
        </w:rPr>
        <w:t>A future AMReye-derived phage module could investigate plaque/lysis-zone detection, plaque counting, morphology, time-series growth kinetics, resistant-subpopulation flagging and auditable image records. It would require phage-specific assay protocols, host/phage concentration controls, reference/comparator methods and interpretation rules; currently there is no CLSI/EUCAST-style universal phagogram breakpoint system. Spot-assay lysis can also reflect phenomena that do not equal productive phage susceptibility, so image appearance alone cannot establish clinical activity. This work should be done with specialist phage laboratories/therapy researchers and should remain outside Reader V1 until a bounded research question and reference method are agreed.</w:t>
      </w:r>
    </w:p>
    <w:p>
      <w:pPr>
        <w:pStyle w:val="Heading3"/>
        <w:keepNext/>
        <w:keepLines/>
        <w:spacing w:before="240" w:after="120" w:line="269" w:lineRule="auto"/>
      </w:pPr>
      <w:r>
        <w:rPr>
          <w:color w:val="000000"/>
        </w:rPr>
        <w:t>Expansion guardrail ;  REUSE THE PLATFORM, NOT THE CLAIM</w:t>
      </w:r>
    </w:p>
    <w:p>
      <w:pPr>
        <w:pStyle w:val="Normal"/>
        <w:spacing w:before="0" w:after="50" w:line="250" w:lineRule="auto"/>
        <w:rPr/>
      </w:pPr>
      <w:r>
        <w:rPr>
          <w:rFonts w:ascii="Calibri" w:hAnsi="Calibri"/>
          <w:color w:val="000000"/>
          <w:sz w:val="20"/>
        </w:rPr>
        <w:t>Use-case expansion must be modular. Telemicrobiology/reviewer workflows, teaching and research-grade inter-reader comparison can be tested early because they reuse the same plate record without changing the biological assay. UTI plate interpretation, veterinary/chromogenic culture, veterinary/aquatic AST, food isolate AST, antimicrobial-material testing and phage susceptibility reuse parts of the imaging/data stack but each requires a new intended use, dataset/reference method and validation. Antimicrobial-residue chemistry, genomic/molecular identification, spectroscopy-heavy assays and other fundamentally different measurements should be integrated/partnered or kept separate rather than forced into the Reader V1 enclosure. Expansion is justified only when the new module adds measurable value over the simplest appropriate existing method.</w:t>
      </w:r>
    </w:p>
    <w:p>
      <w:pPr>
        <w:pStyle w:val="Normal"/>
        <w:spacing w:before="0" w:after="50" w:line="250" w:lineRule="auto"/>
        <w:rPr/>
      </w:pPr>
      <w:r>
        <w:rPr>
          <w:rFonts w:ascii="Calibri" w:hAnsi="Calibri"/>
          <w:color w:val="000000"/>
          <w:sz w:val="20"/>
        </w:rPr>
        <w:t>Explicit non-fit / partner boundary ;  tuberculosis and most mycobacterial drug-susceptibility testing: do not position the current disk-diffusion Reader V1 as a TB-DST platform. WHO’s 2025 TB diagnostic guidance describes phenotypic DST on specific solid/liquid media such as LJ, Middlebrook 7H10/7H11 and MGIT, with drug-specific critical concentrations, while targeted molecular/NGS methods are increasingly central for rapid resistance detection. CLSI M24/M24S likewise use agar-proportion, broth microdilution and approved short-incubation/molecular approaches for Mycobacterium tuberculosis complex, nontuberculous mycobacteria and related organisms rather than routine M02/M100-style disk diffusion. A future AMReye contribution to TB would therefore be an INTEGRATE/PARTNER or separately designed imaging/growth-monitoring research project around an accepted TB method, requiring dedicated containment, biosafety, optics, media, incubation and validation; not a standards-profile toggle on Reader V1. Official anchors: </w:t>
      </w:r>
      <w:hyperlink r:id="rId81">
        <w:r>
          <w:rPr>
            <w:rFonts w:ascii="Calibri" w:hAnsi="Calibri"/>
            <w:color w:val="000000"/>
            <w:sz w:val="22"/>
          </w:rPr>
          <w:t>https://www.who.int/publications/i/item/9789240110991</w:t>
        </w:r>
      </w:hyperlink>
      <w:r>
        <w:rPr>
          <w:rFonts w:ascii="Calibri" w:hAnsi="Calibri"/>
          <w:color w:val="000000"/>
          <w:sz w:val="20"/>
        </w:rPr>
        <w:t> ; </w:t>
      </w:r>
      <w:hyperlink r:id="rId82">
        <w:r>
          <w:rPr>
            <w:rFonts w:ascii="Calibri" w:hAnsi="Calibri"/>
            <w:color w:val="000000"/>
            <w:sz w:val="22"/>
          </w:rPr>
          <w:t>https://clsi.org/shop/standards/m24/</w:t>
        </w:r>
      </w:hyperlink>
      <w:r>
        <w:rPr>
          <w:rFonts w:ascii="Calibri" w:hAnsi="Calibri"/>
          <w:color w:val="000000"/>
          <w:sz w:val="20"/>
        </w:rPr>
        <w:t> ; </w:t>
      </w:r>
      <w:hyperlink r:id="rId83">
        <w:r>
          <w:rPr>
            <w:rFonts w:ascii="Calibri" w:hAnsi="Calibri"/>
            <w:color w:val="000000"/>
            <w:sz w:val="22"/>
          </w:rPr>
          <w:t>https://clsi.org/shop/standards/m24s/</w:t>
        </w:r>
      </w:hyperlink>
      <w:r>
        <w:rPr>
          <w:rFonts w:ascii="Calibri" w:hAnsi="Calibri"/>
          <w:color w:val="000000"/>
          <w:sz w:val="20"/>
        </w:rPr>
        <w:t> .</w:t>
      </w:r>
    </w:p>
    <w:p>
      <w:pPr>
        <w:pStyle w:val="Heading3"/>
        <w:keepNext/>
        <w:keepLines/>
        <w:spacing w:before="240" w:after="120" w:line="269" w:lineRule="auto"/>
      </w:pPr>
      <w:r>
        <w:rPr>
          <w:color w:val="000000"/>
        </w:rPr>
        <w:t>Antifungal disk-diffusion reading for selected yeasts ;  NEXT-STAGE / DIRECT READER-ARCHITECTURE EXTENSION</w:t>
      </w:r>
    </w:p>
    <w:p>
      <w:pPr>
        <w:pStyle w:val="Normal"/>
        <w:spacing w:before="0" w:after="50" w:line="250" w:lineRule="auto"/>
        <w:rPr/>
      </w:pPr>
      <w:r>
        <w:rPr>
          <w:rFonts w:ascii="Calibri" w:hAnsi="Calibri"/>
          <w:color w:val="000000"/>
          <w:sz w:val="20"/>
        </w:rPr>
        <w:t>Antifungal resistance is a legitimate AMR domain and, for selected yeasts, a disk-diffusion workflow exists that is structurally close to Reader V1. CLSI M44, Method for Antifungal Disk Diffusion Susceptibility Testing of Yeasts, 3rd Edition, provides an established disk-diffusion method for selected Candida species and antifungal agents, including zone-diameter interpretation and QC when used with the applicable performance-standard supplement. CLSI M27M44S provides the corresponding current performance-standard tables; the method/table pair must be versioned exactly as with bacterial AST. This creates a technically plausible post-Reader-V1 extension because controlled plate imaging, disk localisation, calibrated zone measurement, QC state, human review and standards-versioning can be reused, while organism preparation, medium, incubation, antifungal disks, reading rules, breakpoints and validation datasets change.</w:t>
      </w:r>
    </w:p>
    <w:p>
      <w:pPr>
        <w:pStyle w:val="Normal"/>
        <w:spacing w:before="0" w:after="50" w:line="250" w:lineRule="auto"/>
        <w:rPr/>
      </w:pPr>
      <w:r>
        <w:rPr>
          <w:rFonts w:ascii="Calibri" w:hAnsi="Calibri"/>
          <w:color w:val="000000"/>
          <w:sz w:val="20"/>
        </w:rPr>
        <w:t>Do not mix this with EUCAST fungal susceptibility by assumption. EUCAST’s current AFST breakpoint system for yeasts/moulds is built around its validated antifungal susceptibility procedures and current fungal breakpoint table v12.1; AMReye must support only a method for which the intended workflow has a validated measurement/interpretation pathway. WHO’s 2025 fungal-diagnostics landscape analysis and 2026 fungal-response blueprint identify persistent gaps in fungal diagnostics, susceptibility/resistance testing, laboratory capacity and surveillance, particularly in LMICs, making this a defensible research/translation branch after bacterial Reader V1 rather than a speculative marketing feature. Any Candida auris or other high-priority fungal claim requires organism/agent-specific current guidance and validation. Official anchors: </w:t>
      </w:r>
      <w:hyperlink r:id="rId84">
        <w:r>
          <w:rPr>
            <w:rFonts w:ascii="Calibri" w:hAnsi="Calibri"/>
            <w:color w:val="000000"/>
            <w:sz w:val="22"/>
          </w:rPr>
          <w:t>https://clsi.org/shop/standards/m44/</w:t>
        </w:r>
      </w:hyperlink>
      <w:r>
        <w:rPr>
          <w:rFonts w:ascii="Calibri" w:hAnsi="Calibri"/>
          <w:color w:val="000000"/>
          <w:sz w:val="20"/>
        </w:rPr>
        <w:t> ; </w:t>
      </w:r>
      <w:hyperlink r:id="rId85">
        <w:r>
          <w:rPr>
            <w:rFonts w:ascii="Calibri" w:hAnsi="Calibri"/>
            <w:color w:val="000000"/>
            <w:sz w:val="22"/>
          </w:rPr>
          <w:t>https://clsi.org/about/press-releases/clsi-publishes-three-new-editions-of-antifungal-documents/</w:t>
        </w:r>
      </w:hyperlink>
      <w:r>
        <w:rPr>
          <w:rFonts w:ascii="Calibri" w:hAnsi="Calibri"/>
          <w:color w:val="000000"/>
          <w:sz w:val="20"/>
        </w:rPr>
        <w:t> ; </w:t>
      </w:r>
      <w:hyperlink r:id="rId86">
        <w:r>
          <w:rPr>
            <w:rFonts w:ascii="Calibri" w:hAnsi="Calibri"/>
            <w:color w:val="000000"/>
            <w:sz w:val="22"/>
          </w:rPr>
          <w:t>https://www.eucast.org/fungi-afst/clinical-breakpoints-and-interpretation/clinical-breakpoint-table/</w:t>
        </w:r>
      </w:hyperlink>
      <w:r>
        <w:rPr>
          <w:rFonts w:ascii="Calibri" w:hAnsi="Calibri"/>
          <w:color w:val="000000"/>
          <w:sz w:val="20"/>
        </w:rPr>
        <w:t> ; </w:t>
      </w:r>
      <w:hyperlink r:id="rId87">
        <w:r>
          <w:rPr>
            <w:rFonts w:ascii="Calibri" w:hAnsi="Calibri"/>
            <w:color w:val="000000"/>
            <w:sz w:val="22"/>
          </w:rPr>
          <w:t>https://www.who.int/publications/i/item/9789240105539</w:t>
        </w:r>
      </w:hyperlink>
      <w:r>
        <w:rPr>
          <w:rFonts w:ascii="Calibri" w:hAnsi="Calibri"/>
          <w:color w:val="000000"/>
          <w:sz w:val="20"/>
        </w:rPr>
        <w:t> ; </w:t>
      </w:r>
      <w:hyperlink r:id="rId88">
        <w:r>
          <w:rPr>
            <w:rFonts w:ascii="Calibri" w:hAnsi="Calibri"/>
            <w:color w:val="000000"/>
            <w:sz w:val="22"/>
          </w:rPr>
          <w:t>https://www.who.int/publications/i/item/9789240122529</w:t>
        </w:r>
      </w:hyperlink>
      <w:r>
        <w:rPr>
          <w:rFonts w:ascii="Calibri" w:hAnsi="Calibri"/>
          <w:color w:val="000000"/>
          <w:sz w:val="20"/>
        </w:rPr>
        <w:t> .</w:t>
      </w:r>
    </w:p>
    <w:p>
      <w:pPr>
        <w:pStyle w:val="Heading3"/>
        <w:keepNext/>
        <w:keepLines/>
        <w:spacing w:before="240" w:after="120" w:line="269" w:lineRule="auto"/>
      </w:pPr>
      <w:r>
        <w:rPr>
          <w:color w:val="000000"/>
        </w:rPr>
        <w:t>Rapidly growing anaerobic bacteria ;  NEXT-STAGE / SAME MEASUREMENT CORE, DIFFERENT METHOD PROFILE</w:t>
      </w:r>
    </w:p>
    <w:p>
      <w:pPr>
        <w:pStyle w:val="Normal"/>
        <w:spacing w:before="0" w:after="50" w:line="250" w:lineRule="auto"/>
        <w:rPr/>
      </w:pPr>
      <w:r>
        <w:rPr>
          <w:rFonts w:ascii="Calibri" w:hAnsi="Calibri"/>
          <w:color w:val="000000"/>
          <w:sz w:val="20"/>
        </w:rPr>
        <w:t>Anaerobic AST is another evidence-backed extension that should be treated as a separate standards profile rather than a new hardware concept. EUCAST now maintains a standardized disk-diffusion method specifically for rapidly growing anaerobic bacteria; the current manual is Version 3.0 (June 2026), with a separate anaerobic reading guide and QC framework. EUCAST clinical breakpoint table v16.1, published 24 June 2026, added breakpoints for additional anaerobic species including Fusobacterium nucleatum, Clostridium innocuum, C. ramosum, C. septicum, C. tertium, Cutibacterium avidum, Finegoldia spp., Parvimonas micra, Peptostreptococcus anaerobius and Peptoniphilus spp. This is directly relevant to a future Reader module because it still involves inhibition-zone imaging and dimensional measurement, but media, atmosphere/incubation, organism coverage, reading morphology and interpretive content differ from routine aerobic bacterial AST.</w:t>
      </w:r>
    </w:p>
    <w:p>
      <w:pPr>
        <w:pStyle w:val="Normal"/>
        <w:spacing w:before="0" w:after="50" w:line="250" w:lineRule="auto"/>
        <w:rPr/>
      </w:pPr>
      <w:r>
        <w:rPr>
          <w:rFonts w:ascii="Calibri" w:hAnsi="Calibri"/>
          <w:color w:val="000000"/>
          <w:sz w:val="20"/>
        </w:rPr>
        <w:t>A 2026 German/Austrian external-quality-assessment study of EUCAST anaerobic disk diffusion across 35 laboratories (Buhl et al., Anaerobe 97:103025, DOI 10.1016/j.anaerobe.2026.103025) found generally high categorical agreement but important organism/drug-specific discrepancies and emphasized the continuing need for technical expertise, internal QC and external QA. Therefore anaerobic support should be implemented only as a separately versioned method/organism profile with its own readability rules, challenge images and validation, not enabled automatically because Reader V1 can draw circles. Official anchors: </w:t>
      </w:r>
      <w:hyperlink r:id="rId89">
        <w:r>
          <w:rPr>
            <w:rFonts w:ascii="Calibri" w:hAnsi="Calibri"/>
            <w:color w:val="000000"/>
            <w:sz w:val="22"/>
          </w:rPr>
          <w:t>https://www.eucast.org/bacteria/methodology-and-instructions/disk-diffusion-and-quality-control/</w:t>
        </w:r>
      </w:hyperlink>
      <w:r>
        <w:rPr>
          <w:rFonts w:ascii="Calibri" w:hAnsi="Calibri"/>
          <w:color w:val="000000"/>
          <w:sz w:val="20"/>
        </w:rPr>
        <w:t> ; </w:t>
      </w:r>
      <w:hyperlink r:id="rId90">
        <w:r>
          <w:rPr>
            <w:rFonts w:ascii="Calibri" w:hAnsi="Calibri"/>
            <w:color w:val="000000"/>
            <w:sz w:val="22"/>
          </w:rPr>
          <w:t>https://www.eucast.org/news-detail/publication-of-updated-clinical-breakpoint-tables-version-161/</w:t>
        </w:r>
      </w:hyperlink>
      <w:r>
        <w:rPr>
          <w:rFonts w:ascii="Calibri" w:hAnsi="Calibri"/>
          <w:color w:val="000000"/>
          <w:sz w:val="20"/>
        </w:rPr>
        <w:t> .</w:t>
      </w:r>
    </w:p>
    <w:p>
      <w:pPr>
        <w:pStyle w:val="Heading3"/>
        <w:keepNext/>
        <w:keepLines/>
        <w:spacing w:before="240" w:after="120" w:line="269" w:lineRule="auto"/>
      </w:pPr>
      <w:r>
        <w:rPr>
          <w:color w:val="000000"/>
        </w:rPr>
        <w:t>Facility antibiograms and antimicrobial-stewardship analytics ;  NEXT-STAGE SOFTWARE / LOW-HARDWARE-BURDEN</w:t>
      </w:r>
    </w:p>
    <w:p>
      <w:pPr>
        <w:pStyle w:val="Normal"/>
        <w:spacing w:before="0" w:after="50" w:line="250" w:lineRule="auto"/>
        <w:rPr/>
      </w:pPr>
      <w:r>
        <w:rPr>
          <w:rFonts w:ascii="Calibri" w:hAnsi="Calibri"/>
          <w:color w:val="000000"/>
          <w:sz w:val="20"/>
        </w:rPr>
        <w:t>Facility antibiograms are one of the strongest software-side extensions because they consume finalized AST results rather than requiring a new biological measurement. CLSI M39, Analysis and Presentation of Cumulative Antimicrobial Susceptibility Test Data, 5th Edition (2022; current CLSI page as of September 2026), provides standardized guidance for storage, analysis and presentation of cumulative AST data and explicitly addresses data extraction from automated AST instruments/LIS/EHRs, multifacility reports, yeast/antifungal antibiograms, veterinary practices and antimicrobial-stewardship use. Its scope assumes individual isolate AST results are already final and accurate; therefore an antibiogram module must never hide or compensate for poor Reader V1 measurement quality.</w:t>
      </w:r>
    </w:p>
    <w:p>
      <w:pPr>
        <w:pStyle w:val="Normal"/>
        <w:spacing w:before="0" w:after="50" w:line="250" w:lineRule="auto"/>
        <w:rPr/>
      </w:pPr>
      <w:r>
        <w:rPr>
          <w:rFonts w:ascii="Calibri" w:hAnsi="Calibri"/>
          <w:color w:val="000000"/>
          <w:sz w:val="20"/>
        </w:rPr>
        <w:t>A future AMReye analytics layer can generate standards-grounded cumulative susceptibility reports, local resistance trends and configurable stewardship views only after the underlying laboratory validates its data pipeline and licenses/implements the applicable M39 rules. Preserve isolate-level provenance, deduplication logic, analysis period, population/site filters, organism/drug identifiers, breakpoint-system/version history, excluded/insufficient-N states and exact denominator definitions. Do not calculate a clinical antibiogram by simply counting all stored results: M39 includes specific principles for isolate selection and report construction, and different analyses may be needed for surveillance versus empirical-therapy guidance. Software should also keep local antibiogram generation separate from national surveillance exports such as WHONET/GLASS, although both may draw from the same governed canonical dataset.</w:t>
      </w:r>
    </w:p>
    <w:p>
      <w:pPr>
        <w:pStyle w:val="Normal"/>
        <w:spacing w:before="0" w:after="50" w:line="250" w:lineRule="auto"/>
        <w:rPr/>
      </w:pPr>
      <w:r>
        <w:rPr>
          <w:rFonts w:ascii="Calibri" w:hAnsi="Calibri"/>
          <w:color w:val="000000"/>
          <w:sz w:val="20"/>
        </w:rPr>
        <w:t>This module is particularly aligned with NAP-AMR 2.0’s call for digitally mediated, data-driven antimicrobial stewardship and facility-level antibiograms, and with the updated GAP-AMR 2026-2036 emphasis on surveillance/laboratory networks. It is a NEXT-STAGE software capability because it can be developed against de-identified/synthetic or validated historical data before broader hardware expansion, but any patient-care or prescribing use requires institutional governance and validated source data. Official anchor: </w:t>
      </w:r>
      <w:hyperlink r:id="rId91">
        <w:r>
          <w:rPr>
            <w:rFonts w:ascii="Calibri" w:hAnsi="Calibri"/>
            <w:color w:val="000000"/>
            <w:sz w:val="22"/>
          </w:rPr>
          <w:t>https://clsi.org/shop/standards/m39/</w:t>
        </w:r>
      </w:hyperlink>
      <w:r>
        <w:rPr>
          <w:rFonts w:ascii="Calibri" w:hAnsi="Calibri"/>
          <w:color w:val="000000"/>
          <w:sz w:val="20"/>
        </w:rPr>
        <w:t> .</w:t>
      </w:r>
    </w:p>
    <w:p>
      <w:pPr>
        <w:pStyle w:val="Heading3"/>
        <w:keepNext/>
        <w:keepLines/>
        <w:spacing w:before="240" w:after="120" w:line="269" w:lineRule="auto"/>
      </w:pPr>
      <w:r>
        <w:rPr>
          <w:color w:val="000000"/>
        </w:rPr>
        <w:t>Phenotypic resistance-screening and multi-disk pattern tests ;  NEXT-STAGE / READER-COMPATIBLE</w:t>
      </w:r>
    </w:p>
    <w:p>
      <w:pPr>
        <w:pStyle w:val="Normal"/>
        <w:spacing w:before="0" w:after="50" w:line="250" w:lineRule="auto"/>
        <w:rPr/>
      </w:pPr>
      <w:r>
        <w:rPr>
          <w:rFonts w:ascii="Calibri" w:hAnsi="Calibri"/>
          <w:color w:val="000000"/>
          <w:sz w:val="20"/>
        </w:rPr>
        <w:t>Reader V1 should eventually support more than one scalar zone diameter where an established phenotypic method uses the spatial relationship, morphology or screening behavior of multiple disks. CLSI’s current AST framework includes method-specific phenotypic tests such as the D-zone disk-diffusion test for inducible clindamycin resistance in selected Staphylococcus and Streptococcus groups; the CLSI terminology database defines it as an erythromycin/clindamycin paired-disk test whose interpretation depends on characteristic zone behavior. EUCAST separately publishes phenotypic screening tests that use selected agents/disks and zone or MIC criteria to detect or exclude resistance of clinical relevance, with actions tied to current breakpoint-table notes.</w:t>
      </w:r>
    </w:p>
    <w:p>
      <w:pPr>
        <w:pStyle w:val="Normal"/>
        <w:spacing w:before="0" w:after="50" w:line="250" w:lineRule="auto"/>
        <w:rPr/>
      </w:pPr>
      <w:r>
        <w:rPr>
          <w:rFonts w:ascii="Calibri" w:hAnsi="Calibri"/>
          <w:color w:val="000000"/>
          <w:sz w:val="20"/>
        </w:rPr>
        <w:t>This creates a defensible Reader extension: method-specific templates can capture disk identities/positions, calibrated diameters, edge morphology, asymmetry/flattening, interactions between nearby zones and reviewer annotations. The system may then apply only the exact current licensed/authorized rule set for the selected organism/method and surface a screening/phenotypic result for human review. It must not jump from a visual pattern to an unmeasured resistance gene or claim autonomous mechanism identification. Where a method requires confirmatory molecular/biochemical testing, the Reader should record the screen and link/import the independent confirmatory result rather than replace it.</w:t>
      </w:r>
    </w:p>
    <w:p>
      <w:pPr>
        <w:pStyle w:val="Normal"/>
        <w:spacing w:before="0" w:after="50" w:line="250" w:lineRule="auto"/>
        <w:rPr/>
      </w:pPr>
      <w:r>
        <w:rPr>
          <w:rFonts w:ascii="Calibri" w:hAnsi="Calibri"/>
          <w:color w:val="000000"/>
          <w:sz w:val="20"/>
        </w:rPr>
        <w:t>Engineering implication: preserve full zone contours and inter-disk geometry, not only final diameters; provide per-test layouts and expected disk-placement tolerances; record the standard/edition and test-specific QC; abstain when disk spacing, lawn quality, boundary shape or image conditions invalidate interpretation. Because detailed criteria are versioned/licensed standards content, do not hard-code copied CLSI/EUCAST tables into open source or product releases without the required permissions.</w:t>
      </w:r>
    </w:p>
    <w:p>
      <w:pPr>
        <w:pStyle w:val="Heading3"/>
        <w:keepNext/>
        <w:keepLines/>
        <w:spacing w:before="240" w:after="120" w:line="269" w:lineRule="auto"/>
      </w:pPr>
      <w:r>
        <w:rPr>
          <w:color w:val="000000"/>
        </w:rPr>
        <w:t>Gradient-diffusion MIC-strip reading ;  NEXT-STAGE / INTEGRATE-PARTNER, NOT “MIC PREDICTION”</w:t>
      </w:r>
    </w:p>
    <w:p>
      <w:pPr>
        <w:pStyle w:val="Normal"/>
        <w:spacing w:before="0" w:after="50" w:line="250" w:lineRule="auto"/>
        <w:rPr/>
      </w:pPr>
      <w:r>
        <w:rPr>
          <w:rFonts w:ascii="Calibri" w:hAnsi="Calibri"/>
          <w:color w:val="000000"/>
          <w:sz w:val="20"/>
        </w:rPr>
        <w:t>There is a useful distinction between predicting an MIC from disk-diffusion images and optically reading an MIC produced by a validated commercial gradient-diffusion strip assay. The latter can be a legitimate future imaging module without claiming that AMReye has learned MIC from ordinary zone diameters. EUCAST describes commercial gradient tests as surrogate MIC-determination methods whose accuracy is the manufacturer’s responsibility and whose results remain subject to user QC and product/method warnings; broth microdilution remains the reference MIC framework. Current EUCAST warnings also show why a generic “read any gradient strip” feature would be unsafe: performance can be organism-drug-product specific, including documented gradient-test problems for benzylpenicillin against Streptococcus pneumoniae and for amphotericin B against Candida auris.</w:t>
      </w:r>
    </w:p>
    <w:p>
      <w:pPr>
        <w:pStyle w:val="Normal"/>
        <w:spacing w:before="0" w:after="50" w:line="250" w:lineRule="auto"/>
        <w:rPr/>
      </w:pPr>
      <w:r>
        <w:rPr>
          <w:rFonts w:ascii="Calibri" w:hAnsi="Calibri"/>
          <w:color w:val="000000"/>
          <w:sz w:val="20"/>
        </w:rPr>
        <w:t>A future AMReye gradient-strip module could reuse controlled imaging, image provenance, local compute, human review and standards/version logging, but would require strip/brand identification, calibrated strip geometry, concentration-scale recognition, detection of the inhibition-ellipse intersection, organism/drug-specific reading rules, QC strains and explicit handling of off-scale, trailing, microcolonies or ambiguous endpoints. The raw optical endpoint and the interpreted MIC/category should be stored separately. Because commercial strips, label scales and reading instructions are product-specific, this should be developed through integration/partnering and validation for named products rather than by copying proprietary strip layouts or presenting a universal reader. This branch is conceptually different from AMReye’s future research idea of inferring quantitative MIC from non-reference imaging signals; that prediction track remains FUTURE R&amp;D and requires independent paired-reference validation.</w:t>
      </w:r>
    </w:p>
    <w:p>
      <w:pPr>
        <w:pStyle w:val="Heading3"/>
        <w:keepNext/>
        <w:keepLines/>
        <w:spacing w:before="240" w:after="120" w:line="269" w:lineRule="auto"/>
      </w:pPr>
      <w:r>
        <w:rPr>
          <w:color w:val="000000"/>
        </w:rPr>
        <w:t>Dermatophyte antifungal-resistance agar screening ;  NEXT-STAGE / PLATE-IMAGING EXTENSION</w:t>
      </w:r>
    </w:p>
    <w:p>
      <w:pPr>
        <w:pStyle w:val="Normal"/>
        <w:spacing w:before="0" w:after="50" w:line="250" w:lineRule="auto"/>
        <w:rPr/>
      </w:pPr>
      <w:r>
        <w:rPr>
          <w:rFonts w:ascii="Calibri" w:hAnsi="Calibri"/>
          <w:color w:val="000000"/>
          <w:sz w:val="20"/>
        </w:rPr>
        <w:t>A very recent EUCAST development creates another plate-imaging use case that is distinct from both bacterial disk diffusion and yeast MIC testing. On 1 September 2026 EUCAST published a screening method for terbinafine and itraconazole resistance in Trichophyton using antifungal-containing agar plates. The method is based on growth/no-growth comparison across defined drug-containing and drug-free wells/plates rather than disk-zone diameter measurement. A multicentre evaluation published in Clinical Microbiology and Infection (Meletiadis et al., 2025, DOI 10.1016/j.cmi.2025.07.012; PMID 40706670) tested a four-well agar-screening format across five centres and found high sensitivity/specificity for the evaluated wild-type/non-wild-type Trichophyton panels, supporting the method as a practical resistance-screening approach. These external results do not establish AMReye performance.</w:t>
      </w:r>
    </w:p>
    <w:p>
      <w:pPr>
        <w:pStyle w:val="Normal"/>
        <w:spacing w:before="0" w:after="50" w:line="250" w:lineRule="auto"/>
        <w:rPr/>
      </w:pPr>
      <w:r>
        <w:rPr>
          <w:rFonts w:ascii="Calibri" w:hAnsi="Calibri"/>
          <w:color w:val="000000"/>
          <w:sz w:val="20"/>
        </w:rPr>
        <w:t>This is a strong example of why the platform should be defined around controlled culture imaging plus method-specific interpretation rather than only circular inhibition-zone measurement. A future AMReye dermatophyte-screening module could reuse plate localisation, calibrated/color-controlled imaging, incubation/time records, growth quantification, QC, reviewer workflow and audit/version records, but would require fungal-specific media, inoculum, incubation temperature/time, well/plate geometry, growth-scoring rules and EUCAST AFST reference/confirmation pathways. Because faint/pinpoint growth and delayed growth can affect classification, an automated model should expose the growth evidence and abstain for borderline/poor-control wells rather than force wild-type/non-wild-type output. This should remain separate from bacterial Reader V1 and from CLSI M44 yeast disk diffusion. Official anchors: </w:t>
      </w:r>
      <w:hyperlink r:id="rId92">
        <w:r>
          <w:rPr>
            <w:rFonts w:ascii="Calibri" w:hAnsi="Calibri"/>
            <w:color w:val="000000"/>
            <w:sz w:val="22"/>
          </w:rPr>
          <w:t>https://www.eucast.org/fungi-afst/methodology-and-instructions/ast-of-dermatophytes/</w:t>
        </w:r>
      </w:hyperlink>
      <w:r>
        <w:rPr>
          <w:rFonts w:ascii="Calibri" w:hAnsi="Calibri"/>
          <w:color w:val="000000"/>
          <w:sz w:val="20"/>
        </w:rPr>
        <w:t> ; </w:t>
      </w:r>
      <w:hyperlink r:id="rId93">
        <w:r>
          <w:rPr>
            <w:rFonts w:ascii="Calibri" w:hAnsi="Calibri"/>
            <w:color w:val="000000"/>
            <w:sz w:val="22"/>
          </w:rPr>
          <w:t>https://www.eucast.org/fungi-afst/</w:t>
        </w:r>
      </w:hyperlink>
      <w:r>
        <w:rPr>
          <w:rFonts w:ascii="Calibri" w:hAnsi="Calibri"/>
          <w:color w:val="000000"/>
          <w:sz w:val="20"/>
        </w:rPr>
        <w:t> ; </w:t>
      </w:r>
      <w:hyperlink r:id="rId94">
        <w:r>
          <w:rPr>
            <w:rFonts w:ascii="Calibri" w:hAnsi="Calibri"/>
            <w:color w:val="000000"/>
            <w:sz w:val="22"/>
          </w:rPr>
          <w:t>https://pubmed.ncbi.nlm.nih.gov/40706670/</w:t>
        </w:r>
      </w:hyperlink>
      <w:r>
        <w:rPr>
          <w:rFonts w:ascii="Calibri" w:hAnsi="Calibri"/>
          <w:color w:val="000000"/>
          <w:sz w:val="20"/>
        </w:rPr>
        <w:t> . Official EUCAST anchors: </w:t>
      </w:r>
      <w:hyperlink r:id="rId95">
        <w:r>
          <w:rPr>
            <w:rFonts w:ascii="Calibri" w:hAnsi="Calibri"/>
            <w:color w:val="000000"/>
            <w:sz w:val="22"/>
          </w:rPr>
          <w:t>https://www.eucast.org/bacteria/methodology-and-instructions/mic-determination/</w:t>
        </w:r>
      </w:hyperlink>
      <w:r>
        <w:rPr>
          <w:rFonts w:ascii="Calibri" w:hAnsi="Calibri"/>
          <w:color w:val="000000"/>
          <w:sz w:val="20"/>
        </w:rPr>
        <w:t> ; </w:t>
      </w:r>
      <w:hyperlink r:id="rId96">
        <w:r>
          <w:rPr>
            <w:rFonts w:ascii="Calibri" w:hAnsi="Calibri"/>
            <w:color w:val="000000"/>
            <w:sz w:val="22"/>
          </w:rPr>
          <w:t>https://www.eucast.org/bacteria/methodology-and-instructions/warnings/</w:t>
        </w:r>
      </w:hyperlink>
      <w:r>
        <w:rPr>
          <w:rFonts w:ascii="Calibri" w:hAnsi="Calibri"/>
          <w:color w:val="000000"/>
          <w:sz w:val="20"/>
        </w:rPr>
        <w:t> ; </w:t>
      </w:r>
      <w:hyperlink r:id="rId97">
        <w:r>
          <w:rPr>
            <w:rFonts w:ascii="Calibri" w:hAnsi="Calibri"/>
            <w:color w:val="000000"/>
            <w:sz w:val="22"/>
          </w:rPr>
          <w:t>https://www.eucast.org/news-detail/updated-warning-against-gradient-tests-for-benzylpenicillin-mics-in-s-pneumoniae/</w:t>
        </w:r>
      </w:hyperlink>
      <w:r>
        <w:rPr>
          <w:rFonts w:ascii="Calibri" w:hAnsi="Calibri"/>
          <w:color w:val="000000"/>
          <w:sz w:val="20"/>
        </w:rPr>
        <w:t> ; </w:t>
      </w:r>
      <w:hyperlink r:id="rId98">
        <w:r>
          <w:rPr>
            <w:rFonts w:ascii="Calibri" w:hAnsi="Calibri"/>
            <w:color w:val="000000"/>
            <w:sz w:val="22"/>
          </w:rPr>
          <w:t>https://www.eucast.org/news-detail/a-warning-against-antifungal-susceptibility-testing-of-amphotericin-b-problems-detected-with-several-commercially-available-products/</w:t>
        </w:r>
      </w:hyperlink>
      <w:r>
        <w:rPr>
          <w:rFonts w:ascii="Calibri" w:hAnsi="Calibri"/>
          <w:color w:val="000000"/>
          <w:sz w:val="20"/>
        </w:rPr>
        <w:t> . Official anchors: </w:t>
      </w:r>
      <w:hyperlink r:id="rId99">
        <w:r>
          <w:rPr>
            <w:rFonts w:ascii="Calibri" w:hAnsi="Calibri"/>
            <w:color w:val="000000"/>
            <w:sz w:val="22"/>
          </w:rPr>
          <w:t>https://clsi.org/htd/listallterms.asp</w:t>
        </w:r>
      </w:hyperlink>
      <w:r>
        <w:rPr>
          <w:rFonts w:ascii="Calibri" w:hAnsi="Calibri"/>
          <w:color w:val="000000"/>
          <w:sz w:val="20"/>
        </w:rPr>
        <w:t> ; </w:t>
      </w:r>
      <w:hyperlink r:id="rId100">
        <w:r>
          <w:rPr>
            <w:rFonts w:ascii="Calibri" w:hAnsi="Calibri"/>
            <w:color w:val="000000"/>
            <w:sz w:val="22"/>
          </w:rPr>
          <w:t>https://clsi.org/shop/standards/m100/</w:t>
        </w:r>
      </w:hyperlink>
      <w:r>
        <w:rPr>
          <w:rFonts w:ascii="Calibri" w:hAnsi="Calibri"/>
          <w:color w:val="000000"/>
          <w:sz w:val="20"/>
        </w:rPr>
        <w:t> ; </w:t>
      </w:r>
      <w:hyperlink r:id="rId101">
        <w:r>
          <w:rPr>
            <w:rFonts w:ascii="Calibri" w:hAnsi="Calibri"/>
            <w:color w:val="000000"/>
            <w:sz w:val="22"/>
          </w:rPr>
          <w:t>https://www.eucast.org/bacteria/important-additional-information/resistance-detection/</w:t>
        </w:r>
      </w:hyperlink>
      <w:r>
        <w:rPr>
          <w:rFonts w:ascii="Calibri" w:hAnsi="Calibri"/>
          <w:color w:val="000000"/>
          <w:sz w:val="20"/>
        </w:rPr>
        <w:t> ; </w:t>
      </w:r>
      <w:hyperlink r:id="rId102">
        <w:r>
          <w:rPr>
            <w:rFonts w:ascii="Calibri" w:hAnsi="Calibri"/>
            <w:color w:val="000000"/>
            <w:sz w:val="22"/>
          </w:rPr>
          <w:t>https://www.eucast.org/bacteria/guidance-documents/</w:t>
        </w:r>
      </w:hyperlink>
      <w:r>
        <w:rPr>
          <w:rFonts w:ascii="Calibri" w:hAnsi="Calibri"/>
          <w:color w:val="000000"/>
          <w:sz w:val="20"/>
        </w:rPr>
        <w:t> .</w:t>
      </w:r>
    </w:p>
    <w:p>
      <w:pPr>
        <w:spacing w:before="0" w:after="50" w:line="250" w:lineRule="auto"/>
      </w:pPr>
      <w:r>
        <w:rPr>
          <w:rFonts w:ascii="Calibri" w:hAnsi="Calibri"/>
          <w:sz w:val="20"/>
        </w:rPr>
        <w:t>Cell-culture, stem-cell and organoid workflows are separate research programmes. They require a defined biological model, authorized data, appropriate imaging and environmental controls, reference measurements and independent validation before hardware selection or performance claims. Reusing platform components does not transfer AST validation to these uses.</w:t>
      </w:r>
    </w:p>
    <w:sectPr w:rsidR="00FC693F" w:rsidRPr="0006063C" w:rsidSect="00034616">
      <w:headerReference w:type="default" r:id="rId9"/>
      <w:footerReference w:type="default" r:id="rId10"/>
      <w:pgSz w:w="12240" w:h="20160"/>
      <w:pgMar w:top="720" w:right="720" w:bottom="720" w:left="720"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AMREYE.AI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Product and Laboratory Workflows  |  Supporting reference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0" w:before="0" w:after="50"/>
      <w:jc w:val="start"/>
    </w:pPr>
    <w:rPr>
      <w:rFonts w:ascii="Calibri" w:hAnsi="Calibri" w:eastAsia="ＭＳ 明朝" w:cs="" w:cstheme="minorBidi" w:eastAsiaTheme="minorEastAsia"/>
      <w:color w:val="000000"/>
      <w:kern w:val="0"/>
      <w:sz w:val="20"/>
      <w:szCs w:val="22"/>
      <w:lang w:val="en-US" w:eastAsia="en-US" w:bidi="ar-SA"/>
    </w:rPr>
  </w:style>
  <w:style w:type="paragraph" w:styleId="Heading1">
    <w:name w:val="heading 1"/>
    <w:basedOn w:val="Normal"/>
    <w:next w:val="Normal"/>
    <w:link w:val="Heading1Char"/>
    <w:uiPriority w:val="9"/>
    <w:qFormat/>
    <w:rsid w:val="00fc693f"/>
    <w:pPr>
      <w:keepNext/>
      <w:keepLines/>
      <w:pageBreakBefore w:val="0"/>
      <w:spacing w:before="300" w:after="140"/>
      <w:outlineLvl w:val="0"/>
    </w:pPr>
    <w:rPr>
      <w:rFonts w:ascii="Calibri" w:hAnsi="Calibri" w:eastAsia="ＭＳ ゴシック"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00"/>
      <w:outlineLvl w:val="1"/>
    </w:pPr>
    <w:rPr>
      <w:rFonts w:ascii="Calibri" w:hAnsi="Calibri" w:eastAsia="ＭＳ ゴシック" w:cs="" w:asciiTheme="majorHAnsi" w:cstheme="majorBidi" w:eastAsiaTheme="majorEastAsia" w:hAnsiTheme="majorHAnsi"/>
      <w:b/>
      <w:bCs/>
      <w:color w:val="000000"/>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140" w:after="6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000000"/>
      <w:sz w:val="22"/>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b/>
      <w:color w:val="000000"/>
      <w:sz w:val="21"/>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b/>
      <w:i/>
      <w:iCs/>
      <w:color w:val="000000"/>
      <w:sz w:val="2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00000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00000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Calibri" w:hAnsi="Calibri" w:eastAsia="Noto Sans CJK SC" w:cs="Lohit Devanagari"/>
      <w:color w:val="000000"/>
      <w:sz w:val="28"/>
      <w:szCs w:val="28"/>
    </w:rPr>
  </w:style>
  <w:style w:type="paragraph" w:styleId="BodyText">
    <w:name w:val="Body Text"/>
    <w:basedOn w:val="Normal"/>
    <w:link w:val="BodyTextChar"/>
    <w:uiPriority w:val="99"/>
    <w:unhideWhenUsed/>
    <w:rsid w:val="00aa1d8d"/>
    <w:pPr>
      <w:spacing w:before="0" w:after="100" w:line="269" w:lineRule="auto"/>
    </w:pPr>
    <w:rPr>
      <w:rFonts w:ascii="Calibri" w:hAnsi="Calibri"/>
      <w:color w:val="000000"/>
      <w:sz w:val="22"/>
    </w:rPr>
  </w:style>
  <w:style w:type="paragraph" w:styleId="List">
    <w:name w:val="List"/>
    <w:basedOn w:val="Normal"/>
    <w:uiPriority w:val="99"/>
    <w:unhideWhenUsed/>
    <w:rsid w:val="00aa1d8d"/>
    <w:pPr>
      <w:spacing w:before="0" w:after="60"/>
      <w:ind w:hanging="360" w:start="360"/>
      <w:contextualSpacing/>
    </w:pPr>
    <w:rPr>
      <w:rFonts w:ascii="Calibri" w:hAnsi="Calibri"/>
      <w:color w:val="000000"/>
    </w:rPr>
  </w:style>
  <w:style w:type="paragraph" w:styleId="Caption">
    <w:name w:val="caption"/>
    <w:basedOn w:val="Normal"/>
    <w:next w:val="Normal"/>
    <w:uiPriority w:val="35"/>
    <w:semiHidden/>
    <w:unhideWhenUsed/>
    <w:qFormat/>
    <w:rsid w:val="00fc693f"/>
    <w:pPr>
      <w:keepNext/>
      <w:spacing w:lineRule="auto" w:line="240"/>
    </w:pPr>
    <w:rPr>
      <w:rFonts w:ascii="Calibri" w:hAnsi="Calibri"/>
      <w:b/>
      <w:bCs/>
      <w:color w:val="333333"/>
      <w:sz w:val="18"/>
      <w:szCs w:val="18"/>
    </w:rPr>
  </w:style>
  <w:style w:type="paragraph" w:styleId="Index">
    <w:name w:val="Index"/>
    <w:basedOn w:val="Normal"/>
    <w:qFormat/>
    <w:pPr>
      <w:suppressLineNumbers/>
    </w:pPr>
    <w:rPr>
      <w:rFonts w:cs="Lohit Devanagari" w:ascii="Calibri" w:hAnsi="Calibri"/>
      <w:color w:val="000000"/>
    </w:rPr>
  </w:style>
  <w:style w:type="paragraph" w:styleId="HeaderandFooter">
    <w:name w:val="Header and Footer"/>
    <w:basedOn w:val="Normal"/>
    <w:qFormat/>
    <w:pPr/>
    <w:rPr>
      <w:rFonts w:ascii="Calibri" w:hAnsi="Calibri"/>
      <w:color w:val="000000"/>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NoSpacing">
    <w:name w:val="No Spacing"/>
    <w:uiPriority w:val="1"/>
    <w:qFormat/>
    <w:rsid w:val="00fc693f"/>
    <w:pPr>
      <w:widowControl/>
      <w:bidi w:val="0"/>
      <w:spacing w:lineRule="auto" w:line="240" w:before="0" w:after="0"/>
      <w:jc w:val="start"/>
    </w:pPr>
    <w:rPr>
      <w:rFonts w:ascii="Calibri" w:hAnsi="Calibri" w:eastAsia="ＭＳ 明朝" w:cs="" w:asciiTheme="minorHAnsi" w:cstheme="minorBidi" w:eastAsiaTheme="minorEastAsia" w:hAnsiTheme="minorHAnsi"/>
      <w:color w:val="000000"/>
      <w:kern w:val="0"/>
      <w:sz w:val="22"/>
      <w:szCs w:val="22"/>
      <w:lang w:val="en-US" w:eastAsia="en-US" w:bidi="ar-SA"/>
    </w:rPr>
  </w:style>
  <w:style w:type="paragraph" w:styleId="Title">
    <w:name w:val="Title"/>
    <w:basedOn w:val="Normal"/>
    <w:next w:val="Normal"/>
    <w:link w:val="TitleChar"/>
    <w:uiPriority w:val="10"/>
    <w:qFormat/>
    <w:rsid w:val="00fc693f"/>
    <w:pPr>
      <w:keepNext/>
      <w:pageBreakBefore w:val="0"/>
      <w:spacing w:lineRule="auto" w:line="240" w:before="0" w:after="200"/>
      <w:contextualSpacing/>
    </w:pPr>
    <w:rPr>
      <w:rFonts w:ascii="Calibri" w:hAnsi="Calibri" w:eastAsia="ＭＳ ゴシック" w:cs="" w:asciiTheme="majorHAnsi" w:cstheme="majorBidi" w:eastAsiaTheme="majorEastAsia" w:hAnsiTheme="majorHAnsi"/>
      <w:b/>
      <w:color w:val="000000"/>
      <w:spacing w:val="5"/>
      <w:kern w:val="2"/>
      <w:sz w:val="5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00" w:line="269" w:lineRule="auto"/>
      <w:ind w:start="720"/>
      <w:contextualSpacing/>
    </w:pPr>
    <w:rPr>
      <w:rFonts w:ascii="Calibri" w:hAnsi="Calibri"/>
      <w:color w:val="000000"/>
      <w:sz w:val="22"/>
    </w:rPr>
  </w:style>
  <w:style w:type="paragraph" w:styleId="BodyText2">
    <w:name w:val="Body Text 2"/>
    <w:basedOn w:val="Normal"/>
    <w:link w:val="BodyText2Char"/>
    <w:uiPriority w:val="99"/>
    <w:unhideWhenUsed/>
    <w:qFormat/>
    <w:rsid w:val="00aa1d8d"/>
    <w:pPr>
      <w:spacing w:lineRule="auto" w:line="480" w:before="0" w:after="120"/>
    </w:pPr>
    <w:rPr>
      <w:rFonts w:ascii="Calibri" w:hAnsi="Calibri"/>
      <w:color w:val="000000"/>
    </w:rPr>
  </w:style>
  <w:style w:type="paragraph" w:styleId="BodyText3">
    <w:name w:val="Body Text 3"/>
    <w:basedOn w:val="Normal"/>
    <w:link w:val="BodyText3Char"/>
    <w:uiPriority w:val="99"/>
    <w:unhideWhenUsed/>
    <w:qFormat/>
    <w:rsid w:val="00aa1d8d"/>
    <w:pPr>
      <w:spacing w:before="0" w:after="120"/>
    </w:pPr>
    <w:rPr>
      <w:rFonts w:ascii="Calibri" w:hAnsi="Calibri"/>
      <w:color w:val="000000"/>
      <w:sz w:val="16"/>
      <w:szCs w:val="16"/>
    </w:rPr>
  </w:style>
  <w:style w:type="paragraph" w:styleId="List2">
    <w:name w:val="List 2"/>
    <w:basedOn w:val="Normal"/>
    <w:uiPriority w:val="99"/>
    <w:unhideWhenUsed/>
    <w:qFormat/>
    <w:rsid w:val="00326f90"/>
    <w:pPr>
      <w:spacing w:before="0" w:after="60"/>
      <w:ind w:hanging="360" w:start="720"/>
      <w:contextualSpacing/>
    </w:pPr>
    <w:rPr>
      <w:rFonts w:ascii="Calibri" w:hAnsi="Calibri"/>
      <w:color w:val="000000"/>
    </w:rPr>
  </w:style>
  <w:style w:type="paragraph" w:styleId="List3">
    <w:name w:val="List 3"/>
    <w:basedOn w:val="Normal"/>
    <w:uiPriority w:val="99"/>
    <w:unhideWhenUsed/>
    <w:qFormat/>
    <w:rsid w:val="00326f90"/>
    <w:pPr>
      <w:spacing w:before="0" w:after="60"/>
      <w:ind w:hanging="360" w:start="1080"/>
      <w:contextualSpacing/>
    </w:pPr>
    <w:rPr>
      <w:rFonts w:ascii="Calibri" w:hAnsi="Calibri"/>
      <w:color w:val="000000"/>
    </w:rPr>
  </w:style>
  <w:style w:type="paragraph" w:styleId="ListBullet">
    <w:name w:val="List Bullet"/>
    <w:basedOn w:val="Normal"/>
    <w:uiPriority w:val="99"/>
    <w:unhideWhenUsed/>
    <w:rsid w:val="00326f90"/>
    <w:pPr>
      <w:numPr>
        <w:ilvl w:val="0"/>
        <w:numId w:val="1"/>
      </w:numPr>
      <w:spacing w:before="0" w:after="60"/>
      <w:contextualSpacing/>
    </w:pPr>
    <w:rPr>
      <w:rFonts w:ascii="Calibri" w:hAnsi="Calibri"/>
      <w:color w:val="000000"/>
    </w:rPr>
  </w:style>
  <w:style w:type="paragraph" w:styleId="ListBullet2">
    <w:name w:val="List Bullet 2"/>
    <w:basedOn w:val="Normal"/>
    <w:uiPriority w:val="99"/>
    <w:unhideWhenUsed/>
    <w:rsid w:val="00326f90"/>
    <w:pPr>
      <w:numPr>
        <w:ilvl w:val="0"/>
        <w:numId w:val="2"/>
      </w:numPr>
      <w:spacing w:before="0" w:after="60"/>
      <w:contextualSpacing/>
    </w:pPr>
    <w:rPr>
      <w:rFonts w:ascii="Calibri" w:hAnsi="Calibri"/>
      <w:color w:val="000000"/>
    </w:rPr>
  </w:style>
  <w:style w:type="paragraph" w:styleId="ListBullet3">
    <w:name w:val="List Bullet 3"/>
    <w:basedOn w:val="Normal"/>
    <w:uiPriority w:val="99"/>
    <w:unhideWhenUsed/>
    <w:rsid w:val="00326f90"/>
    <w:pPr>
      <w:numPr>
        <w:ilvl w:val="0"/>
        <w:numId w:val="3"/>
      </w:numPr>
      <w:spacing w:before="0" w:after="60"/>
      <w:contextualSpacing/>
    </w:pPr>
    <w:rPr>
      <w:rFonts w:ascii="Calibri" w:hAnsi="Calibri"/>
      <w:color w:val="000000"/>
    </w:rPr>
  </w:style>
  <w:style w:type="paragraph" w:styleId="ListNumber">
    <w:name w:val="List Number"/>
    <w:basedOn w:val="Normal"/>
    <w:uiPriority w:val="99"/>
    <w:unhideWhenUsed/>
    <w:rsid w:val="00326f90"/>
    <w:pPr>
      <w:numPr>
        <w:ilvl w:val="0"/>
        <w:numId w:val="4"/>
      </w:numPr>
      <w:spacing w:before="0" w:after="60"/>
      <w:contextualSpacing/>
    </w:pPr>
    <w:rPr>
      <w:rFonts w:ascii="Calibri" w:hAnsi="Calibri"/>
      <w:color w:val="000000"/>
    </w:rPr>
  </w:style>
  <w:style w:type="paragraph" w:styleId="ListNumber2">
    <w:name w:val="List Number 2"/>
    <w:basedOn w:val="Normal"/>
    <w:uiPriority w:val="99"/>
    <w:unhideWhenUsed/>
    <w:rsid w:val="0029639d"/>
    <w:pPr>
      <w:numPr>
        <w:ilvl w:val="0"/>
        <w:numId w:val="5"/>
      </w:numPr>
      <w:spacing w:before="0" w:after="60"/>
      <w:contextualSpacing/>
    </w:pPr>
    <w:rPr>
      <w:rFonts w:ascii="Calibri" w:hAnsi="Calibri"/>
      <w:color w:val="000000"/>
    </w:rPr>
  </w:style>
  <w:style w:type="paragraph" w:styleId="ListNumber3">
    <w:name w:val="List Number 3"/>
    <w:basedOn w:val="Normal"/>
    <w:uiPriority w:val="99"/>
    <w:unhideWhenUsed/>
    <w:rsid w:val="0029639d"/>
    <w:pPr>
      <w:numPr>
        <w:ilvl w:val="0"/>
        <w:numId w:val="6"/>
      </w:numPr>
      <w:spacing w:before="0" w:after="60"/>
      <w:contextualSpacing/>
    </w:pPr>
    <w:rPr>
      <w:rFonts w:ascii="Calibri" w:hAnsi="Calibri"/>
      <w:color w:val="000000"/>
    </w:rPr>
  </w:style>
  <w:style w:type="paragraph" w:styleId="ListContinue">
    <w:name w:val="List Continue"/>
    <w:basedOn w:val="Normal"/>
    <w:uiPriority w:val="99"/>
    <w:unhideWhenUsed/>
    <w:rsid w:val="0029639d"/>
    <w:pPr>
      <w:spacing w:before="0" w:after="120"/>
      <w:ind w:start="360"/>
      <w:contextualSpacing/>
    </w:pPr>
    <w:rPr>
      <w:rFonts w:ascii="Calibri" w:hAnsi="Calibri"/>
      <w:color w:val="000000"/>
    </w:rPr>
  </w:style>
  <w:style w:type="paragraph" w:styleId="ListContinue2">
    <w:name w:val="List Continue 2"/>
    <w:basedOn w:val="Normal"/>
    <w:uiPriority w:val="99"/>
    <w:unhideWhenUsed/>
    <w:rsid w:val="0029639d"/>
    <w:pPr>
      <w:spacing w:before="0" w:after="120"/>
      <w:ind w:start="720"/>
      <w:contextualSpacing/>
    </w:pPr>
    <w:rPr>
      <w:rFonts w:ascii="Calibri" w:hAnsi="Calibri"/>
      <w:color w:val="000000"/>
    </w:rPr>
  </w:style>
  <w:style w:type="paragraph" w:styleId="ListContinue3">
    <w:name w:val="List Continue 3"/>
    <w:basedOn w:val="Normal"/>
    <w:uiPriority w:val="99"/>
    <w:unhideWhenUsed/>
    <w:rsid w:val="0029639d"/>
    <w:pPr>
      <w:spacing w:before="0" w:after="120"/>
      <w:ind w:start="1080"/>
      <w:contextualSpacing/>
    </w:pPr>
    <w:rPr>
      <w:rFonts w:ascii="Calibri" w:hAnsi="Calibri"/>
      <w:color w:val="000000"/>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alibri" w:hAnsi="Calibri" w:eastAsia="ＭＳ 明朝" w:cs="" w:cstheme="minorBidi" w:eastAsiaTheme="minorEastAsia"/>
      <w:color w:val="000000"/>
      <w:kern w:val="0"/>
      <w:sz w:val="20"/>
      <w:szCs w:val="20"/>
      <w:lang w:val="en-US" w:eastAsia="en-US" w:bidi="ar-SA"/>
    </w:rPr>
  </w:style>
  <w:style w:type="paragraph" w:styleId="Quote">
    <w:name w:val="Quote"/>
    <w:basedOn w:val="Normal"/>
    <w:next w:val="Normal"/>
    <w:link w:val="QuoteChar"/>
    <w:uiPriority w:val="29"/>
    <w:qFormat/>
    <w:rsid w:val="00fc693f"/>
    <w:pPr/>
    <w:rPr>
      <w:rFonts w:ascii="Calibri" w:hAnsi="Calibri"/>
      <w:i/>
      <w:iCs/>
      <w:color w:val="000000"/>
    </w:rPr>
  </w:style>
  <w:style w:type="paragraph" w:styleId="IntenseQuote">
    <w:name w:val="Intense Quote"/>
    <w:basedOn w:val="Normal"/>
    <w:next w:val="Normal"/>
    <w:link w:val="IntenseQuoteChar"/>
    <w:uiPriority w:val="30"/>
    <w:qFormat/>
    <w:rsid w:val="00fc693f"/>
    <w:pPr>
      <w:spacing w:before="200" w:after="280"/>
      <w:ind w:start="936" w:end="936"/>
    </w:pPr>
    <w:rPr>
      <w:rFonts w:ascii="Calibri" w:hAnsi="Calibri"/>
      <w:b/>
      <w:bCs/>
      <w:i/>
      <w:iCs/>
      <w:color w:val="000000"/>
    </w:rPr>
  </w:style>
  <w:style w:type="paragraph" w:styleId="IndexHeading">
    <w:name w:val="index heading"/>
    <w:basedOn w:val="Heading"/>
    <w:pPr/>
    <w:rPr>
      <w:rFonts w:ascii="Calibri" w:hAnsi="Calibri"/>
      <w:color w:val="000000"/>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paragraph" w:styleId="TOC1">
    <w:name w:val="toc 1"/>
    <w:basedOn w:val="Index"/>
    <w:pPr>
      <w:tabs>
        <w:tab w:val="clear" w:pos="720"/>
        <w:tab w:val="right" w:pos="10282" w:leader="dot"/>
      </w:tabs>
      <w:ind w:hanging="0" w:start="0"/>
    </w:pPr>
    <w:rPr>
      <w:rFonts w:ascii="Calibri" w:hAnsi="Calibri"/>
      <w:color w:val="000000"/>
    </w:rPr>
  </w:style>
  <w:style w:type="paragraph" w:styleId="TOC2">
    <w:name w:val="toc 2"/>
    <w:basedOn w:val="Index"/>
    <w:pPr>
      <w:tabs>
        <w:tab w:val="clear" w:pos="720"/>
        <w:tab w:val="right" w:pos="9999" w:leader="dot"/>
      </w:tabs>
      <w:ind w:hanging="0" w:start="283"/>
    </w:pPr>
    <w:rPr>
      <w:rFonts w:ascii="Calibri" w:hAnsi="Calibri"/>
      <w:color w:val="000000"/>
    </w:rPr>
  </w:style>
  <w:style w:type="paragraph" w:styleId="TOC3">
    <w:name w:val="toc 3"/>
    <w:basedOn w:val="Index"/>
    <w:pPr>
      <w:tabs>
        <w:tab w:val="clear" w:pos="720"/>
        <w:tab w:val="right" w:pos="9715" w:leader="dot"/>
      </w:tabs>
      <w:ind w:hanging="0" w:start="567"/>
    </w:pPr>
    <w:rPr>
      <w:rFonts w:ascii="Calibri" w:hAnsi="Calibri"/>
      <w:color w:val="00000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rive.google.com/file/d/1yuNv2ukKT3OJ6aUCe5bVRlqtTuc-rn50/view" TargetMode="External"/><Relationship Id="rId12" Type="http://schemas.openxmlformats.org/officeDocument/2006/relationships/hyperlink" Target="https://drive.google.com/file/d/1RTRqQsgskSywx2cf2YkpJOHzD_qNFfPv/view" TargetMode="Externa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hyperlink" Target="https://www.accessdata.fda.gov/cdrh_docs/reviews/K183648.pdf" TargetMode="External"/><Relationship Id="rId17" Type="http://schemas.openxmlformats.org/officeDocument/2006/relationships/hyperlink" Target="https://doi.org/10.1128/spectrum.01442-22" TargetMode="External"/><Relationship Id="rId18" Type="http://schemas.openxmlformats.org/officeDocument/2006/relationships/hyperlink" Target="https://www.cdc.gov/mrsa/php/laboratories/index.html" TargetMode="External"/><Relationship Id="rId19" Type="http://schemas.openxmlformats.org/officeDocument/2006/relationships/hyperlink" Target="https://loinc.org/kb/users-guide/special-cases/antimicrobial-susceptibilities" TargetMode="External"/><Relationship Id="rId20" Type="http://schemas.openxmlformats.org/officeDocument/2006/relationships/hyperlink" Target="https://terminology.hl7.org/7.0.1/ValueSet-v3-ObservationInterpretationSusceptibility.html" TargetMode="External"/><Relationship Id="rId21" Type="http://schemas.openxmlformats.org/officeDocument/2006/relationships/hyperlink" Target="https://whonet.org/software.html" TargetMode="External"/><Relationship Id="rId22" Type="http://schemas.openxmlformats.org/officeDocument/2006/relationships/hyperlink" Target="https://whonet.org/features.html" TargetMode="External"/><Relationship Id="rId23" Type="http://schemas.openxmlformats.org/officeDocument/2006/relationships/hyperlink" Target="https://www.nrces.in/ndhm/fhir/r4/StructureDefinition-Observation.html" TargetMode="External"/><Relationship Id="rId24" Type="http://schemas.openxmlformats.org/officeDocument/2006/relationships/hyperlink" Target="https://openelis-global.org/" TargetMode="External"/><Relationship Id="rId25" Type="http://schemas.openxmlformats.org/officeDocument/2006/relationships/hyperlink" Target="https://docs.openelisci.org/" TargetMode="External"/><Relationship Id="rId26" Type="http://schemas.openxmlformats.org/officeDocument/2006/relationships/hyperlink" Target="https://www.ultralytics.com/license" TargetMode="External"/><Relationship Id="rId27" Type="http://schemas.openxmlformats.org/officeDocument/2006/relationships/hyperlink" Target="https://www.who.int/initiatives/glass/glass-focused-surveillance" TargetMode="External"/><Relationship Id="rId28" Type="http://schemas.openxmlformats.org/officeDocument/2006/relationships/hyperlink" Target="https://www.psa.gov.in/iaih" TargetMode="External"/><Relationship Id="rId29" Type="http://schemas.openxmlformats.org/officeDocument/2006/relationships/hyperlink" Target="https://www.psa.gov.in/pdf-article/2nd-india-antimicrobial-resistance-amr-innovation-workshop/10662" TargetMode="External"/><Relationship Id="rId30" Type="http://schemas.openxmlformats.org/officeDocument/2006/relationships/hyperlink" Target="https://www.ccamp.res.in/node/9130" TargetMode="External"/><Relationship Id="rId31" Type="http://schemas.openxmlformats.org/officeDocument/2006/relationships/hyperlink" Target="https://icars-global.org/seven-awarded-innovations-c-camp/" TargetMode="External"/><Relationship Id="rId32" Type="http://schemas.openxmlformats.org/officeDocument/2006/relationships/hyperlink" Target="https://www.ncdc.mohfw.gov.in/wp-content/uploads/2025/11/National-Action-Plan-on-Antimicrobial-Resistance-NAP-AMR-2.0.pdf" TargetMode="External"/><Relationship Id="rId33" Type="http://schemas.openxmlformats.org/officeDocument/2006/relationships/hyperlink" Target="https://ncdc.mohfw.gov.in/wp-content/uploads/2025/09/Final_Annual-Report-2025_Jan-to-Dec-2024.pdf" TargetMode="External"/><Relationship Id="rId34" Type="http://schemas.openxmlformats.org/officeDocument/2006/relationships/hyperlink" Target="https://www.ncdc.mohfw.gov.in/includes/About/CentresAndDivision/amr.php" TargetMode="External"/><Relationship Id="rId35" Type="http://schemas.openxmlformats.org/officeDocument/2006/relationships/hyperlink" Target="https://ncdc.mohfw.gov.in/wp-content/uploads/2025/10/Semi-Annual-Bulletin-Issue-5-Jan-to-June-2025.pdf" TargetMode="External"/><Relationship Id="rId36" Type="http://schemas.openxmlformats.org/officeDocument/2006/relationships/hyperlink" Target="https://gmcgoa.edu.in/department-of-microbiology/" TargetMode="External"/><Relationship Id="rId37" Type="http://schemas.openxmlformats.org/officeDocument/2006/relationships/hyperlink" Target="https://nhm.goa.gov.in/health-centers-hospitals/" TargetMode="External"/><Relationship Id="rId38" Type="http://schemas.openxmlformats.org/officeDocument/2006/relationships/hyperlink" Target="https://ccari.res.in/Shirish.html" TargetMode="External"/><Relationship Id="rId39" Type="http://schemas.openxmlformats.org/officeDocument/2006/relationships/hyperlink" Target="https://ccari.res.in/estuarinecage231025.html" TargetMode="External"/><Relationship Id="rId40" Type="http://schemas.openxmlformats.org/officeDocument/2006/relationships/hyperlink" Target="https://www.goa.gov.in/department/foods-and-drugs-administration/" TargetMode="External"/><Relationship Id="rId41" Type="http://schemas.openxmlformats.org/officeDocument/2006/relationships/hyperlink" Target="https://www.goa.gov.in/wp-content/uploads/2022/08/License-Mandatory-For-Manufacture-Of-Medical-Devices.pdf" TargetMode="External"/><Relationship Id="rId42" Type="http://schemas.openxmlformats.org/officeDocument/2006/relationships/hyperlink" Target="https://cdsco.gov.in/opencms/opencms/en/Departments/Sub-Zone/Goa/" TargetMode="External"/><Relationship Id="rId43" Type="http://schemas.openxmlformats.org/officeDocument/2006/relationships/hyperlink" Target="https://www.who.int/news/item/25-05-2026-the-world-health-assembly-adopts-updated-global-action-plan-on-antimicrobial-resistance-%282026-2036%29" TargetMode="External"/><Relationship Id="rId44" Type="http://schemas.openxmlformats.org/officeDocument/2006/relationships/hyperlink" Target="https://apps.who.int/gb/ebwha/pdf_files/WHA79/A79_5Add2-en.pdf" TargetMode="External"/><Relationship Id="rId45" Type="http://schemas.openxmlformats.org/officeDocument/2006/relationships/hyperlink" Target="https://www.who.int/en/news-room/fact-sheets/detail/antimicrobial-resistance" TargetMode="External"/><Relationship Id="rId46" Type="http://schemas.openxmlformats.org/officeDocument/2006/relationships/hyperlink" Target="https://www.ecdc.europa.eu/en/about-us/networks/disease-networks-and-laboratory-networks/ears-net-data" TargetMode="External"/><Relationship Id="rId47" Type="http://schemas.openxmlformats.org/officeDocument/2006/relationships/hyperlink" Target="https://www.cdc.gov/nhsn/faqs/faq-ar.html" TargetMode="External"/><Relationship Id="rId48" Type="http://schemas.openxmlformats.org/officeDocument/2006/relationships/hyperlink" Target="https://www.cdc.gov/nhsn/pdfs/pscmanual/11pscaurcurrent.pdf" TargetMode="External"/><Relationship Id="rId49" Type="http://schemas.openxmlformats.org/officeDocument/2006/relationships/hyperlink" Target="https://www.who.int/initiatives/glass" TargetMode="External"/><Relationship Id="rId50" Type="http://schemas.openxmlformats.org/officeDocument/2006/relationships/hyperlink" Target="https://africacdc.org/download/antimicrobial-resistance-control-framework-2026-2030/" TargetMode="External"/><Relationship Id="rId51" Type="http://schemas.openxmlformats.org/officeDocument/2006/relationships/hyperlink" Target="https://africacdc.org/news-item/africa-cdc-aslm-and-the-european-union-launch-one-health-laboratory-initiative-to-strengthen-amr-control-in-africa/" TargetMode="External"/><Relationship Id="rId52" Type="http://schemas.openxmlformats.org/officeDocument/2006/relationships/hyperlink" Target="https://africacdc.org/rislnet/" TargetMode="External"/><Relationship Id="rId53" Type="http://schemas.openxmlformats.org/officeDocument/2006/relationships/hyperlink" Target="https://www.who.int/publications/i/item/9789290209942" TargetMode="External"/><Relationship Id="rId54" Type="http://schemas.openxmlformats.org/officeDocument/2006/relationships/hyperlink" Target="https://www.who.int/publications/i/item/sea-hdc-1" TargetMode="External"/><Relationship Id="rId55" Type="http://schemas.openxmlformats.org/officeDocument/2006/relationships/hyperlink" Target="https://www.paho.org/en/topics/antimicrobial-resistance/latin-american-and-caribbean-network-antimicrobial-resistance" TargetMode="External"/><Relationship Id="rId56" Type="http://schemas.openxmlformats.org/officeDocument/2006/relationships/hyperlink" Target="https://www.paho.org/en/documents/relavra-leading-fight-against-antimicrobial-resistance-latin-america-and-caribbean" TargetMode="External"/><Relationship Id="rId57" Type="http://schemas.openxmlformats.org/officeDocument/2006/relationships/hyperlink" Target="https://www.paho.org/en/news/10-4-2026-caribbean-laboratory-professionals-participating-training-lims-and-new-technologies" TargetMode="External"/><Relationship Id="rId58" Type="http://schemas.openxmlformats.org/officeDocument/2006/relationships/hyperlink" Target="https://www.paho.org/en/news/10-4-2026-equipment-update-uk-fleming-fund-and-paho-strengthening-laboratory-capacity-across" TargetMode="External"/><Relationship Id="rId59" Type="http://schemas.openxmlformats.org/officeDocument/2006/relationships/hyperlink" Target="https://www.who.int/news-room/articles-detail/who-toolkit-for-standard-operating-procedures-for-bacteriology--mycology-and-antimicrobial-susceptibility-testing" TargetMode="External"/><Relationship Id="rId60" Type="http://schemas.openxmlformats.org/officeDocument/2006/relationships/hyperlink" Target="https://clsi.org/shop/standards/vet01/" TargetMode="External"/><Relationship Id="rId61" Type="http://schemas.openxmlformats.org/officeDocument/2006/relationships/hyperlink" Target="https://clsi.org/shop/standards/vet03/" TargetMode="External"/><Relationship Id="rId62" Type="http://schemas.openxmlformats.org/officeDocument/2006/relationships/hyperlink" Target="https://clsi.org/shop/standards/vet04/" TargetMode="External"/><Relationship Id="rId63" Type="http://schemas.openxmlformats.org/officeDocument/2006/relationships/hyperlink" Target="https://www.eucast.org/vetcast/" TargetMode="External"/><Relationship Id="rId64" Type="http://schemas.openxmlformats.org/officeDocument/2006/relationships/hyperlink" Target="https://www.eucast.org/about-eucast/public-consultations/" TargetMode="External"/><Relationship Id="rId65" Type="http://schemas.openxmlformats.org/officeDocument/2006/relationships/hyperlink" Target="https://www.fda.gov/animal-veterinary/cvm-updates/fda-releases-national-antimicrobial-resistance-monitoring-system-narms-strategic-plan-2026-2030" TargetMode="External"/><Relationship Id="rId66" Type="http://schemas.openxmlformats.org/officeDocument/2006/relationships/hyperlink" Target="https://www.fda.gov/media/79976/download" TargetMode="External"/><Relationship Id="rId67" Type="http://schemas.openxmlformats.org/officeDocument/2006/relationships/hyperlink" Target="https://www.fda.gov/animal-veterinary/national-antimicrobial-resistance-monitoring-system/narms-resources" TargetMode="External"/><Relationship Id="rId68" Type="http://schemas.openxmlformats.org/officeDocument/2006/relationships/hyperlink" Target="https://science.nasa.gov/biological-physical/investigations/microbial-tracking-3/" TargetMode="External"/><Relationship Id="rId69" Type="http://schemas.openxmlformats.org/officeDocument/2006/relationships/hyperlink" Target="https://science.nasa.gov/biological-physical/investigations/gears-genomic-enumeration-of-antibiotic-resistance-in-space/" TargetMode="External"/><Relationship Id="rId70" Type="http://schemas.openxmlformats.org/officeDocument/2006/relationships/hyperlink" Target="https://www.isro.gov.in/POEM_4_Payloads_spadex.html" TargetMode="External"/><Relationship Id="rId71" Type="http://schemas.openxmlformats.org/officeDocument/2006/relationships/hyperlink" Target="https://www.isro.gov.in/POEMCompletedOrbitsSpace.html" TargetMode="External"/><Relationship Id="rId72" Type="http://schemas.openxmlformats.org/officeDocument/2006/relationships/hyperlink" Target="https://www.isro.gov.in/media_isro/pdf/programme/Research_Areas_in_Space_for_web2023.pdf" TargetMode="External"/><Relationship Id="rId73" Type="http://schemas.openxmlformats.org/officeDocument/2006/relationships/hyperlink" Target="https://www.isro.gov.in/Space_Analog_Mission.html" TargetMode="External"/><Relationship Id="rId74" Type="http://schemas.openxmlformats.org/officeDocument/2006/relationships/hyperlink" Target="https://www.isro.gov.in/IndianMicrogravityExperiments_IMEx2026.html" TargetMode="External"/><Relationship Id="rId75" Type="http://schemas.openxmlformats.org/officeDocument/2006/relationships/hyperlink" Target="https://www.isro.gov.in/ISRO_AIIMS_NewDelhi_signs_Framework_Memorandum.html" TargetMode="External"/><Relationship Id="rId76" Type="http://schemas.openxmlformats.org/officeDocument/2006/relationships/hyperlink" Target="https://new1.isro.gov.in/DBT_ISRO_signs_Framework_Memorandum_of_Understanding_on_Cooperation_in_Space_Biotechnology.html" TargetMode="External"/><Relationship Id="rId77" Type="http://schemas.openxmlformats.org/officeDocument/2006/relationships/hyperlink" Target="https://astrobiology.nasa.gov/research/astrobiology-at-nasa/planetary-protection-research/" TargetMode="External"/><Relationship Id="rId78" Type="http://schemas.openxmlformats.org/officeDocument/2006/relationships/hyperlink" Target="https://astrobiology.nasa.gov/about/" TargetMode="External"/><Relationship Id="rId79" Type="http://schemas.openxmlformats.org/officeDocument/2006/relationships/hyperlink" Target="https://www.iso.org/standard/35499.html" TargetMode="External"/><Relationship Id="rId80" Type="http://schemas.openxmlformats.org/officeDocument/2006/relationships/hyperlink" Target="https://members.aatcc.org/store/tm147/554/" TargetMode="External"/><Relationship Id="rId81" Type="http://schemas.openxmlformats.org/officeDocument/2006/relationships/hyperlink" Target="https://www.who.int/publications/i/item/9789240110991" TargetMode="External"/><Relationship Id="rId82" Type="http://schemas.openxmlformats.org/officeDocument/2006/relationships/hyperlink" Target="https://clsi.org/shop/standards/m24/" TargetMode="External"/><Relationship Id="rId83" Type="http://schemas.openxmlformats.org/officeDocument/2006/relationships/hyperlink" Target="https://clsi.org/shop/standards/m24s/" TargetMode="External"/><Relationship Id="rId84" Type="http://schemas.openxmlformats.org/officeDocument/2006/relationships/hyperlink" Target="https://clsi.org/shop/standards/m44/" TargetMode="External"/><Relationship Id="rId85" Type="http://schemas.openxmlformats.org/officeDocument/2006/relationships/hyperlink" Target="https://clsi.org/about/press-releases/clsi-publishes-three-new-editions-of-antifungal-documents/" TargetMode="External"/><Relationship Id="rId86" Type="http://schemas.openxmlformats.org/officeDocument/2006/relationships/hyperlink" Target="https://www.eucast.org/fungi-afst/clinical-breakpoints-and-interpretation/clinical-breakpoint-table/" TargetMode="External"/><Relationship Id="rId87" Type="http://schemas.openxmlformats.org/officeDocument/2006/relationships/hyperlink" Target="https://www.who.int/publications/i/item/9789240105539" TargetMode="External"/><Relationship Id="rId88" Type="http://schemas.openxmlformats.org/officeDocument/2006/relationships/hyperlink" Target="https://www.who.int/publications/i/item/9789240122529" TargetMode="External"/><Relationship Id="rId89" Type="http://schemas.openxmlformats.org/officeDocument/2006/relationships/hyperlink" Target="https://www.eucast.org/bacteria/methodology-and-instructions/disk-diffusion-and-quality-control/" TargetMode="External"/><Relationship Id="rId90" Type="http://schemas.openxmlformats.org/officeDocument/2006/relationships/hyperlink" Target="https://www.eucast.org/news-detail/publication-of-updated-clinical-breakpoint-tables-version-161/" TargetMode="External"/><Relationship Id="rId91" Type="http://schemas.openxmlformats.org/officeDocument/2006/relationships/hyperlink" Target="https://clsi.org/shop/standards/m39/" TargetMode="External"/><Relationship Id="rId92" Type="http://schemas.openxmlformats.org/officeDocument/2006/relationships/hyperlink" Target="https://www.eucast.org/fungi-afst/methodology-and-instructions/ast-of-dermatophytes/" TargetMode="External"/><Relationship Id="rId93" Type="http://schemas.openxmlformats.org/officeDocument/2006/relationships/hyperlink" Target="https://www.eucast.org/fungi-afst/" TargetMode="External"/><Relationship Id="rId94" Type="http://schemas.openxmlformats.org/officeDocument/2006/relationships/hyperlink" Target="https://pubmed.ncbi.nlm.nih.gov/40706670/" TargetMode="External"/><Relationship Id="rId95" Type="http://schemas.openxmlformats.org/officeDocument/2006/relationships/hyperlink" Target="https://www.eucast.org/bacteria/methodology-and-instructions/mic-determination/" TargetMode="External"/><Relationship Id="rId96" Type="http://schemas.openxmlformats.org/officeDocument/2006/relationships/hyperlink" Target="https://www.eucast.org/bacteria/methodology-and-instructions/warnings/" TargetMode="External"/><Relationship Id="rId97" Type="http://schemas.openxmlformats.org/officeDocument/2006/relationships/hyperlink" Target="https://www.eucast.org/news-detail/updated-warning-against-gradient-tests-for-benzylpenicillin-mics-in-s-pneumoniae/" TargetMode="External"/><Relationship Id="rId98" Type="http://schemas.openxmlformats.org/officeDocument/2006/relationships/hyperlink" Target="https://www.eucast.org/news-detail/a-warning-against-antifungal-susceptibility-testing-of-amphotericin-b-problems-detected-with-several-commercially-available-products/" TargetMode="External"/><Relationship Id="rId99" Type="http://schemas.openxmlformats.org/officeDocument/2006/relationships/hyperlink" Target="https://clsi.org/htd/listallterms.asp" TargetMode="External"/><Relationship Id="rId100" Type="http://schemas.openxmlformats.org/officeDocument/2006/relationships/hyperlink" Target="https://clsi.org/shop/standards/m100/" TargetMode="External"/><Relationship Id="rId101" Type="http://schemas.openxmlformats.org/officeDocument/2006/relationships/hyperlink" Target="https://www.eucast.org/bacteria/important-additional-information/resistance-detection/" TargetMode="External"/><Relationship Id="rId102" Type="http://schemas.openxmlformats.org/officeDocument/2006/relationships/hyperlink" Target="https://www.eucast.org/bacteria/guidance-doc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AMREYE AI Product and Laboratory Workflows</dc:title>
  <dc:subject>Detailed product functions, laboratory workflows, intended applications and expansion boundaries. The immediate product is Reader V1 for endpoint disk diffusion. Broader sectors and capabilities remain proposed or subject to their own evidence.</dc:subject>
  <dc:creator>AMREYE.AI</dc:creator>
  <cp:keywords/>
  <dc:description>Detailed source content redistributed from the canonical master; claims retain their original evidence status.</dc:description>
  <cp:lastModifiedBy/>
  <cp:revision>1</cp:revision>
  <dcterms:created xsi:type="dcterms:W3CDTF">2013-12-23T23:15:00Z</dcterms:created>
  <dcterms:modified xsi:type="dcterms:W3CDTF">2013-12-23T23:15:00Z</dcterms:modified>
  <cp:category/>
</cp:coreProperties>
</file>