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color w:val="000000"/>
        </w:rPr>
        <w:t>AMREYE AI Scientific Evidence and References</w:t>
      </w:r>
    </w:p>
    <w:p>
      <w:pPr>
        <w:spacing w:before="0" w:after="50" w:line="250" w:lineRule="auto"/>
      </w:pPr>
      <w:r>
        <w:rPr>
          <w:rFonts w:ascii="Calibri" w:hAnsi="Calibri"/>
          <w:sz w:val="20"/>
        </w:rPr>
        <w:t>Research assessment, technical audit and the complete retained reference catalogue. External studies provide evidence about their own methods and conditions; they do not establish AMREYE performance. Reference counts are inventories, not counts of independent confirmation.</w:t>
      </w:r>
    </w:p>
    <w:p>
      <w:pPr>
        <w:spacing w:before="0" w:after="50" w:line="250" w:lineRule="auto"/>
      </w:pPr>
      <w:r>
        <w:rPr>
          <w:rFonts w:ascii="Calibri" w:hAnsi="Calibri"/>
          <w:sz w:val="20"/>
        </w:rPr>
        <w:t>Supporting reference revised 19 September 2026 from the source master last updated 17 September 2026. Detailed source content is retained for specialist use. Original figure and table numbers are retained for traceability. The concise AMREYE.AI Super Document remains the main project overview.</w:t>
      </w:r>
    </w:p>
    <w:p>
      <w:pPr>
        <w:spacing w:before="0" w:after="50" w:line="250" w:lineRule="auto"/>
      </w:pPr>
      <w:hyperlink r:id="rId11">
        <w:r>
          <w:rPr>
            <w:color w:val="154F63"/>
            <w:u w:val="single"/>
          </w:rPr>
          <w:t>Open the main project overview</w:t>
        </w:r>
      </w:hyperlink>
    </w:p>
    <w:p>
      <w:pPr>
        <w:pStyle w:val="Heading2"/>
        <w:keepNext/>
        <w:keepLines/>
      </w:pPr>
      <w:r>
        <w:rPr>
          <w:color w:val="000000"/>
        </w:rPr>
        <w:t>Contents</w:t>
      </w:r>
    </w:p>
    <w:p>
      <w:pPr>
        <w:spacing w:before="0" w:after="50" w:line="250" w:lineRule="auto"/>
      </w:pPr>
      <w:hyperlink w:anchor="P5_chapter_1">
        <w:r>
          <w:rPr>
            <w:color w:val="154F63"/>
            <w:u w:val="single"/>
          </w:rPr>
          <w:t>Scientific evidence and research assessment</w:t>
        </w:r>
      </w:hyperlink>
    </w:p>
    <w:p>
      <w:pPr>
        <w:spacing w:before="0" w:after="50" w:line="250" w:lineRule="auto"/>
      </w:pPr>
      <w:hyperlink w:anchor="P5_chapter_2">
        <w:r>
          <w:rPr>
            <w:color w:val="154F63"/>
            <w:u w:val="single"/>
          </w:rPr>
          <w:t>Citation statistics and research coverage</w:t>
        </w:r>
      </w:hyperlink>
    </w:p>
    <w:p>
      <w:pPr>
        <w:spacing w:before="0" w:after="50" w:line="250" w:lineRule="auto"/>
      </w:pPr>
      <w:hyperlink w:anchor="P5_chapter_3">
        <w:r>
          <w:rPr>
            <w:color w:val="154F63"/>
            <w:u w:val="single"/>
          </w:rPr>
          <w:t>References and source register</w:t>
        </w:r>
      </w:hyperlink>
    </w:p>
    <w:p>
      <w:pPr>
        <w:spacing w:before="0" w:after="50" w:line="250" w:lineRule="auto"/>
      </w:pPr>
    </w:p>
    <w:p>
      <w:pPr>
        <w:pStyle w:val="Heading1"/>
        <w:keepNext/>
        <w:keepLines/>
        <w:pageBreakBefore w:val="0"/>
      </w:pPr>
      <w:bookmarkStart w:id="200000" w:name="P5_chapter_1"/>
      <w:r>
        <w:rPr>
          <w:color w:val="000000"/>
        </w:rPr>
        <w:t>Scientific evidence and research assessment</w:t>
      </w:r>
      <w:bookmarkStart w:id="95007" w:name="product_8"/>
      <w:bookmarkEnd w:id="95007"/>
      <w:bookmarkEnd w:id="200000"/>
    </w:p>
    <w:p>
      <w:pPr>
        <w:pStyle w:val="Heading3"/>
        <w:keepNext/>
        <w:keepLines/>
        <w:spacing w:before="240" w:after="120" w:line="269" w:lineRule="auto"/>
      </w:pPr>
      <w:r>
        <w:rPr>
          <w:color w:val="000000"/>
        </w:rPr>
        <w:t>How to read the evidence synthesis</w:t>
      </w:r>
    </w:p>
    <w:p>
      <w:pPr>
        <w:pStyle w:val="Normal"/>
        <w:keepNext/>
        <w:spacing w:before="0" w:after="50" w:line="250" w:lineRule="auto"/>
        <w:rPr/>
      </w:pPr>
      <w:r>
        <w:rPr>
          <w:rFonts w:ascii="Calibri" w:hAnsi="Calibri"/>
          <w:b/>
          <w:color w:val="000000"/>
          <w:sz w:val="20"/>
        </w:rPr>
        <w:t>Evidence supports a particular proposition under particular conditions</w:t>
      </w:r>
    </w:p>
    <w:p>
      <w:pPr>
        <w:pStyle w:val="Normal"/>
        <w:spacing w:before="0" w:after="50" w:line="250" w:lineRule="auto"/>
        <w:rPr/>
      </w:pPr>
      <w:r>
        <w:rPr>
          <w:rFonts w:ascii="Calibri" w:hAnsi="Calibri"/>
          <w:color w:val="000000"/>
          <w:sz w:val="20"/>
        </w:rPr>
        <w:t>This synthesis evaluates the scientific basis and unresolved questions behind the proposed platform. It is a focused critical review, not a systematic review with exhaustive database coverage or a meta-analysis. Original studies, standards, agency guidance and manufacturer documentation serve different purposes and should not be treated as interchangeable levels of proof.</w:t>
      </w:r>
    </w:p>
    <w:p>
      <w:pPr>
        <w:pStyle w:val="Heading3"/>
        <w:keepNext/>
        <w:keepLines/>
        <w:spacing w:before="240" w:after="120" w:line="269" w:lineRule="auto"/>
      </w:pPr>
      <w:r>
        <w:rPr>
          <w:color w:val="000000"/>
        </w:rPr>
        <w:t>Four questions for each source</w:t>
      </w:r>
    </w:p>
    <w:p>
      <w:pPr>
        <w:pStyle w:val="Normal"/>
        <w:spacing w:before="0" w:after="50" w:line="250" w:lineRule="auto"/>
        <w:rPr/>
      </w:pPr>
      <w:r>
        <w:rPr>
          <w:rFonts w:ascii="Calibri" w:hAnsi="Calibri"/>
          <w:color w:val="000000"/>
          <w:sz w:val="20"/>
        </w:rPr>
        <w:t>The relevant questions are what was measured, in which population, against which comparator and under which operating conditions. A result can be credible within its study while remaining insufficient for a different specimen, organism, instrument or clinical decision. Publication establishes an accessible account of work; it does not independently certify every claim in that account.</w:t>
      </w:r>
    </w:p>
    <w:p>
      <w:pPr>
        <w:spacing w:before="0" w:after="50" w:line="250" w:lineRule="auto"/>
      </w:pPr>
      <w:r>
        <w:rPr>
          <w:rFonts w:ascii="Calibri" w:hAnsi="Calibri"/>
          <w:color w:val="000000"/>
          <w:sz w:val="20"/>
        </w:rPr>
        <w:t xml:space="preserve">Evidence class: Original experiment</w:t>
      </w:r>
    </w:p>
    <w:p>
      <w:pPr>
        <w:spacing w:before="0" w:after="50" w:line="250" w:lineRule="auto"/>
      </w:pPr>
      <w:r>
        <w:rPr>
          <w:rFonts w:ascii="Calibri" w:hAnsi="Calibri"/>
          <w:color w:val="000000"/>
          <w:sz w:val="20"/>
        </w:rPr>
        <w:t xml:space="preserve">Appropriate use in this compendium: Assess a measured finding and its design limitations.</w:t>
      </w:r>
    </w:p>
    <w:p>
      <w:pPr>
        <w:spacing w:before="0" w:after="50" w:line="250" w:lineRule="auto"/>
      </w:pPr>
      <w:r>
        <w:rPr>
          <w:rFonts w:ascii="Calibri" w:hAnsi="Calibri"/>
          <w:color w:val="000000"/>
          <w:sz w:val="20"/>
        </w:rPr>
        <w:t xml:space="preserve">Evidence class: Method or standard</w:t>
      </w:r>
    </w:p>
    <w:p>
      <w:pPr>
        <w:spacing w:before="0" w:after="50" w:line="250" w:lineRule="auto"/>
      </w:pPr>
      <w:r>
        <w:rPr>
          <w:rFonts w:ascii="Calibri" w:hAnsi="Calibri"/>
          <w:color w:val="000000"/>
          <w:sz w:val="20"/>
        </w:rPr>
        <w:t xml:space="preserve">Appropriate use in this compendium: Establish applicable procedural and interpretive requirements.</w:t>
      </w:r>
    </w:p>
    <w:p>
      <w:pPr>
        <w:spacing w:before="0" w:after="50" w:line="250" w:lineRule="auto"/>
      </w:pPr>
      <w:r>
        <w:rPr>
          <w:rFonts w:ascii="Calibri" w:hAnsi="Calibri"/>
          <w:color w:val="000000"/>
          <w:sz w:val="20"/>
        </w:rPr>
        <w:t xml:space="preserve">Evidence class: Regulatory document</w:t>
      </w:r>
    </w:p>
    <w:p>
      <w:pPr>
        <w:spacing w:before="0" w:after="50" w:line="250" w:lineRule="auto"/>
      </w:pPr>
      <w:r>
        <w:rPr>
          <w:rFonts w:ascii="Calibri" w:hAnsi="Calibri"/>
          <w:color w:val="000000"/>
          <w:sz w:val="20"/>
        </w:rPr>
        <w:t xml:space="preserve">Appropriate use in this compendium: Understand scope, responsibilities and evidence expectations.</w:t>
      </w:r>
    </w:p>
    <w:p>
      <w:pPr>
        <w:spacing w:before="0" w:after="50" w:line="250" w:lineRule="auto"/>
      </w:pPr>
      <w:r>
        <w:rPr>
          <w:rFonts w:ascii="Calibri" w:hAnsi="Calibri"/>
          <w:color w:val="000000"/>
          <w:sz w:val="20"/>
        </w:rPr>
        <w:t xml:space="preserve">Evidence class: Manufacturer source</w:t>
      </w:r>
    </w:p>
    <w:p>
      <w:pPr>
        <w:spacing w:before="0" w:after="50" w:line="250" w:lineRule="auto"/>
      </w:pPr>
      <w:r>
        <w:rPr>
          <w:rFonts w:ascii="Calibri" w:hAnsi="Calibri"/>
          <w:color w:val="000000"/>
          <w:sz w:val="20"/>
        </w:rPr>
        <w:t xml:space="preserve">Appropriate use in this compendium: Identify a product's described function and stated conditions.</w:t>
      </w:r>
    </w:p>
    <w:p>
      <w:pPr>
        <w:spacing w:before="0" w:after="50" w:line="250" w:lineRule="auto"/>
      </w:pPr>
      <w:r>
        <w:rPr>
          <w:rFonts w:ascii="Calibri" w:hAnsi="Calibri"/>
          <w:color w:val="000000"/>
          <w:sz w:val="20"/>
        </w:rPr>
        <w:t xml:space="preserve">Evidence class: AMReye.AI proposal</w:t>
      </w:r>
    </w:p>
    <w:p>
      <w:pPr>
        <w:spacing w:before="0" w:after="50" w:line="250" w:lineRule="auto"/>
      </w:pPr>
      <w:r>
        <w:rPr>
          <w:rFonts w:ascii="Calibri" w:hAnsi="Calibri"/>
          <w:color w:val="000000"/>
          <w:sz w:val="20"/>
        </w:rPr>
        <w:t xml:space="preserve">Appropriate use in this compendium: Define an engineering hypothesis and the evidence still needed.</w:t>
      </w:r>
    </w:p>
    <w:p>
      <w:pPr>
        <w:pStyle w:val="Heading3"/>
        <w:keepNext/>
        <w:keepLines/>
        <w:spacing w:before="240" w:after="120" w:line="269" w:lineRule="auto"/>
      </w:pPr>
      <w:r>
        <w:rPr>
          <w:color w:val="000000"/>
        </w:rPr>
        <w:t>Reading quantitative results</w:t>
      </w:r>
    </w:p>
    <w:p>
      <w:pPr>
        <w:pStyle w:val="Normal"/>
        <w:spacing w:before="0" w:after="50" w:line="250" w:lineRule="auto"/>
        <w:rPr/>
      </w:pPr>
      <w:r>
        <w:rPr>
          <w:rFonts w:ascii="Calibri" w:hAnsi="Calibri"/>
          <w:color w:val="000000"/>
          <w:sz w:val="20"/>
        </w:rPr>
        <w:t>Agreement, precision, accuracy, sensitivity and time to result answer different questions. A high correlation can coexist with systematic measurement bias. A small average error can conceal clinically important outliers. A rapid answer among selected successful runs can coexist with a substantial unresolved fraction.</w:t>
      </w:r>
    </w:p>
    <w:p>
      <w:pPr>
        <w:pStyle w:val="Normal"/>
        <w:spacing w:before="0" w:after="50" w:line="250" w:lineRule="auto"/>
        <w:rPr/>
      </w:pPr>
      <w:r>
        <w:rPr>
          <w:rFonts w:ascii="Calibri" w:hAnsi="Calibri"/>
          <w:color w:val="000000"/>
          <w:sz w:val="20"/>
        </w:rPr>
        <w:t>Where the available evidence does not establish a denominator, independent validation or local applicability, the conclusion remains bounded. The practical outcome of this review is a set of testable design decisions and research questions. No external study is represented as an AMReye.AI experiment, and no aggregate performance score is assigned to the proposed platform.</w:t>
      </w:r>
    </w:p>
    <w:p>
      <w:pPr>
        <w:pStyle w:val="Heading3"/>
        <w:keepNext/>
        <w:keepLines/>
        <w:spacing w:before="240" w:after="120" w:line="269" w:lineRule="auto"/>
      </w:pPr>
      <w:r>
        <w:rPr>
          <w:color w:val="000000"/>
        </w:rPr>
        <w:t>Disk diffusion standards and reader evidence</w:t>
      </w:r>
    </w:p>
    <w:p>
      <w:pPr>
        <w:pStyle w:val="Normal"/>
        <w:keepNext/>
        <w:spacing w:before="0" w:after="50" w:line="250" w:lineRule="auto"/>
        <w:rPr/>
      </w:pPr>
      <w:r>
        <w:rPr>
          <w:rFonts w:ascii="Calibri" w:hAnsi="Calibri"/>
          <w:b/>
          <w:color w:val="000000"/>
          <w:sz w:val="20"/>
        </w:rPr>
        <w:t>A calibrated image does not replace the biological method</w:t>
      </w:r>
    </w:p>
    <w:p>
      <w:pPr>
        <w:pStyle w:val="Normal"/>
        <w:spacing w:before="0" w:after="50" w:line="250" w:lineRule="auto"/>
        <w:rPr/>
      </w:pPr>
      <w:r>
        <w:rPr>
          <w:rFonts w:ascii="Calibri" w:hAnsi="Calibri"/>
          <w:color w:val="000000"/>
          <w:sz w:val="20"/>
        </w:rPr>
        <w:t xml:space="preserve">CLSI M100 Edition 36 and EUCAST clinical breakpoint tables version 16.1 were the current editions verified for this publication date. Their applicability depends on the relevant method, organism, antimicrobial and conditions. A breakpoint value detached from those conditions is not a complete interpretation rule.  </w:t>
      </w:r>
    </w:p>
    <w:p>
      <w:pPr>
        <w:pStyle w:val="Normal"/>
        <w:spacing w:before="0" w:after="50" w:line="250" w:lineRule="auto"/>
        <w:rPr/>
      </w:pPr>
      <w:r>
        <w:rPr>
          <w:rFonts w:ascii="Calibri" w:hAnsi="Calibri"/>
          <w:color w:val="000000"/>
          <w:sz w:val="20"/>
        </w:rPr>
        <w:t xml:space="preserve">The CLSI correction of 9 July 2026 restores the sulfamethoxazole concentrations in combination MIC notation in Table 2H-1. It illustrates why an edition number alone is insufficient version control. The correction does not create a disk-diffusion indication where the table's method restrictions do not permit one. </w:t>
      </w:r>
    </w:p>
    <w:p>
      <w:pPr>
        <w:pStyle w:val="Heading3"/>
        <w:keepNext/>
        <w:keepLines/>
        <w:spacing w:before="240" w:after="120" w:line="269" w:lineRule="auto"/>
      </w:pPr>
      <w:r>
        <w:rPr>
          <w:color w:val="000000"/>
        </w:rPr>
        <w:t>Reader precision is one component</w:t>
      </w:r>
    </w:p>
    <w:p>
      <w:pPr>
        <w:pStyle w:val="Normal"/>
        <w:spacing w:before="0" w:after="50" w:line="250" w:lineRule="auto"/>
        <w:rPr/>
      </w:pPr>
      <w:r>
        <w:rPr>
          <w:rFonts w:ascii="Calibri" w:hAnsi="Calibri"/>
          <w:color w:val="000000"/>
          <w:sz w:val="20"/>
        </w:rPr>
        <w:t xml:space="preserve">Hombach and colleagues' variance analysis distinguished biological variation from technical contributions, including preparation, streaking, materials and reading. Their estimated contributions varied substantially across the tested organism-drug combinations. The findings support evaluating the entire preparation-to-reading process rather than assuming that image precision determines total assay precision. </w:t>
      </w:r>
    </w:p>
    <w:p>
      <w:pPr>
        <w:spacing w:before="0" w:after="50" w:line="250" w:lineRule="auto"/>
      </w:pPr>
      <w:r>
        <w:rPr>
          <w:rFonts w:ascii="Calibri" w:hAnsi="Calibri"/>
          <w:color w:val="000000"/>
          <w:sz w:val="20"/>
        </w:rPr>
        <w:t xml:space="preserve">Proposed AMReye.AI question: Is the image geometrically reliable?</w:t>
      </w:r>
    </w:p>
    <w:p>
      <w:pPr>
        <w:spacing w:before="0" w:after="50" w:line="250" w:lineRule="auto"/>
      </w:pPr>
      <w:r>
        <w:rPr>
          <w:rFonts w:ascii="Calibri" w:hAnsi="Calibri"/>
          <w:color w:val="000000"/>
          <w:sz w:val="20"/>
        </w:rPr>
        <w:t xml:space="preserve">Evidence needed: Traceable scale and distortion evaluation.</w:t>
      </w:r>
    </w:p>
    <w:p>
      <w:pPr>
        <w:spacing w:before="0" w:after="50" w:line="250" w:lineRule="auto"/>
      </w:pPr>
      <w:r>
        <w:rPr>
          <w:rFonts w:ascii="Calibri" w:hAnsi="Calibri"/>
          <w:color w:val="000000"/>
          <w:sz w:val="20"/>
        </w:rPr>
        <w:t xml:space="preserve">Proposed AMReye.AI question: Is the plate eligible for interpretation?</w:t>
      </w:r>
    </w:p>
    <w:p>
      <w:pPr>
        <w:spacing w:before="0" w:after="50" w:line="250" w:lineRule="auto"/>
      </w:pPr>
      <w:r>
        <w:rPr>
          <w:rFonts w:ascii="Calibri" w:hAnsi="Calibri"/>
          <w:color w:val="000000"/>
          <w:sz w:val="20"/>
        </w:rPr>
        <w:t xml:space="preserve">Evidence needed: Documented method and quality conditions.</w:t>
      </w:r>
    </w:p>
    <w:p>
      <w:pPr>
        <w:spacing w:before="0" w:after="50" w:line="250" w:lineRule="auto"/>
      </w:pPr>
      <w:r>
        <w:rPr>
          <w:rFonts w:ascii="Calibri" w:hAnsi="Calibri"/>
          <w:color w:val="000000"/>
          <w:sz w:val="20"/>
        </w:rPr>
        <w:t xml:space="preserve">Proposed AMReye.AI question: Is the boundary reproducible?</w:t>
      </w:r>
    </w:p>
    <w:p>
      <w:pPr>
        <w:spacing w:before="0" w:after="50" w:line="250" w:lineRule="auto"/>
      </w:pPr>
      <w:r>
        <w:rPr>
          <w:rFonts w:ascii="Calibri" w:hAnsi="Calibri"/>
          <w:color w:val="000000"/>
          <w:sz w:val="20"/>
        </w:rPr>
        <w:t xml:space="preserve">Evidence needed: Independent readings and controlled repeat captures.</w:t>
      </w:r>
    </w:p>
    <w:p>
      <w:pPr>
        <w:spacing w:before="0" w:after="50" w:line="250" w:lineRule="auto"/>
      </w:pPr>
      <w:r>
        <w:rPr>
          <w:rFonts w:ascii="Calibri" w:hAnsi="Calibri"/>
          <w:color w:val="000000"/>
          <w:sz w:val="20"/>
        </w:rPr>
        <w:t xml:space="preserve">Proposed AMReye.AI question: Is the category appropriate?</w:t>
      </w:r>
    </w:p>
    <w:p>
      <w:pPr>
        <w:spacing w:before="0" w:after="50" w:line="250" w:lineRule="auto"/>
      </w:pPr>
      <w:r>
        <w:rPr>
          <w:rFonts w:ascii="Calibri" w:hAnsi="Calibri"/>
          <w:color w:val="000000"/>
          <w:sz w:val="20"/>
        </w:rPr>
        <w:t xml:space="preserve">Evidence needed: Eligible, corrected standards content and reviewer decision.</w:t>
      </w:r>
    </w:p>
    <w:p>
      <w:pPr>
        <w:pStyle w:val="Heading3"/>
        <w:keepNext/>
        <w:keepLines/>
        <w:spacing w:before="240" w:after="120" w:line="269" w:lineRule="auto"/>
      </w:pPr>
      <w:r>
        <w:rPr>
          <w:color w:val="000000"/>
        </w:rPr>
        <w:t>Consequence for development</w:t>
      </w:r>
    </w:p>
    <w:p>
      <w:pPr>
        <w:pStyle w:val="Normal"/>
        <w:spacing w:before="0" w:after="50" w:line="250" w:lineRule="auto"/>
        <w:rPr/>
      </w:pPr>
      <w:r>
        <w:rPr>
          <w:rFonts w:ascii="Calibri" w:hAnsi="Calibri"/>
          <w:color w:val="000000"/>
          <w:sz w:val="20"/>
        </w:rPr>
        <w:t>Reader V1 should preserve the distinction between measurement uncertainty and method variability. Its interface should expose missing method context before category assignment. Validation should include plates near relevant decision boundaries and difficult reading conditions, with a predefined route for unresolved cases. Greater numerical precision should never be presented as proof that an unsuitable biological preparation has become valid.</w:t>
      </w:r>
    </w:p>
    <w:p>
      <w:pPr>
        <w:pStyle w:val="Heading3"/>
        <w:keepNext/>
        <w:keepLines/>
        <w:spacing w:before="240" w:after="120" w:line="269" w:lineRule="auto"/>
      </w:pPr>
      <w:r>
        <w:rPr>
          <w:color w:val="000000"/>
        </w:rPr>
        <w:t>External evidence on automated zone measurement</w:t>
      </w:r>
    </w:p>
    <w:p>
      <w:pPr>
        <w:pStyle w:val="Normal"/>
        <w:keepNext/>
        <w:spacing w:before="0" w:after="50" w:line="250" w:lineRule="auto"/>
        <w:rPr/>
      </w:pPr>
      <w:r>
        <w:rPr>
          <w:rFonts w:ascii="Calibri" w:hAnsi="Calibri"/>
          <w:b/>
          <w:color w:val="000000"/>
          <w:sz w:val="20"/>
        </w:rPr>
        <w:t>Automated measurement evidence must disclose human intervention</w:t>
      </w:r>
    </w:p>
    <w:p>
      <w:pPr>
        <w:pStyle w:val="Normal"/>
        <w:spacing w:before="0" w:after="50" w:line="250" w:lineRule="auto"/>
        <w:rPr/>
      </w:pPr>
      <w:r>
        <w:rPr>
          <w:rFonts w:ascii="Calibri" w:hAnsi="Calibri"/>
          <w:color w:val="000000"/>
          <w:sz w:val="20"/>
        </w:rPr>
        <w:t xml:space="preserve">Hombach et al. compared on-screen adjusted Sirscan readings with manual measurements and separately assessed repeated automated readings. The study reported improved repeatability in the automated condition. The distinction between adjusted clinical readings and the precision experiment matters: their results do not establish that every autonomous reading was correct without review. </w:t>
      </w:r>
    </w:p>
    <w:p>
      <w:pPr>
        <w:pStyle w:val="Heading3"/>
        <w:keepNext/>
        <w:keepLines/>
        <w:spacing w:before="240" w:after="120" w:line="269" w:lineRule="auto"/>
      </w:pPr>
      <w:r>
        <w:rPr>
          <w:color w:val="000000"/>
        </w:rPr>
        <w:t>A recent AI study requires additional clarification</w:t>
      </w:r>
    </w:p>
    <w:p>
      <w:pPr>
        <w:pStyle w:val="Normal"/>
        <w:spacing w:before="0" w:after="50" w:line="250" w:lineRule="auto"/>
        <w:rPr/>
      </w:pPr>
      <w:r>
        <w:rPr>
          <w:rFonts w:ascii="Calibri" w:hAnsi="Calibri"/>
          <w:color w:val="000000"/>
          <w:sz w:val="20"/>
        </w:rPr>
        <w:t xml:space="preserve">The 2026 study by Ciftci and colleagues reports categorical agreement of 94.2% and mean absolute diameter error of 0.42 mm. Its methods describe 207 original photographs in one passage and 1,024 baseline images elsewhere, expanded to 5,120. The detection metric also differs between a table and the ablation narrative. These counts and the independence of plate/isolate partitions require clarification before the headline metrics can serve as a robust benchmark. </w:t>
      </w:r>
    </w:p>
    <w:p>
      <w:pPr>
        <w:pStyle w:val="Heading3"/>
        <w:keepNext/>
        <w:keepLines/>
        <w:spacing w:before="240" w:after="120" w:line="269" w:lineRule="auto"/>
      </w:pPr>
      <w:r>
        <w:rPr>
          <w:color w:val="000000"/>
        </w:rPr>
        <w:t>Proposed evaluation response</w:t>
      </w:r>
    </w:p>
    <w:p>
      <w:pPr>
        <w:pStyle w:val="Normal"/>
        <w:spacing w:before="0" w:after="50" w:line="250" w:lineRule="auto"/>
        <w:rPr/>
      </w:pPr>
      <w:r>
        <w:rPr>
          <w:rFonts w:ascii="Calibri" w:hAnsi="Calibri"/>
          <w:color w:val="000000"/>
          <w:sz w:val="20"/>
        </w:rPr>
        <w:t>AMReye.AI should report the unedited model output and the final reviewed result separately. Every evaluated plate should retain its split assignment, source image lineage and correction history. An augmented image must remain in the same partition as its source and associated biological unit.</w:t>
      </w:r>
    </w:p>
    <w:p>
      <w:pPr>
        <w:spacing w:before="0" w:after="50" w:line="250" w:lineRule="auto"/>
      </w:pPr>
      <w:r>
        <w:rPr>
          <w:rFonts w:ascii="Calibri" w:hAnsi="Calibri"/>
          <w:color w:val="000000"/>
          <w:sz w:val="20"/>
        </w:rPr>
        <w:t xml:space="preserve">Reporting element: Original independent plates</w:t>
      </w:r>
    </w:p>
    <w:p>
      <w:pPr>
        <w:spacing w:before="0" w:after="50" w:line="250" w:lineRule="auto"/>
      </w:pPr>
      <w:r>
        <w:rPr>
          <w:rFonts w:ascii="Calibri" w:hAnsi="Calibri"/>
          <w:color w:val="000000"/>
          <w:sz w:val="20"/>
        </w:rPr>
        <w:t xml:space="preserve">Why it changes interpretation: Determines the biological information available.</w:t>
      </w:r>
    </w:p>
    <w:p>
      <w:pPr>
        <w:spacing w:before="0" w:after="50" w:line="250" w:lineRule="auto"/>
      </w:pPr>
      <w:r>
        <w:rPr>
          <w:rFonts w:ascii="Calibri" w:hAnsi="Calibri"/>
          <w:color w:val="000000"/>
          <w:sz w:val="20"/>
        </w:rPr>
        <w:t xml:space="preserve">Reporting element: Images and augmentations</w:t>
      </w:r>
    </w:p>
    <w:p>
      <w:pPr>
        <w:spacing w:before="0" w:after="50" w:line="250" w:lineRule="auto"/>
      </w:pPr>
      <w:r>
        <w:rPr>
          <w:rFonts w:ascii="Calibri" w:hAnsi="Calibri"/>
          <w:color w:val="000000"/>
          <w:sz w:val="20"/>
        </w:rPr>
        <w:t xml:space="preserve">Why it changes interpretation: Describes views and transformations, not new isolates.</w:t>
      </w:r>
    </w:p>
    <w:p>
      <w:pPr>
        <w:spacing w:before="0" w:after="50" w:line="250" w:lineRule="auto"/>
      </w:pPr>
      <w:r>
        <w:rPr>
          <w:rFonts w:ascii="Calibri" w:hAnsi="Calibri"/>
          <w:color w:val="000000"/>
          <w:sz w:val="20"/>
        </w:rPr>
        <w:t xml:space="preserve">Reporting element: Unassisted measurement</w:t>
      </w:r>
    </w:p>
    <w:p>
      <w:pPr>
        <w:spacing w:before="0" w:after="50" w:line="250" w:lineRule="auto"/>
      </w:pPr>
      <w:r>
        <w:rPr>
          <w:rFonts w:ascii="Calibri" w:hAnsi="Calibri"/>
          <w:color w:val="000000"/>
          <w:sz w:val="20"/>
        </w:rPr>
        <w:t xml:space="preserve">Why it changes interpretation: Evaluates the algorithm's actual starting performance.</w:t>
      </w:r>
    </w:p>
    <w:p>
      <w:pPr>
        <w:spacing w:before="0" w:after="50" w:line="250" w:lineRule="auto"/>
      </w:pPr>
      <w:r>
        <w:rPr>
          <w:rFonts w:ascii="Calibri" w:hAnsi="Calibri"/>
          <w:color w:val="000000"/>
          <w:sz w:val="20"/>
        </w:rPr>
        <w:t xml:space="preserve">Reporting element: Reviewer changes</w:t>
      </w:r>
    </w:p>
    <w:p>
      <w:pPr>
        <w:spacing w:before="0" w:after="50" w:line="250" w:lineRule="auto"/>
      </w:pPr>
      <w:r>
        <w:rPr>
          <w:rFonts w:ascii="Calibri" w:hAnsi="Calibri"/>
          <w:color w:val="000000"/>
          <w:sz w:val="20"/>
        </w:rPr>
        <w:t xml:space="preserve">Why it changes interpretation: Quantifies the work required to reach the final result.</w:t>
      </w:r>
    </w:p>
    <w:p>
      <w:pPr>
        <w:spacing w:before="0" w:after="50" w:line="250" w:lineRule="auto"/>
      </w:pPr>
      <w:r>
        <w:rPr>
          <w:rFonts w:ascii="Calibri" w:hAnsi="Calibri"/>
          <w:color w:val="000000"/>
          <w:sz w:val="20"/>
        </w:rPr>
        <w:t xml:space="preserve">Reporting element: Unreadable and failed cases</w:t>
      </w:r>
    </w:p>
    <w:p>
      <w:pPr>
        <w:spacing w:before="0" w:after="50" w:line="250" w:lineRule="auto"/>
      </w:pPr>
      <w:r>
        <w:rPr>
          <w:rFonts w:ascii="Calibri" w:hAnsi="Calibri"/>
          <w:color w:val="000000"/>
          <w:sz w:val="20"/>
        </w:rPr>
        <w:t xml:space="preserve">Why it changes interpretation: Prevents favorable exclusion of difficult inputs.</w:t>
      </w:r>
    </w:p>
    <w:p>
      <w:pPr>
        <w:pStyle w:val="Normal"/>
        <w:spacing w:before="0" w:after="50" w:line="250" w:lineRule="auto"/>
        <w:rPr/>
      </w:pPr>
      <w:r>
        <w:rPr>
          <w:rFonts w:ascii="Calibri" w:hAnsi="Calibri"/>
          <w:color w:val="000000"/>
          <w:sz w:val="20"/>
        </w:rPr>
        <w:t>Evidence should make these distinctions auditable. A model explanation or attention map can support investigation, but it cannot substitute for independent performance evaluation or establish that a model has learned a biologically valid mechanism.</w:t>
      </w:r>
    </w:p>
    <w:p>
      <w:pPr>
        <w:pStyle w:val="Heading3"/>
        <w:keepNext/>
        <w:keepLines/>
        <w:spacing w:before="240" w:after="120" w:line="269" w:lineRule="auto"/>
      </w:pPr>
      <w:r>
        <w:rPr>
          <w:color w:val="000000"/>
        </w:rPr>
        <w:t>External evidence on rapid single cell AST</w:t>
      </w:r>
    </w:p>
    <w:p>
      <w:pPr>
        <w:pStyle w:val="Normal"/>
        <w:keepNext/>
        <w:spacing w:before="0" w:after="50" w:line="250" w:lineRule="auto"/>
        <w:rPr/>
      </w:pPr>
      <w:r>
        <w:rPr>
          <w:rFonts w:ascii="Calibri" w:hAnsi="Calibri"/>
          <w:b/>
          <w:color w:val="000000"/>
          <w:sz w:val="20"/>
        </w:rPr>
        <w:t>Rapid single-cell AST demonstrates a route, not a universal timescale</w:t>
      </w:r>
    </w:p>
    <w:p>
      <w:pPr>
        <w:pStyle w:val="Normal"/>
        <w:spacing w:before="0" w:after="50" w:line="250" w:lineRule="auto"/>
        <w:rPr/>
      </w:pPr>
      <w:r>
        <w:rPr>
          <w:rFonts w:ascii="Calibri" w:hAnsi="Calibri"/>
          <w:color w:val="000000"/>
          <w:sz w:val="20"/>
        </w:rPr>
        <w:t xml:space="preserve">Baltekin et al. demonstrated direct single-cell imaging in a microfluidic setting and reported susceptibility classification for 49 clinical uropathogenic E. coli isolates against ciprofloxacin within ten minutes of the measurement sequence. The overall method was described as requiring less than thirty minutes from sample loading. The narrow organism-drug evaluation and the timing origin are essential parts of that result. </w:t>
      </w:r>
    </w:p>
    <w:p>
      <w:pPr>
        <w:pStyle w:val="Heading3"/>
        <w:keepNext/>
        <w:keepLines/>
        <w:spacing w:before="240" w:after="120" w:line="269" w:lineRule="auto"/>
      </w:pPr>
      <w:r>
        <w:rPr>
          <w:color w:val="000000"/>
        </w:rPr>
        <w:t>Translation questions for AMReye.AI</w:t>
      </w:r>
    </w:p>
    <w:p>
      <w:pPr>
        <w:pStyle w:val="Normal"/>
        <w:spacing w:before="0" w:after="50" w:line="250" w:lineRule="auto"/>
        <w:rPr/>
      </w:pPr>
      <w:r>
        <w:rPr>
          <w:rFonts w:ascii="Calibri" w:hAnsi="Calibri"/>
          <w:color w:val="000000"/>
          <w:sz w:val="20"/>
        </w:rPr>
        <w:t>The study motivates investigation of early phenotypic responses where sufficient cells can be observed under a controlled antimicrobial exposure. It does not demonstrate that an ordinary endpoint plate photograph can deliver the same answer. Differences in specimen preparation, cell capture, exposure, optical sampling and decision criteria must be evaluated explicitly.</w:t>
      </w:r>
    </w:p>
    <w:p>
      <w:pPr>
        <w:spacing w:before="0" w:after="50" w:line="250" w:lineRule="auto"/>
      </w:pPr>
      <w:r>
        <w:rPr>
          <w:rFonts w:ascii="Calibri" w:hAnsi="Calibri"/>
          <w:color w:val="000000"/>
          <w:sz w:val="20"/>
        </w:rPr>
        <w:t xml:space="preserve">Translation question: Are enough relevant cells observed?</w:t>
      </w:r>
    </w:p>
    <w:p>
      <w:pPr>
        <w:spacing w:before="0" w:after="50" w:line="250" w:lineRule="auto"/>
      </w:pPr>
      <w:r>
        <w:rPr>
          <w:rFonts w:ascii="Calibri" w:hAnsi="Calibri"/>
          <w:color w:val="000000"/>
          <w:sz w:val="20"/>
        </w:rPr>
        <w:t xml:space="preserve">Proposed test: Capture yield and eligibility across intended specimen conditions.</w:t>
      </w:r>
    </w:p>
    <w:p>
      <w:pPr>
        <w:spacing w:before="0" w:after="50" w:line="250" w:lineRule="auto"/>
      </w:pPr>
      <w:r>
        <w:rPr>
          <w:rFonts w:ascii="Calibri" w:hAnsi="Calibri"/>
          <w:color w:val="000000"/>
          <w:sz w:val="20"/>
        </w:rPr>
        <w:t xml:space="preserve">Translation question: Does early response discriminate susceptibility?</w:t>
      </w:r>
    </w:p>
    <w:p>
      <w:pPr>
        <w:spacing w:before="0" w:after="50" w:line="250" w:lineRule="auto"/>
      </w:pPr>
      <w:r>
        <w:rPr>
          <w:rFonts w:ascii="Calibri" w:hAnsi="Calibri"/>
          <w:color w:val="000000"/>
          <w:sz w:val="20"/>
        </w:rPr>
        <w:t xml:space="preserve">Proposed test: Blinded comparison by organism and drug.</w:t>
      </w:r>
    </w:p>
    <w:p>
      <w:pPr>
        <w:spacing w:before="0" w:after="50" w:line="250" w:lineRule="auto"/>
      </w:pPr>
      <w:r>
        <w:rPr>
          <w:rFonts w:ascii="Calibri" w:hAnsi="Calibri"/>
          <w:color w:val="000000"/>
          <w:sz w:val="20"/>
        </w:rPr>
        <w:t xml:space="preserve">Translation question: Are slow or heterogeneous responses retained?</w:t>
      </w:r>
    </w:p>
    <w:p>
      <w:pPr>
        <w:spacing w:before="0" w:after="50" w:line="250" w:lineRule="auto"/>
      </w:pPr>
      <w:r>
        <w:rPr>
          <w:rFonts w:ascii="Calibri" w:hAnsi="Calibri"/>
          <w:color w:val="000000"/>
          <w:sz w:val="20"/>
        </w:rPr>
        <w:t xml:space="preserve">Proposed test: Time-dependent unresolved and error analysis.</w:t>
      </w:r>
    </w:p>
    <w:p>
      <w:pPr>
        <w:spacing w:before="0" w:after="50" w:line="250" w:lineRule="auto"/>
      </w:pPr>
      <w:r>
        <w:rPr>
          <w:rFonts w:ascii="Calibri" w:hAnsi="Calibri"/>
          <w:color w:val="000000"/>
          <w:sz w:val="20"/>
        </w:rPr>
        <w:t xml:space="preserve">Translation question: Does the workflow remain fast outside the bench?</w:t>
      </w:r>
    </w:p>
    <w:p>
      <w:pPr>
        <w:spacing w:before="0" w:after="50" w:line="250" w:lineRule="auto"/>
      </w:pPr>
      <w:r>
        <w:rPr>
          <w:rFonts w:ascii="Calibri" w:hAnsi="Calibri"/>
          <w:color w:val="000000"/>
          <w:sz w:val="20"/>
        </w:rPr>
        <w:t xml:space="preserve">Proposed test: End-to-end timing including preparation and review.</w:t>
      </w:r>
    </w:p>
    <w:p>
      <w:pPr>
        <w:pStyle w:val="Heading3"/>
        <w:keepNext/>
        <w:keepLines/>
        <w:spacing w:before="240" w:after="120" w:line="269" w:lineRule="auto"/>
      </w:pPr>
      <w:r>
        <w:rPr>
          <w:color w:val="000000"/>
        </w:rPr>
        <w:t>Sub-two-hour research target</w:t>
      </w:r>
    </w:p>
    <w:p>
      <w:pPr>
        <w:pStyle w:val="Normal"/>
        <w:spacing w:before="0" w:after="50" w:line="250" w:lineRule="auto"/>
        <w:rPr/>
      </w:pPr>
      <w:r>
        <w:rPr>
          <w:rFonts w:ascii="Calibri" w:hAnsi="Calibri"/>
          <w:color w:val="000000"/>
          <w:sz w:val="20"/>
        </w:rPr>
        <w:t>The proposed target should begin with a defined specimen and clock origin, not a platform-wide promise. A feasibility study should prespecify the proportion of eligible samples expected to receive a reportable answer, the comparator method and acceptable uncertainty. Time distributions should include failed runs and repeats.</w:t>
      </w:r>
    </w:p>
    <w:p>
      <w:pPr>
        <w:pStyle w:val="Normal"/>
        <w:spacing w:before="0" w:after="50" w:line="250" w:lineRule="auto"/>
        <w:rPr/>
      </w:pPr>
      <w:r>
        <w:rPr>
          <w:rFonts w:ascii="Calibri" w:hAnsi="Calibri"/>
          <w:color w:val="000000"/>
          <w:sz w:val="20"/>
        </w:rPr>
        <w:t>A useful early answer is one whose correctness and limits are understood. If a sample requires longer observation, abstention preserves the distinction between a target and an established capability. Faster inference cannot compensate for insufficient biological information.</w:t>
      </w:r>
    </w:p>
    <w:p>
      <w:pPr>
        <w:pStyle w:val="Heading3"/>
        <w:keepNext/>
        <w:keepLines/>
        <w:spacing w:before="240" w:after="120" w:line="269" w:lineRule="auto"/>
      </w:pPr>
      <w:r>
        <w:rPr>
          <w:color w:val="000000"/>
        </w:rPr>
        <w:t>External evidence on heteroresistance in infection</w:t>
      </w:r>
    </w:p>
    <w:p>
      <w:pPr>
        <w:pStyle w:val="Normal"/>
        <w:keepNext/>
        <w:spacing w:before="0" w:after="50" w:line="250" w:lineRule="auto"/>
        <w:rPr/>
      </w:pPr>
      <w:r>
        <w:rPr>
          <w:rFonts w:ascii="Calibri" w:hAnsi="Calibri"/>
          <w:b/>
          <w:color w:val="000000"/>
          <w:sz w:val="20"/>
        </w:rPr>
        <w:t>Heteroresistance has mechanistic and context-dependent clinical evidence</w:t>
      </w:r>
    </w:p>
    <w:p>
      <w:pPr>
        <w:pStyle w:val="Normal"/>
        <w:spacing w:before="0" w:after="50" w:line="250" w:lineRule="auto"/>
        <w:rPr/>
      </w:pPr>
      <w:r>
        <w:rPr>
          <w:rFonts w:ascii="Calibri" w:hAnsi="Calibri"/>
          <w:color w:val="000000"/>
          <w:sz w:val="20"/>
        </w:rPr>
        <w:t xml:space="preserve">Band et al. linked an initially susceptible classification of Enterobacter cloacae with a resistant subpopulation and treatment failure in a murine infection model. This establishes a biologically consequential example under the tested conditions, rather than a universal human outcome or an imaging diagnostic rule. </w:t>
      </w:r>
    </w:p>
    <w:p>
      <w:pPr>
        <w:pStyle w:val="Normal"/>
        <w:spacing w:before="0" w:after="50" w:line="250" w:lineRule="auto"/>
        <w:rPr/>
      </w:pPr>
      <w:r>
        <w:rPr>
          <w:rFonts w:ascii="Calibri" w:hAnsi="Calibri"/>
          <w:color w:val="000000"/>
          <w:sz w:val="20"/>
        </w:rPr>
        <w:t xml:space="preserve">Doijad and colleagues examined mechanistic determinants of colistin heteroresistance in the Enterobacter cloacae complex. Kupke and colleagues later described transient amplification events in a veterinary clinical isolate. Together these studies motivate attention to population structure and unstable resistance phenotypes without implying a single mechanism for all organisms and drugs.  </w:t>
      </w:r>
    </w:p>
    <w:p>
      <w:pPr>
        <w:pStyle w:val="Heading3"/>
        <w:keepNext/>
        <w:keepLines/>
        <w:spacing w:before="240" w:after="120" w:line="269" w:lineRule="auto"/>
      </w:pPr>
      <w:r>
        <w:rPr>
          <w:color w:val="000000"/>
        </w:rPr>
        <w:t>Clinical association is not uniform</w:t>
      </w:r>
    </w:p>
    <w:p>
      <w:pPr>
        <w:pStyle w:val="Normal"/>
        <w:spacing w:before="0" w:after="50" w:line="250" w:lineRule="auto"/>
        <w:rPr/>
      </w:pPr>
      <w:r>
        <w:rPr>
          <w:rFonts w:ascii="Calibri" w:hAnsi="Calibri"/>
          <w:color w:val="000000"/>
          <w:sz w:val="20"/>
        </w:rPr>
        <w:t xml:space="preserve">Wei et al. identified heteroresistance in 40 of 164 non-resistant isolates within a 212-isolate collection. The study did not find a significant increase in the assessed hospitalization or progression outcomes. Its retrospective context and denominators should accompany interpretation. This finding does not negate the murine mechanism; it limits a universal clinical-outcome inference. </w:t>
      </w:r>
    </w:p>
    <w:p>
      <w:pPr>
        <w:pStyle w:val="Heading3"/>
        <w:keepNext/>
        <w:keepLines/>
        <w:spacing w:before="240" w:after="120" w:line="269" w:lineRule="auto"/>
      </w:pPr>
      <w:r>
        <w:rPr>
          <w:color w:val="000000"/>
        </w:rPr>
        <w:t>Proposed contribution of imaging</w:t>
      </w:r>
    </w:p>
    <w:p>
      <w:pPr>
        <w:pStyle w:val="Normal"/>
        <w:spacing w:before="0" w:after="50" w:line="250" w:lineRule="auto"/>
        <w:rPr/>
      </w:pPr>
      <w:r>
        <w:rPr>
          <w:rFonts w:ascii="Calibri" w:hAnsi="Calibri"/>
          <w:color w:val="000000"/>
          <w:sz w:val="20"/>
        </w:rPr>
        <w:t>AMReye.AI can investigate whether longitudinal spatial observations improve recognition of candidate minority growth. The first validation question is detection of a reproducible visual event. Confirmation of heteroresistance is a separate biological question requiring appropriate reference characterization.</w:t>
      </w:r>
    </w:p>
    <w:p>
      <w:pPr>
        <w:spacing w:before="0" w:after="50" w:line="250" w:lineRule="auto"/>
      </w:pPr>
      <w:r>
        <w:rPr>
          <w:rFonts w:ascii="Calibri" w:hAnsi="Calibri"/>
          <w:color w:val="000000"/>
          <w:sz w:val="20"/>
        </w:rPr>
        <w:t xml:space="preserve">Observation: Small within-zone object</w:t>
      </w:r>
    </w:p>
    <w:p>
      <w:pPr>
        <w:spacing w:before="0" w:after="50" w:line="250" w:lineRule="auto"/>
      </w:pPr>
      <w:r>
        <w:rPr>
          <w:rFonts w:ascii="Calibri" w:hAnsi="Calibri"/>
          <w:color w:val="000000"/>
          <w:sz w:val="20"/>
        </w:rPr>
        <w:t xml:space="preserve">Defensible initial interpretation: Candidate feature requiring review.</w:t>
      </w:r>
    </w:p>
    <w:p>
      <w:pPr>
        <w:spacing w:before="0" w:after="50" w:line="250" w:lineRule="auto"/>
      </w:pPr>
      <w:r>
        <w:rPr>
          <w:rFonts w:ascii="Calibri" w:hAnsi="Calibri"/>
          <w:color w:val="000000"/>
          <w:sz w:val="20"/>
        </w:rPr>
        <w:t xml:space="preserve">Observation: Repeated growth at that location</w:t>
      </w:r>
    </w:p>
    <w:p>
      <w:pPr>
        <w:spacing w:before="0" w:after="50" w:line="250" w:lineRule="auto"/>
      </w:pPr>
      <w:r>
        <w:rPr>
          <w:rFonts w:ascii="Calibri" w:hAnsi="Calibri"/>
          <w:color w:val="000000"/>
          <w:sz w:val="20"/>
        </w:rPr>
        <w:t xml:space="preserve">Defensible initial interpretation: Temporal evidence of a biological event, subject to confounders.</w:t>
      </w:r>
    </w:p>
    <w:p>
      <w:pPr>
        <w:spacing w:before="0" w:after="50" w:line="250" w:lineRule="auto"/>
      </w:pPr>
      <w:r>
        <w:rPr>
          <w:rFonts w:ascii="Calibri" w:hAnsi="Calibri"/>
          <w:color w:val="000000"/>
          <w:sz w:val="20"/>
        </w:rPr>
        <w:t xml:space="preserve">Observation: Confirmed resistant subpopulation</w:t>
      </w:r>
    </w:p>
    <w:p>
      <w:pPr>
        <w:spacing w:before="0" w:after="50" w:line="250" w:lineRule="auto"/>
      </w:pPr>
      <w:r>
        <w:rPr>
          <w:rFonts w:ascii="Calibri" w:hAnsi="Calibri"/>
          <w:color w:val="000000"/>
          <w:sz w:val="20"/>
        </w:rPr>
        <w:t xml:space="preserve">Defensible initial interpretation: A method-supported heteroresistance finding within defined scope.</w:t>
      </w:r>
    </w:p>
    <w:p>
      <w:pPr>
        <w:pStyle w:val="Normal"/>
        <w:spacing w:before="0" w:after="50" w:line="250" w:lineRule="auto"/>
        <w:rPr/>
      </w:pPr>
      <w:r>
        <w:rPr>
          <w:rFonts w:ascii="Calibri" w:hAnsi="Calibri"/>
          <w:color w:val="000000"/>
          <w:sz w:val="20"/>
        </w:rPr>
        <w:t>The product should preserve the chain between these stages. It should not label every satellite colony as resistant or infer clinical treatment failure from an image alone.</w:t>
      </w:r>
    </w:p>
    <w:p>
      <w:pPr>
        <w:pStyle w:val="Heading3"/>
        <w:keepNext/>
        <w:keepLines/>
        <w:spacing w:before="240" w:after="120" w:line="269" w:lineRule="auto"/>
      </w:pPr>
      <w:r>
        <w:rPr>
          <w:color w:val="000000"/>
        </w:rPr>
        <w:t>External evidence on heteroresistance and combinations</w:t>
      </w:r>
    </w:p>
    <w:p>
      <w:pPr>
        <w:pStyle w:val="Normal"/>
        <w:keepNext/>
        <w:spacing w:before="0" w:after="50" w:line="250" w:lineRule="auto"/>
        <w:rPr/>
      </w:pPr>
      <w:r>
        <w:rPr>
          <w:rFonts w:ascii="Calibri" w:hAnsi="Calibri"/>
          <w:b/>
          <w:color w:val="000000"/>
          <w:sz w:val="20"/>
        </w:rPr>
        <w:t>Combination findings generate hypotheses that require their own evaluation</w:t>
      </w:r>
    </w:p>
    <w:p>
      <w:pPr>
        <w:pStyle w:val="Normal"/>
        <w:spacing w:before="0" w:after="50" w:line="250" w:lineRule="auto"/>
        <w:rPr/>
      </w:pPr>
      <w:r>
        <w:rPr>
          <w:rFonts w:ascii="Calibri" w:hAnsi="Calibri"/>
          <w:color w:val="000000"/>
          <w:sz w:val="20"/>
        </w:rPr>
        <w:t xml:space="preserve">Band et al.'s 2019 work investigated the exploitation of heteroresistance to identify effective antibiotic combinations. The study provides a mechanistic reason to examine how differently susceptible subpopulations respond to combined exposures. It does not authorize a general combination recommendation or establish a treatment-selection function for AMReye.AI. </w:t>
      </w:r>
    </w:p>
    <w:p>
      <w:pPr>
        <w:pStyle w:val="Heading3"/>
        <w:keepNext/>
        <w:keepLines/>
        <w:spacing w:before="240" w:after="120" w:line="269" w:lineRule="auto"/>
      </w:pPr>
      <w:r>
        <w:rPr>
          <w:color w:val="000000"/>
        </w:rPr>
        <w:t>A proposed research use</w:t>
      </w:r>
    </w:p>
    <w:p>
      <w:pPr>
        <w:pStyle w:val="Normal"/>
        <w:spacing w:before="0" w:after="50" w:line="250" w:lineRule="auto"/>
        <w:rPr/>
      </w:pPr>
      <w:r>
        <w:rPr>
          <w:rFonts w:ascii="Calibri" w:hAnsi="Calibri"/>
          <w:color w:val="000000"/>
          <w:sz w:val="20"/>
        </w:rPr>
        <w:t>The platform could support controlled experiments by recording spatial growth, exposure context and time-dependent responses under a prespecified design. Its contribution would be measurement and traceability. Interpretation of interaction, mechanism and therapeutic significance would require the appropriate experimental and clinical expertise.</w:t>
      </w:r>
    </w:p>
    <w:p>
      <w:pPr>
        <w:spacing w:before="0" w:after="50" w:line="250" w:lineRule="auto"/>
      </w:pPr>
      <w:r>
        <w:rPr>
          <w:rFonts w:ascii="Calibri" w:hAnsi="Calibri"/>
          <w:color w:val="000000"/>
          <w:sz w:val="20"/>
        </w:rPr>
        <w:t xml:space="preserve">Research element: Population composition</w:t>
      </w:r>
    </w:p>
    <w:p>
      <w:pPr>
        <w:spacing w:before="0" w:after="50" w:line="250" w:lineRule="auto"/>
      </w:pPr>
      <w:r>
        <w:rPr>
          <w:rFonts w:ascii="Calibri" w:hAnsi="Calibri"/>
          <w:color w:val="000000"/>
          <w:sz w:val="20"/>
        </w:rPr>
        <w:t xml:space="preserve">Proposed evidence requirement: Establish the relevant heterogeneity before the comparison.</w:t>
      </w:r>
    </w:p>
    <w:p>
      <w:pPr>
        <w:spacing w:before="0" w:after="50" w:line="250" w:lineRule="auto"/>
      </w:pPr>
      <w:r>
        <w:rPr>
          <w:rFonts w:ascii="Calibri" w:hAnsi="Calibri"/>
          <w:color w:val="000000"/>
          <w:sz w:val="20"/>
        </w:rPr>
        <w:t xml:space="preserve">Research element: Exposure definition</w:t>
      </w:r>
    </w:p>
    <w:p>
      <w:pPr>
        <w:spacing w:before="0" w:after="50" w:line="250" w:lineRule="auto"/>
      </w:pPr>
      <w:r>
        <w:rPr>
          <w:rFonts w:ascii="Calibri" w:hAnsi="Calibri"/>
          <w:color w:val="000000"/>
          <w:sz w:val="20"/>
        </w:rPr>
        <w:t xml:space="preserve">Proposed evidence requirement: Preserve concentrations, timing and the experimental context.</w:t>
      </w:r>
    </w:p>
    <w:p>
      <w:pPr>
        <w:spacing w:before="0" w:after="50" w:line="250" w:lineRule="auto"/>
      </w:pPr>
      <w:r>
        <w:rPr>
          <w:rFonts w:ascii="Calibri" w:hAnsi="Calibri"/>
          <w:color w:val="000000"/>
          <w:sz w:val="20"/>
        </w:rPr>
        <w:t xml:space="preserve">Research element: Response endpoint</w:t>
      </w:r>
    </w:p>
    <w:p>
      <w:pPr>
        <w:spacing w:before="0" w:after="50" w:line="250" w:lineRule="auto"/>
      </w:pPr>
      <w:r>
        <w:rPr>
          <w:rFonts w:ascii="Calibri" w:hAnsi="Calibri"/>
          <w:color w:val="000000"/>
          <w:sz w:val="20"/>
        </w:rPr>
        <w:t xml:space="preserve">Proposed evidence requirement: Define growth, survival or another measured outcome in advance.</w:t>
      </w:r>
    </w:p>
    <w:p>
      <w:pPr>
        <w:spacing w:before="0" w:after="50" w:line="250" w:lineRule="auto"/>
      </w:pPr>
      <w:r>
        <w:rPr>
          <w:rFonts w:ascii="Calibri" w:hAnsi="Calibri"/>
          <w:color w:val="000000"/>
          <w:sz w:val="20"/>
        </w:rPr>
        <w:t xml:space="preserve">Research element: Interaction assessment</w:t>
      </w:r>
    </w:p>
    <w:p>
      <w:pPr>
        <w:spacing w:before="0" w:after="50" w:line="250" w:lineRule="auto"/>
      </w:pPr>
      <w:r>
        <w:rPr>
          <w:rFonts w:ascii="Calibri" w:hAnsi="Calibri"/>
          <w:color w:val="000000"/>
          <w:sz w:val="20"/>
        </w:rPr>
        <w:t xml:space="preserve">Proposed evidence requirement: Use a suitable comparator and prespecified analysis.</w:t>
      </w:r>
    </w:p>
    <w:p>
      <w:pPr>
        <w:spacing w:before="0" w:after="50" w:line="250" w:lineRule="auto"/>
      </w:pPr>
      <w:r>
        <w:rPr>
          <w:rFonts w:ascii="Calibri" w:hAnsi="Calibri"/>
          <w:color w:val="000000"/>
          <w:sz w:val="20"/>
        </w:rPr>
        <w:t xml:space="preserve">Research element: Clinical translation</w:t>
      </w:r>
    </w:p>
    <w:p>
      <w:pPr>
        <w:spacing w:before="0" w:after="50" w:line="250" w:lineRule="auto"/>
      </w:pPr>
      <w:r>
        <w:rPr>
          <w:rFonts w:ascii="Calibri" w:hAnsi="Calibri"/>
          <w:color w:val="000000"/>
          <w:sz w:val="20"/>
        </w:rPr>
        <w:t xml:space="preserve">Proposed evidence requirement: Evaluate separately from laboratory interaction evidence.</w:t>
      </w:r>
    </w:p>
    <w:p>
      <w:pPr>
        <w:pStyle w:val="Heading3"/>
        <w:keepNext/>
        <w:keepLines/>
        <w:spacing w:before="240" w:after="120" w:line="269" w:lineRule="auto"/>
      </w:pPr>
      <w:r>
        <w:rPr>
          <w:color w:val="000000"/>
        </w:rPr>
        <w:t>Avoid a false shortcut from image to therapy</w:t>
      </w:r>
    </w:p>
    <w:p>
      <w:pPr>
        <w:pStyle w:val="Normal"/>
        <w:spacing w:before="0" w:after="50" w:line="250" w:lineRule="auto"/>
        <w:rPr/>
      </w:pPr>
      <w:r>
        <w:rPr>
          <w:rFonts w:ascii="Calibri" w:hAnsi="Calibri"/>
          <w:color w:val="000000"/>
          <w:sz w:val="20"/>
        </w:rPr>
        <w:t>An apparent reduction in visible growth can result from different biological processes. A single image cannot establish killing, durable suppression, mechanism or patient benefit. Even a reproducible laboratory interaction remains conditional on the tested system.</w:t>
      </w:r>
    </w:p>
    <w:p>
      <w:pPr>
        <w:pStyle w:val="Normal"/>
        <w:spacing w:before="0" w:after="50" w:line="250" w:lineRule="auto"/>
        <w:rPr/>
      </w:pPr>
      <w:r>
        <w:rPr>
          <w:rFonts w:ascii="Calibri" w:hAnsi="Calibri"/>
          <w:color w:val="000000"/>
          <w:sz w:val="20"/>
        </w:rPr>
        <w:t>The proposed software should therefore present research measurements and uncertainty without generating autonomous treatment instructions. A useful capability would be the ability to compare hypotheses and retrieve the complete experimental record. The development objective is to make combination research more inspectable, while keeping therapeutic claims behind their own evidence and authorization requirements.</w:t>
      </w:r>
    </w:p>
    <w:p>
      <w:pPr>
        <w:pStyle w:val="Heading3"/>
        <w:keepNext/>
        <w:keepLines/>
        <w:spacing w:before="240" w:after="120" w:line="269" w:lineRule="auto"/>
      </w:pPr>
      <w:r>
        <w:rPr>
          <w:color w:val="000000"/>
        </w:rPr>
        <w:t>Definitions of persistence and tolerance</w:t>
      </w:r>
    </w:p>
    <w:p>
      <w:pPr>
        <w:pStyle w:val="Normal"/>
        <w:keepNext/>
        <w:spacing w:before="0" w:after="50" w:line="250" w:lineRule="auto"/>
        <w:rPr/>
      </w:pPr>
      <w:r>
        <w:rPr>
          <w:rFonts w:ascii="Calibri" w:hAnsi="Calibri"/>
          <w:b/>
          <w:color w:val="000000"/>
          <w:sz w:val="20"/>
        </w:rPr>
        <w:t>Resistance, tolerance and persistence describe different response patterns</w:t>
      </w:r>
    </w:p>
    <w:p>
      <w:pPr>
        <w:pStyle w:val="Normal"/>
        <w:spacing w:before="0" w:after="50" w:line="250" w:lineRule="auto"/>
        <w:rPr/>
      </w:pPr>
      <w:r>
        <w:rPr>
          <w:rFonts w:ascii="Calibri" w:hAnsi="Calibri"/>
          <w:color w:val="000000"/>
          <w:sz w:val="20"/>
        </w:rPr>
        <w:t xml:space="preserve">The consensus statement by Balaban and colleagues distinguishes resistance, which concerns growth under antimicrobial exposure, from tolerance and persistence, which concern survival during killing. Persistence refers to a surviving subpopulation rather than uniformly slower killing across the population. These distinctions require suitable experimental endpoints and cannot be established by vocabulary alone. </w:t>
      </w:r>
    </w:p>
    <w:p>
      <w:pPr>
        <w:pStyle w:val="Heading3"/>
        <w:keepNext/>
        <w:keepLines/>
        <w:spacing w:before="240" w:after="120" w:line="269" w:lineRule="auto"/>
      </w:pPr>
      <w:r>
        <w:rPr>
          <w:color w:val="000000"/>
        </w:rPr>
        <w:t>Implication for a measurement platform</w:t>
      </w:r>
    </w:p>
    <w:p>
      <w:pPr>
        <w:pStyle w:val="Normal"/>
        <w:spacing w:before="0" w:after="50" w:line="250" w:lineRule="auto"/>
        <w:rPr/>
      </w:pPr>
      <w:r>
        <w:rPr>
          <w:rFonts w:ascii="Calibri" w:hAnsi="Calibri"/>
          <w:color w:val="000000"/>
          <w:sz w:val="20"/>
        </w:rPr>
        <w:t>An endpoint zone image primarily records spatial growth inhibition under its method conditions. A time series may reveal additional dynamics, but the observable signal still has to match the biological question. An unchanged object might be alive, dead or an imaging artifact. Absence of visible expansion does not establish eradication.</w:t>
      </w:r>
    </w:p>
    <w:p>
      <w:pPr>
        <w:spacing w:before="0" w:after="50" w:line="250" w:lineRule="auto"/>
      </w:pPr>
      <w:r>
        <w:rPr>
          <w:rFonts w:ascii="Calibri" w:hAnsi="Calibri"/>
          <w:color w:val="000000"/>
          <w:sz w:val="20"/>
        </w:rPr>
        <w:t xml:space="preserve">Proposed output: Growth inhibition measurement</w:t>
      </w:r>
    </w:p>
    <w:p>
      <w:pPr>
        <w:spacing w:before="0" w:after="50" w:line="250" w:lineRule="auto"/>
      </w:pPr>
      <w:r>
        <w:rPr>
          <w:rFonts w:ascii="Calibri" w:hAnsi="Calibri"/>
          <w:color w:val="000000"/>
          <w:sz w:val="20"/>
        </w:rPr>
        <w:t xml:space="preserve">Necessary boundary: Does not itself quantify killing.</w:t>
      </w:r>
    </w:p>
    <w:p>
      <w:pPr>
        <w:spacing w:before="0" w:after="50" w:line="250" w:lineRule="auto"/>
      </w:pPr>
      <w:r>
        <w:rPr>
          <w:rFonts w:ascii="Calibri" w:hAnsi="Calibri"/>
          <w:color w:val="000000"/>
          <w:sz w:val="20"/>
        </w:rPr>
        <w:t xml:space="preserve">Proposed output: Delayed visible growth</w:t>
      </w:r>
    </w:p>
    <w:p>
      <w:pPr>
        <w:spacing w:before="0" w:after="50" w:line="250" w:lineRule="auto"/>
      </w:pPr>
      <w:r>
        <w:rPr>
          <w:rFonts w:ascii="Calibri" w:hAnsi="Calibri"/>
          <w:color w:val="000000"/>
          <w:sz w:val="20"/>
        </w:rPr>
        <w:t xml:space="preserve">Necessary boundary: Does not uniquely identify persistence.</w:t>
      </w:r>
    </w:p>
    <w:p>
      <w:pPr>
        <w:spacing w:before="0" w:after="50" w:line="250" w:lineRule="auto"/>
      </w:pPr>
      <w:r>
        <w:rPr>
          <w:rFonts w:ascii="Calibri" w:hAnsi="Calibri"/>
          <w:color w:val="000000"/>
          <w:sz w:val="20"/>
        </w:rPr>
        <w:t xml:space="preserve">Proposed output: Surviving subpopulation hypothesis</w:t>
      </w:r>
    </w:p>
    <w:p>
      <w:pPr>
        <w:spacing w:before="0" w:after="50" w:line="250" w:lineRule="auto"/>
      </w:pPr>
      <w:r>
        <w:rPr>
          <w:rFonts w:ascii="Calibri" w:hAnsi="Calibri"/>
          <w:color w:val="000000"/>
          <w:sz w:val="20"/>
        </w:rPr>
        <w:t xml:space="preserve">Necessary boundary: Requires an appropriate survival-based investigation.</w:t>
      </w:r>
    </w:p>
    <w:p>
      <w:pPr>
        <w:spacing w:before="0" w:after="50" w:line="250" w:lineRule="auto"/>
      </w:pPr>
      <w:r>
        <w:rPr>
          <w:rFonts w:ascii="Calibri" w:hAnsi="Calibri"/>
          <w:color w:val="000000"/>
          <w:sz w:val="20"/>
        </w:rPr>
        <w:t xml:space="preserve">Proposed output: Resistance interpretation</w:t>
      </w:r>
    </w:p>
    <w:p>
      <w:pPr>
        <w:spacing w:before="0" w:after="50" w:line="250" w:lineRule="auto"/>
      </w:pPr>
      <w:r>
        <w:rPr>
          <w:rFonts w:ascii="Calibri" w:hAnsi="Calibri"/>
          <w:color w:val="000000"/>
          <w:sz w:val="20"/>
        </w:rPr>
        <w:t xml:space="preserve">Necessary boundary: Requires the applicable assay and interpretive context.</w:t>
      </w:r>
    </w:p>
    <w:p>
      <w:pPr>
        <w:pStyle w:val="Heading3"/>
        <w:keepNext/>
        <w:keepLines/>
        <w:spacing w:before="240" w:after="120" w:line="269" w:lineRule="auto"/>
      </w:pPr>
      <w:r>
        <w:rPr>
          <w:color w:val="000000"/>
        </w:rPr>
        <w:t>Design the record around the actual endpoint</w:t>
      </w:r>
    </w:p>
    <w:p>
      <w:pPr>
        <w:pStyle w:val="Normal"/>
        <w:spacing w:before="0" w:after="50" w:line="250" w:lineRule="auto"/>
        <w:rPr/>
      </w:pPr>
      <w:r>
        <w:rPr>
          <w:rFonts w:ascii="Calibri" w:hAnsi="Calibri"/>
          <w:color w:val="000000"/>
          <w:sz w:val="20"/>
        </w:rPr>
        <w:t>The proposed data model should store whether an experiment measures growth, viable survival, metabolic response or another signal. Analysis should preserve the observation period and exposure definition. A generic field called “resistance score” would obscure distinctions that matter scientifically.</w:t>
      </w:r>
    </w:p>
    <w:p>
      <w:pPr>
        <w:pStyle w:val="Normal"/>
        <w:spacing w:before="0" w:after="50" w:line="250" w:lineRule="auto"/>
        <w:rPr/>
      </w:pPr>
      <w:r>
        <w:rPr>
          <w:rFonts w:ascii="Calibri" w:hAnsi="Calibri"/>
          <w:color w:val="000000"/>
          <w:sz w:val="20"/>
        </w:rPr>
        <w:t>For research comparisons, the programme should agree on terminology before data collection. Reviewers should be able to identify whether a claim follows from the measured endpoint or remains a hypothesis. This is especially relevant when multimodal measurements disagree: a metabolic signal and an optical growth signal may answer different questions rather than indicate that one sensor has failed. Biological interpretation should precede automatic reconciliation.</w:t>
      </w:r>
    </w:p>
    <w:p>
      <w:pPr>
        <w:pStyle w:val="Heading3"/>
        <w:keepNext/>
        <w:keepLines/>
        <w:spacing w:before="240" w:after="120" w:line="269" w:lineRule="auto"/>
      </w:pPr>
      <w:r>
        <w:rPr>
          <w:color w:val="000000"/>
        </w:rPr>
        <w:t>Evidence for spatial and temporal growth models</w:t>
      </w:r>
    </w:p>
    <w:p>
      <w:pPr>
        <w:pStyle w:val="Normal"/>
        <w:keepNext/>
        <w:spacing w:before="0" w:after="50" w:line="250" w:lineRule="auto"/>
        <w:rPr/>
      </w:pPr>
      <w:r>
        <w:rPr>
          <w:rFonts w:ascii="Calibri" w:hAnsi="Calibri"/>
          <w:b/>
          <w:color w:val="000000"/>
          <w:sz w:val="20"/>
        </w:rPr>
        <w:t>Growth models explain variation without guaranteeing an individual future</w:t>
      </w:r>
    </w:p>
    <w:p>
      <w:pPr>
        <w:pStyle w:val="Normal"/>
        <w:spacing w:before="0" w:after="50" w:line="250" w:lineRule="auto"/>
        <w:rPr/>
      </w:pPr>
      <w:r>
        <w:rPr>
          <w:rFonts w:ascii="Calibri" w:hAnsi="Calibri"/>
          <w:color w:val="000000"/>
          <w:sz w:val="20"/>
        </w:rPr>
        <w:t xml:space="preserve">Thomas et al. developed a stochastic cellular model linking gene expression, metabolism and replication. The work connects fluctuations in cellular processes with heterogeneous growth and evaluates model behavior against reported physiological observations. It provides a basis for investigating variable responses, not a validated forecasting model for a particular AMReye.AI plate. </w:t>
      </w:r>
    </w:p>
    <w:p>
      <w:pPr>
        <w:pStyle w:val="Normal"/>
        <w:spacing w:before="0" w:after="50" w:line="250" w:lineRule="auto"/>
        <w:rPr/>
      </w:pPr>
      <w:r>
        <w:rPr>
          <w:rFonts w:ascii="Calibri" w:hAnsi="Calibri"/>
          <w:color w:val="000000"/>
          <w:sz w:val="20"/>
        </w:rPr>
        <w:t xml:space="preserve">Kapteyn, Pretorius and Willcox describe probabilistic graphical modelling for digital twins in an engineering setting. Its relevance here is methodological: distinguish latent state, observation, uncertainty and decision. Biological calibration and validation remain separate work. </w:t>
      </w:r>
    </w:p>
    <w:p>
      <w:pPr>
        <w:pStyle w:val="Heading3"/>
        <w:keepNext/>
        <w:keepLines/>
        <w:spacing w:before="240" w:after="120" w:line="269" w:lineRule="auto"/>
      </w:pPr>
      <w:r>
        <w:rPr>
          <w:color w:val="000000"/>
        </w:rPr>
        <w:t>Evidence needed at plate scale</w:t>
      </w:r>
    </w:p>
    <w:p>
      <w:pPr>
        <w:pStyle w:val="Normal"/>
        <w:spacing w:before="0" w:after="50" w:line="250" w:lineRule="auto"/>
        <w:rPr/>
      </w:pPr>
      <w:r>
        <w:rPr>
          <w:rFonts w:ascii="Calibri" w:hAnsi="Calibri"/>
          <w:color w:val="000000"/>
          <w:sz w:val="20"/>
        </w:rPr>
        <w:t>The proposed twin must connect its latent variables to actual measurable quantities. A plausible growth equation is insufficient if several parameter combinations fit the same short observation period but predict incompatible futures. That situation is an identifiability limitation, not a reason to select the most visually convincing trajectory.</w:t>
      </w:r>
    </w:p>
    <w:p>
      <w:pPr>
        <w:spacing w:before="0" w:after="50" w:line="250" w:lineRule="auto"/>
      </w:pPr>
      <w:r>
        <w:rPr>
          <w:rFonts w:ascii="Calibri" w:hAnsi="Calibri"/>
          <w:color w:val="000000"/>
          <w:sz w:val="20"/>
        </w:rPr>
        <w:t xml:space="preserve">Model question: Can parameters be estimated?</w:t>
      </w:r>
    </w:p>
    <w:p>
      <w:pPr>
        <w:spacing w:before="0" w:after="50" w:line="250" w:lineRule="auto"/>
      </w:pPr>
      <w:r>
        <w:rPr>
          <w:rFonts w:ascii="Calibri" w:hAnsi="Calibri"/>
          <w:color w:val="000000"/>
          <w:sz w:val="20"/>
        </w:rPr>
        <w:t xml:space="preserve">Proposed evaluation: Sensitivity and identifiability analysis using the intended observations.</w:t>
      </w:r>
    </w:p>
    <w:p>
      <w:pPr>
        <w:spacing w:before="0" w:after="50" w:line="250" w:lineRule="auto"/>
      </w:pPr>
      <w:r>
        <w:rPr>
          <w:rFonts w:ascii="Calibri" w:hAnsi="Calibri"/>
          <w:color w:val="000000"/>
          <w:sz w:val="20"/>
        </w:rPr>
        <w:t xml:space="preserve">Model question: Does forecasting beat a simple baseline?</w:t>
      </w:r>
    </w:p>
    <w:p>
      <w:pPr>
        <w:spacing w:before="0" w:after="50" w:line="250" w:lineRule="auto"/>
      </w:pPr>
      <w:r>
        <w:rPr>
          <w:rFonts w:ascii="Calibri" w:hAnsi="Calibri"/>
          <w:color w:val="000000"/>
          <w:sz w:val="20"/>
        </w:rPr>
        <w:t xml:space="preserve">Proposed evaluation: Prospective time-split comparison against persistence and simple growth fits.</w:t>
      </w:r>
    </w:p>
    <w:p>
      <w:pPr>
        <w:spacing w:before="0" w:after="50" w:line="250" w:lineRule="auto"/>
      </w:pPr>
      <w:r>
        <w:rPr>
          <w:rFonts w:ascii="Calibri" w:hAnsi="Calibri"/>
          <w:color w:val="000000"/>
          <w:sz w:val="20"/>
        </w:rPr>
        <w:t xml:space="preserve">Model question: Is uncertainty informative?</w:t>
      </w:r>
    </w:p>
    <w:p>
      <w:pPr>
        <w:spacing w:before="0" w:after="50" w:line="250" w:lineRule="auto"/>
      </w:pPr>
      <w:r>
        <w:rPr>
          <w:rFonts w:ascii="Calibri" w:hAnsi="Calibri"/>
          <w:color w:val="000000"/>
          <w:sz w:val="20"/>
        </w:rPr>
        <w:t xml:space="preserve">Proposed evaluation: Horizon-specific coverage and calibration assessment.</w:t>
      </w:r>
    </w:p>
    <w:p>
      <w:pPr>
        <w:spacing w:before="0" w:after="50" w:line="250" w:lineRule="auto"/>
      </w:pPr>
      <w:r>
        <w:rPr>
          <w:rFonts w:ascii="Calibri" w:hAnsi="Calibri"/>
          <w:color w:val="000000"/>
          <w:sz w:val="20"/>
        </w:rPr>
        <w:t xml:space="preserve">Model question: Does interruption change reliability?</w:t>
      </w:r>
    </w:p>
    <w:p>
      <w:pPr>
        <w:spacing w:before="0" w:after="50" w:line="250" w:lineRule="auto"/>
      </w:pPr>
      <w:r>
        <w:rPr>
          <w:rFonts w:ascii="Calibri" w:hAnsi="Calibri"/>
          <w:color w:val="000000"/>
          <w:sz w:val="20"/>
        </w:rPr>
        <w:t xml:space="preserve">Proposed evaluation: Withheld-observation experiments with known later measurements.</w:t>
      </w:r>
    </w:p>
    <w:p>
      <w:pPr>
        <w:pStyle w:val="Heading3"/>
        <w:keepNext/>
        <w:keepLines/>
        <w:spacing w:before="240" w:after="120" w:line="269" w:lineRule="auto"/>
      </w:pPr>
      <w:r>
        <w:rPr>
          <w:color w:val="000000"/>
        </w:rPr>
        <w:t>Scientific consequence</w:t>
      </w:r>
    </w:p>
    <w:p>
      <w:pPr>
        <w:pStyle w:val="Normal"/>
        <w:spacing w:before="0" w:after="50" w:line="250" w:lineRule="auto"/>
        <w:rPr/>
      </w:pPr>
      <w:r>
        <w:rPr>
          <w:rFonts w:ascii="Calibri" w:hAnsi="Calibri"/>
          <w:color w:val="000000"/>
          <w:sz w:val="20"/>
        </w:rPr>
        <w:t>Simulation continuity preserves computation after physical observation ends. It cannot preserve knowledge of unobserved contamination, environmental changes or new biological events. The proposed publication and interface should retain the final measured state and show how uncertainty evolves beyond it. Model-based exploration remains valuable precisely when its assumptions and limits can be inspected.</w:t>
      </w:r>
    </w:p>
    <w:p>
      <w:pPr>
        <w:pStyle w:val="Heading3"/>
        <w:keepNext/>
        <w:keepLines/>
        <w:spacing w:before="240" w:after="120" w:line="269" w:lineRule="auto"/>
      </w:pPr>
      <w:r>
        <w:rPr>
          <w:color w:val="000000"/>
        </w:rPr>
        <w:t>Optical metrology evidence</w:t>
      </w:r>
    </w:p>
    <w:p>
      <w:pPr>
        <w:pStyle w:val="Normal"/>
        <w:keepNext/>
        <w:spacing w:before="0" w:after="50" w:line="250" w:lineRule="auto"/>
        <w:rPr/>
      </w:pPr>
      <w:r>
        <w:rPr>
          <w:rFonts w:ascii="Calibri" w:hAnsi="Calibri"/>
          <w:b/>
          <w:color w:val="000000"/>
          <w:sz w:val="20"/>
        </w:rPr>
        <w:t>Sensor specifications and system metrology answer different questions</w:t>
      </w:r>
    </w:p>
    <w:p>
      <w:pPr>
        <w:pStyle w:val="Normal"/>
        <w:spacing w:before="0" w:after="50" w:line="250" w:lineRule="auto"/>
        <w:rPr/>
      </w:pPr>
      <w:r>
        <w:rPr>
          <w:rFonts w:ascii="Calibri" w:hAnsi="Calibri"/>
          <w:color w:val="000000"/>
          <w:sz w:val="20"/>
        </w:rPr>
        <w:t xml:space="preserve">EMVA 1288 provides a framework for characterizing camera behavior. Optical documentation explains how geometry, perspective and lens choice affect imaging. The JCGM uncertainty framework supports an explicit account of contributions to a measurement result. None supplies an automatic accuracy specification for an assembled plate reader.   </w:t>
      </w:r>
    </w:p>
    <w:p>
      <w:pPr>
        <w:pStyle w:val="Heading3"/>
        <w:keepNext/>
        <w:keepLines/>
        <w:spacing w:before="240" w:after="120" w:line="269" w:lineRule="auto"/>
      </w:pPr>
      <w:r>
        <w:rPr>
          <w:color w:val="000000"/>
        </w:rPr>
        <w:t>The measurement chain is the object of validation</w:t>
      </w:r>
    </w:p>
    <w:p>
      <w:pPr>
        <w:pStyle w:val="Normal"/>
        <w:spacing w:before="0" w:after="50" w:line="250" w:lineRule="auto"/>
        <w:rPr/>
      </w:pPr>
      <w:r>
        <w:rPr>
          <w:rFonts w:ascii="Calibri" w:hAnsi="Calibri"/>
          <w:color w:val="000000"/>
          <w:sz w:val="20"/>
        </w:rPr>
        <w:t>A camera can have a small pixel pitch while the final system has substantial error from distortion, defocus, plate height, reflections or boundary interpretation. Similarly, a lens chosen for reduced perspective sensitivity still requires alignment and verification across the actual object field.</w:t>
      </w:r>
    </w:p>
    <w:p>
      <w:pPr>
        <w:spacing w:before="0" w:after="50" w:line="250" w:lineRule="auto"/>
      </w:pPr>
      <w:r>
        <w:rPr>
          <w:rFonts w:ascii="Calibri" w:hAnsi="Calibri"/>
          <w:color w:val="000000"/>
          <w:sz w:val="20"/>
        </w:rPr>
        <w:t xml:space="preserve">Evidence source: Camera characterization</w:t>
      </w:r>
    </w:p>
    <w:p>
      <w:pPr>
        <w:spacing w:before="0" w:after="50" w:line="250" w:lineRule="auto"/>
      </w:pPr>
      <w:r>
        <w:rPr>
          <w:rFonts w:ascii="Calibri" w:hAnsi="Calibri"/>
          <w:color w:val="000000"/>
          <w:sz w:val="20"/>
        </w:rPr>
        <w:t xml:space="preserve">What AMReye.AI must establish independently: Image quality under the selected exposure and illumination.</w:t>
      </w:r>
    </w:p>
    <w:p>
      <w:pPr>
        <w:spacing w:before="0" w:after="50" w:line="250" w:lineRule="auto"/>
      </w:pPr>
      <w:r>
        <w:rPr>
          <w:rFonts w:ascii="Calibri" w:hAnsi="Calibri"/>
          <w:color w:val="000000"/>
          <w:sz w:val="20"/>
        </w:rPr>
        <w:t xml:space="preserve">Evidence source: Lens specification</w:t>
      </w:r>
    </w:p>
    <w:p>
      <w:pPr>
        <w:spacing w:before="0" w:after="50" w:line="250" w:lineRule="auto"/>
      </w:pPr>
      <w:r>
        <w:rPr>
          <w:rFonts w:ascii="Calibri" w:hAnsi="Calibri"/>
          <w:color w:val="000000"/>
          <w:sz w:val="20"/>
        </w:rPr>
        <w:t xml:space="preserve">What AMReye.AI must establish independently: Usable field, focus, distortion and mounting stability.</w:t>
      </w:r>
    </w:p>
    <w:p>
      <w:pPr>
        <w:spacing w:before="0" w:after="50" w:line="250" w:lineRule="auto"/>
      </w:pPr>
      <w:r>
        <w:rPr>
          <w:rFonts w:ascii="Calibri" w:hAnsi="Calibri"/>
          <w:color w:val="000000"/>
          <w:sz w:val="20"/>
        </w:rPr>
        <w:t xml:space="preserve">Evidence source: Calibration artifact</w:t>
      </w:r>
    </w:p>
    <w:p>
      <w:pPr>
        <w:spacing w:before="0" w:after="50" w:line="250" w:lineRule="auto"/>
      </w:pPr>
      <w:r>
        <w:rPr>
          <w:rFonts w:ascii="Calibri" w:hAnsi="Calibri"/>
          <w:color w:val="000000"/>
          <w:sz w:val="20"/>
        </w:rPr>
        <w:t xml:space="preserve">What AMReye.AI must establish independently: Traceability and fitness for the spatial scale of interest.</w:t>
      </w:r>
    </w:p>
    <w:p>
      <w:pPr>
        <w:spacing w:before="0" w:after="50" w:line="250" w:lineRule="auto"/>
      </w:pPr>
      <w:r>
        <w:rPr>
          <w:rFonts w:ascii="Calibri" w:hAnsi="Calibri"/>
          <w:color w:val="000000"/>
          <w:sz w:val="20"/>
        </w:rPr>
        <w:t xml:space="preserve">Evidence source: Uncertainty framework</w:t>
      </w:r>
    </w:p>
    <w:p>
      <w:pPr>
        <w:spacing w:before="0" w:after="50" w:line="250" w:lineRule="auto"/>
      </w:pPr>
      <w:r>
        <w:rPr>
          <w:rFonts w:ascii="Calibri" w:hAnsi="Calibri"/>
          <w:color w:val="000000"/>
          <w:sz w:val="20"/>
        </w:rPr>
        <w:t xml:space="preserve">What AMReye.AI must establish independently: A defensible budget for the assembled measurement procedure.</w:t>
      </w:r>
    </w:p>
    <w:p>
      <w:pPr>
        <w:pStyle w:val="Heading3"/>
        <w:keepNext/>
        <w:keepLines/>
        <w:spacing w:before="240" w:after="120" w:line="269" w:lineRule="auto"/>
      </w:pPr>
      <w:r>
        <w:rPr>
          <w:color w:val="000000"/>
        </w:rPr>
        <w:t>Proposed metrology experiment</w:t>
      </w:r>
    </w:p>
    <w:p>
      <w:pPr>
        <w:pStyle w:val="Normal"/>
        <w:spacing w:before="0" w:after="50" w:line="250" w:lineRule="auto"/>
        <w:rPr/>
      </w:pPr>
      <w:r>
        <w:rPr>
          <w:rFonts w:ascii="Calibri" w:hAnsi="Calibri"/>
          <w:color w:val="000000"/>
          <w:sz w:val="20"/>
        </w:rPr>
        <w:t>The optical bench should compare known geometric targets at multiple positions and relevant heights. Repeat captures should vary remounting, illumination and qualified environmental conditions. The analysis should separate scale error, spatial distortion and repeatability, then examine biological boundaries using independent reference readings.</w:t>
      </w:r>
    </w:p>
    <w:p>
      <w:pPr>
        <w:pStyle w:val="Normal"/>
        <w:spacing w:before="0" w:after="50" w:line="250" w:lineRule="auto"/>
        <w:rPr/>
      </w:pPr>
      <w:r>
        <w:rPr>
          <w:rFonts w:ascii="Calibri" w:hAnsi="Calibri"/>
          <w:color w:val="000000"/>
          <w:sz w:val="20"/>
        </w:rPr>
        <w:t>The resulting evidence should state where measurements are eligible and when recalibration or rejection is necessary. Object sampling in micrometres per pixel is a useful design calculation, but it should be reported separately from diameter uncertainty in millimetres. Keeping those quantities distinct prevents a component specification from becoming an unsupported biological measurement claim.</w:t>
      </w:r>
    </w:p>
    <w:p>
      <w:pPr>
        <w:pStyle w:val="Heading3"/>
        <w:keepNext/>
        <w:keepLines/>
        <w:spacing w:before="240" w:after="120" w:line="269" w:lineRule="auto"/>
      </w:pPr>
      <w:r>
        <w:rPr>
          <w:color w:val="000000"/>
        </w:rPr>
        <w:t>Gas and environmental sensor evidence</w:t>
      </w:r>
    </w:p>
    <w:p>
      <w:pPr>
        <w:pStyle w:val="Normal"/>
        <w:keepNext/>
        <w:spacing w:before="0" w:after="50" w:line="250" w:lineRule="auto"/>
        <w:rPr/>
      </w:pPr>
      <w:r>
        <w:rPr>
          <w:rFonts w:ascii="Calibri" w:hAnsi="Calibri"/>
          <w:b/>
          <w:color w:val="000000"/>
          <w:sz w:val="20"/>
        </w:rPr>
        <w:t>Environmental sensing supports context before it supports biological inference</w:t>
      </w:r>
    </w:p>
    <w:p>
      <w:pPr>
        <w:pStyle w:val="Normal"/>
        <w:spacing w:before="0" w:after="50" w:line="250" w:lineRule="auto"/>
        <w:rPr/>
      </w:pPr>
      <w:r>
        <w:rPr>
          <w:rFonts w:ascii="Calibri" w:hAnsi="Calibri"/>
          <w:color w:val="000000"/>
          <w:sz w:val="20"/>
        </w:rPr>
        <w:t xml:space="preserve">Manufacturer documentation for gas and environmental sensors establishes their physical signals, operating ranges and integration requirements. A broad gas response or a temperature channel does not identify a bacterial species, resistance mechanism or metabolite without additional evidence. The platform's candidate catalogue therefore separates environmental monitoring from exploratory biological sensing.  </w:t>
      </w:r>
    </w:p>
    <w:p>
      <w:pPr>
        <w:pStyle w:val="Heading3"/>
        <w:keepNext/>
        <w:keepLines/>
        <w:spacing w:before="240" w:after="120" w:line="269" w:lineRule="auto"/>
      </w:pPr>
      <w:r>
        <w:rPr>
          <w:color w:val="000000"/>
        </w:rPr>
        <w:t>A controlled question for each signal</w:t>
      </w:r>
    </w:p>
    <w:p>
      <w:pPr>
        <w:pStyle w:val="Normal"/>
        <w:spacing w:before="0" w:after="50" w:line="250" w:lineRule="auto"/>
        <w:rPr/>
      </w:pPr>
      <w:r>
        <w:rPr>
          <w:rFonts w:ascii="Calibri" w:hAnsi="Calibri"/>
          <w:color w:val="000000"/>
          <w:sz w:val="20"/>
        </w:rPr>
        <w:t>Temperature, humidity and gas measurements can help explain whether acquisition occurred under qualified conditions. Using the same channels as biological predictors is a separate research programme. It requires demonstrating that the signal reflects the intended biology rather than media, cleaning agents, room conditions or sensor history.</w:t>
      </w:r>
    </w:p>
    <w:p>
      <w:pPr>
        <w:spacing w:before="0" w:after="50" w:line="250" w:lineRule="auto"/>
      </w:pPr>
      <w:r>
        <w:rPr>
          <w:rFonts w:ascii="Calibri" w:hAnsi="Calibri"/>
          <w:color w:val="000000"/>
          <w:sz w:val="20"/>
        </w:rPr>
        <w:t xml:space="preserve">Potential confounder: Medium or vessel background</w:t>
      </w:r>
    </w:p>
    <w:p>
      <w:pPr>
        <w:spacing w:before="0" w:after="50" w:line="250" w:lineRule="auto"/>
      </w:pPr>
      <w:r>
        <w:rPr>
          <w:rFonts w:ascii="Calibri" w:hAnsi="Calibri"/>
          <w:color w:val="000000"/>
          <w:sz w:val="20"/>
        </w:rPr>
        <w:t xml:space="preserve">Proposed study response: Include appropriate non-biological controls and lots.</w:t>
      </w:r>
    </w:p>
    <w:p>
      <w:pPr>
        <w:spacing w:before="0" w:after="50" w:line="250" w:lineRule="auto"/>
      </w:pPr>
      <w:r>
        <w:rPr>
          <w:rFonts w:ascii="Calibri" w:hAnsi="Calibri"/>
          <w:color w:val="000000"/>
          <w:sz w:val="20"/>
        </w:rPr>
        <w:t xml:space="preserve">Potential confounder: Room-air variation</w:t>
      </w:r>
    </w:p>
    <w:p>
      <w:pPr>
        <w:spacing w:before="0" w:after="50" w:line="250" w:lineRule="auto"/>
      </w:pPr>
      <w:r>
        <w:rPr>
          <w:rFonts w:ascii="Calibri" w:hAnsi="Calibri"/>
          <w:color w:val="000000"/>
          <w:sz w:val="20"/>
        </w:rPr>
        <w:t xml:space="preserve">Proposed study response: Record the ambient and enclosed measurement contexts.</w:t>
      </w:r>
    </w:p>
    <w:p>
      <w:pPr>
        <w:spacing w:before="0" w:after="50" w:line="250" w:lineRule="auto"/>
      </w:pPr>
      <w:r>
        <w:rPr>
          <w:rFonts w:ascii="Calibri" w:hAnsi="Calibri"/>
          <w:color w:val="000000"/>
          <w:sz w:val="20"/>
        </w:rPr>
        <w:t xml:space="preserve">Potential confounder: Humidity and temperature coupling</w:t>
      </w:r>
    </w:p>
    <w:p>
      <w:pPr>
        <w:spacing w:before="0" w:after="50" w:line="250" w:lineRule="auto"/>
      </w:pPr>
      <w:r>
        <w:rPr>
          <w:rFonts w:ascii="Calibri" w:hAnsi="Calibri"/>
          <w:color w:val="000000"/>
          <w:sz w:val="20"/>
        </w:rPr>
        <w:t xml:space="preserve">Proposed study response: Characterize cross-sensitivity within the intended range.</w:t>
      </w:r>
    </w:p>
    <w:p>
      <w:pPr>
        <w:spacing w:before="0" w:after="50" w:line="250" w:lineRule="auto"/>
      </w:pPr>
      <w:r>
        <w:rPr>
          <w:rFonts w:ascii="Calibri" w:hAnsi="Calibri"/>
          <w:color w:val="000000"/>
          <w:sz w:val="20"/>
        </w:rPr>
        <w:t xml:space="preserve">Potential confounder: Sensor drift or carryover</w:t>
      </w:r>
    </w:p>
    <w:p>
      <w:pPr>
        <w:spacing w:before="0" w:after="50" w:line="250" w:lineRule="auto"/>
      </w:pPr>
      <w:r>
        <w:rPr>
          <w:rFonts w:ascii="Calibri" w:hAnsi="Calibri"/>
          <w:color w:val="000000"/>
          <w:sz w:val="20"/>
        </w:rPr>
        <w:t xml:space="preserve">Proposed study response: Assess repeated exposure, recovery and recalibration.</w:t>
      </w:r>
    </w:p>
    <w:p>
      <w:pPr>
        <w:spacing w:before="0" w:after="50" w:line="250" w:lineRule="auto"/>
      </w:pPr>
      <w:r>
        <w:rPr>
          <w:rFonts w:ascii="Calibri" w:hAnsi="Calibri"/>
          <w:color w:val="000000"/>
          <w:sz w:val="20"/>
        </w:rPr>
        <w:t xml:space="preserve">Potential confounder: Shared preparation effect</w:t>
      </w:r>
    </w:p>
    <w:p>
      <w:pPr>
        <w:spacing w:before="0" w:after="50" w:line="250" w:lineRule="auto"/>
      </w:pPr>
      <w:r>
        <w:rPr>
          <w:rFonts w:ascii="Calibri" w:hAnsi="Calibri"/>
          <w:color w:val="000000"/>
          <w:sz w:val="20"/>
        </w:rPr>
        <w:t xml:space="preserve">Proposed study response: Evaluate whether multiple channels fail together.</w:t>
      </w:r>
    </w:p>
    <w:p>
      <w:pPr>
        <w:pStyle w:val="Heading3"/>
        <w:keepNext/>
        <w:keepLines/>
        <w:spacing w:before="240" w:after="120" w:line="269" w:lineRule="auto"/>
      </w:pPr>
      <w:r>
        <w:rPr>
          <w:color w:val="000000"/>
        </w:rPr>
        <w:t>Evidence threshold for inclusion</w:t>
      </w:r>
    </w:p>
    <w:p>
      <w:pPr>
        <w:pStyle w:val="Normal"/>
        <w:spacing w:before="0" w:after="50" w:line="250" w:lineRule="auto"/>
        <w:rPr/>
      </w:pPr>
      <w:r>
        <w:rPr>
          <w:rFonts w:ascii="Calibri" w:hAnsi="Calibri"/>
          <w:color w:val="000000"/>
          <w:sz w:val="20"/>
        </w:rPr>
        <w:t>A channel should earn its place through incremental information, reliability or control value. A modality that improves apparent training accuracy but fails across sites should not be described as robust biological sensing. Candidate selection should compare its benefit with the added calibration, maintenance and contamination-control burden.</w:t>
      </w:r>
    </w:p>
    <w:p>
      <w:pPr>
        <w:pStyle w:val="Normal"/>
        <w:spacing w:before="0" w:after="50" w:line="250" w:lineRule="auto"/>
        <w:rPr/>
      </w:pPr>
      <w:r>
        <w:rPr>
          <w:rFonts w:ascii="Calibri" w:hAnsi="Calibri"/>
          <w:color w:val="000000"/>
          <w:sz w:val="20"/>
        </w:rPr>
        <w:t>The strongest near-term use may be detecting a condition that makes the optical result unreliable. That is a meaningful contribution even when the channel cannot support a standalone diagnostic inference. The product should express this role directly, rather than convert every installed sensor into a separate clinical claim.</w:t>
      </w:r>
    </w:p>
    <w:p>
      <w:pPr>
        <w:pStyle w:val="Heading3"/>
        <w:keepNext/>
        <w:keepLines/>
        <w:spacing w:before="240" w:after="120" w:line="269" w:lineRule="auto"/>
      </w:pPr>
      <w:r>
        <w:rPr>
          <w:color w:val="000000"/>
        </w:rPr>
        <w:t>Sequence based resistance evidence</w:t>
      </w:r>
    </w:p>
    <w:p>
      <w:pPr>
        <w:pStyle w:val="Normal"/>
        <w:keepNext/>
        <w:spacing w:before="0" w:after="50" w:line="250" w:lineRule="auto"/>
        <w:rPr/>
      </w:pPr>
      <w:r>
        <w:rPr>
          <w:rFonts w:ascii="Calibri" w:hAnsi="Calibri"/>
          <w:b/>
          <w:color w:val="000000"/>
          <w:sz w:val="20"/>
        </w:rPr>
        <w:t>Sequence evidence does not remove phenotype uncertainty</w:t>
      </w:r>
    </w:p>
    <w:p>
      <w:pPr>
        <w:pStyle w:val="Normal"/>
        <w:spacing w:before="0" w:after="50" w:line="250" w:lineRule="auto"/>
        <w:rPr/>
      </w:pPr>
      <w:r>
        <w:rPr>
          <w:rFonts w:ascii="Calibri" w:hAnsi="Calibri"/>
          <w:color w:val="000000"/>
          <w:sz w:val="20"/>
        </w:rPr>
        <w:t xml:space="preserve">CARD and NCBI Pathogen Detection provide curated resistance-related resources and documented analytical contexts. Their content supports structured investigation of genetic determinants and isolate relationships. A database match is not equivalent to a measured susceptibility result, and an absent match does not prove susceptibility. Version, coverage and the underlying sequence quality remain material.  </w:t>
      </w:r>
    </w:p>
    <w:p>
      <w:pPr>
        <w:pStyle w:val="Heading3"/>
        <w:keepNext/>
        <w:keepLines/>
        <w:spacing w:before="240" w:after="120" w:line="269" w:lineRule="auto"/>
      </w:pPr>
      <w:r>
        <w:rPr>
          <w:color w:val="000000"/>
        </w:rPr>
        <w:t>Separate three evidence paths</w:t>
      </w:r>
    </w:p>
    <w:p>
      <w:pPr>
        <w:pStyle w:val="Normal"/>
        <w:spacing w:before="0" w:after="50" w:line="250" w:lineRule="auto"/>
        <w:rPr/>
      </w:pPr>
      <w:r>
        <w:rPr>
          <w:rFonts w:ascii="Calibri" w:hAnsi="Calibri"/>
          <w:color w:val="000000"/>
          <w:sz w:val="20"/>
        </w:rPr>
        <w:t>The proposed platform should distinguish externally measured molecular results, computational interpretation of sequence data and predictions from images or other phenotypes. These paths can be compared, but they should not be merged into a field that hides how a conclusion was obtained.</w:t>
      </w:r>
    </w:p>
    <w:p>
      <w:pPr>
        <w:keepNext/>
        <w:spacing w:before="0" w:after="50" w:line="250" w:lineRule="auto"/>
      </w:pPr>
      <w:r>
        <w:rPr>
          <w:rFonts w:ascii="Calibri" w:hAnsi="Calibri"/>
          <w:color w:val="000000"/>
          <w:sz w:val="20"/>
        </w:rPr>
        <w:t xml:space="preserve">Evidence path: Validated molecular assay result</w:t>
      </w:r>
    </w:p>
    <w:p>
      <w:pPr>
        <w:spacing w:before="0" w:after="50" w:line="250" w:lineRule="auto"/>
      </w:pPr>
      <w:r>
        <w:rPr>
          <w:rFonts w:ascii="Calibri" w:hAnsi="Calibri"/>
          <w:color w:val="000000"/>
          <w:sz w:val="20"/>
        </w:rPr>
        <w:t xml:space="preserve">Proposed interpretation limit: Limited to the assay's target and intended use.</w:t>
      </w:r>
    </w:p>
    <w:p>
      <w:pPr>
        <w:keepNext/>
        <w:spacing w:before="0" w:after="50" w:line="250" w:lineRule="auto"/>
      </w:pPr>
      <w:r>
        <w:rPr>
          <w:rFonts w:ascii="Calibri" w:hAnsi="Calibri"/>
          <w:color w:val="000000"/>
          <w:sz w:val="20"/>
        </w:rPr>
        <w:t xml:space="preserve">Evidence path: Sequence-based determinant call</w:t>
      </w:r>
    </w:p>
    <w:p>
      <w:pPr>
        <w:spacing w:before="0" w:after="50" w:line="250" w:lineRule="auto"/>
      </w:pPr>
      <w:r>
        <w:rPr>
          <w:rFonts w:ascii="Calibri" w:hAnsi="Calibri"/>
          <w:color w:val="000000"/>
          <w:sz w:val="20"/>
        </w:rPr>
        <w:t xml:space="preserve">Proposed interpretation limit: Conditional on sequence quality, pipeline and database coverage.</w:t>
      </w:r>
    </w:p>
    <w:p>
      <w:pPr>
        <w:keepNext/>
        <w:spacing w:before="0" w:after="50" w:line="250" w:lineRule="auto"/>
      </w:pPr>
      <w:r>
        <w:rPr>
          <w:rFonts w:ascii="Calibri" w:hAnsi="Calibri"/>
          <w:color w:val="000000"/>
          <w:sz w:val="20"/>
        </w:rPr>
        <w:t xml:space="preserve">Evidence path: Phenotype-to-genotype prediction</w:t>
      </w:r>
    </w:p>
    <w:p>
      <w:pPr>
        <w:spacing w:before="0" w:after="50" w:line="250" w:lineRule="auto"/>
      </w:pPr>
      <w:r>
        <w:rPr>
          <w:rFonts w:ascii="Calibri" w:hAnsi="Calibri"/>
          <w:color w:val="000000"/>
          <w:sz w:val="20"/>
        </w:rPr>
        <w:t xml:space="preserve">Proposed interpretation limit: A research inference requiring independent molecular confirmation.</w:t>
      </w:r>
    </w:p>
    <w:p>
      <w:pPr>
        <w:pStyle w:val="Heading3"/>
        <w:keepNext/>
        <w:keepLines/>
        <w:spacing w:before="240" w:after="120" w:line="269" w:lineRule="auto"/>
      </w:pPr>
      <w:r>
        <w:rPr>
          <w:color w:val="000000"/>
        </w:rPr>
        <w:t>A useful disagreement study</w:t>
      </w:r>
    </w:p>
    <w:p>
      <w:pPr>
        <w:pStyle w:val="Normal"/>
        <w:spacing w:before="0" w:after="50" w:line="250" w:lineRule="auto"/>
        <w:rPr/>
      </w:pPr>
      <w:r>
        <w:rPr>
          <w:rFonts w:ascii="Calibri" w:hAnsi="Calibri"/>
          <w:color w:val="000000"/>
          <w:sz w:val="20"/>
        </w:rPr>
        <w:t>The programme can examine cases where a measured phenotype and a molecular result diverge. The investigation should consider assay coverage, expression, regulatory context, mixed populations, measurement quality and record linkage before assigning an explanation. The aim is to identify resolvable causes and persistent uncertainty.</w:t>
      </w:r>
    </w:p>
    <w:p>
      <w:pPr>
        <w:pStyle w:val="Normal"/>
        <w:spacing w:before="0" w:after="50" w:line="250" w:lineRule="auto"/>
        <w:rPr/>
      </w:pPr>
      <w:r>
        <w:rPr>
          <w:rFonts w:ascii="Calibri" w:hAnsi="Calibri"/>
          <w:color w:val="000000"/>
          <w:sz w:val="20"/>
        </w:rPr>
        <w:t>Model training should avoid learning site, lineage or specimen shortcuts that merely correlate with resistance in the available collection. Evaluation should separate related isolates and examine performance when the distribution changes. A useful genomic integration service preserves evidence provenance and explains discordance. It does not promise to process every repository or infer every resistance mechanism from a plate image.</w:t>
      </w:r>
    </w:p>
    <w:p>
      <w:pPr>
        <w:pStyle w:val="Heading3"/>
        <w:keepNext/>
        <w:keepLines/>
        <w:spacing w:before="240" w:after="120" w:line="269" w:lineRule="auto"/>
      </w:pPr>
      <w:r>
        <w:rPr>
          <w:color w:val="000000"/>
        </w:rPr>
        <w:t>AI assurance evidence</w:t>
      </w:r>
    </w:p>
    <w:p>
      <w:pPr>
        <w:pStyle w:val="Normal"/>
        <w:keepNext/>
        <w:spacing w:before="0" w:after="50" w:line="250" w:lineRule="auto"/>
        <w:rPr/>
      </w:pPr>
      <w:r>
        <w:rPr>
          <w:rFonts w:ascii="Calibri" w:hAnsi="Calibri"/>
          <w:b/>
          <w:color w:val="000000"/>
          <w:sz w:val="20"/>
        </w:rPr>
        <w:t>AI assurance is a lifecycle argument supported by measurements</w:t>
      </w:r>
    </w:p>
    <w:p>
      <w:pPr>
        <w:pStyle w:val="Normal"/>
        <w:spacing w:before="0" w:after="50" w:line="250" w:lineRule="auto"/>
        <w:rPr/>
      </w:pPr>
      <w:r>
        <w:rPr>
          <w:rFonts w:ascii="Calibri" w:hAnsi="Calibri"/>
          <w:color w:val="000000"/>
          <w:sz w:val="20"/>
        </w:rPr>
        <w:t xml:space="preserve">Good machine learning practice, transparency principles and the NIST AI Risk Management Framework emphasize structured development and evaluation of AI systems. These resources help organize evidence and responsibilities; they do not supply an automatic approval or a universal performance threshold.   </w:t>
      </w:r>
    </w:p>
    <w:p>
      <w:pPr>
        <w:pStyle w:val="Heading3"/>
        <w:keepNext/>
        <w:keepLines/>
        <w:spacing w:before="240" w:after="120" w:line="269" w:lineRule="auto"/>
      </w:pPr>
      <w:r>
        <w:rPr>
          <w:color w:val="000000"/>
        </w:rPr>
        <w:t>Test the proposed decision behavior</w:t>
      </w:r>
    </w:p>
    <w:p>
      <w:pPr>
        <w:pStyle w:val="Normal"/>
        <w:spacing w:before="0" w:after="50" w:line="250" w:lineRule="auto"/>
        <w:rPr/>
      </w:pPr>
      <w:r>
        <w:rPr>
          <w:rFonts w:ascii="Calibri" w:hAnsi="Calibri"/>
          <w:color w:val="000000"/>
          <w:sz w:val="20"/>
        </w:rPr>
        <w:t>For AMReye.AI, an assurance case should connect intended use to data, models, interfaces and human decisions. The evidence should show how the system behaves when an input is outside its training experience, a sensor disagrees or a reviewer changes a result. Performance on a convenient retrospective test set is only one component.</w:t>
      </w:r>
    </w:p>
    <w:p>
      <w:pPr>
        <w:spacing w:before="0" w:after="50" w:line="250" w:lineRule="auto"/>
      </w:pPr>
      <w:r>
        <w:rPr>
          <w:rFonts w:ascii="Calibri" w:hAnsi="Calibri"/>
          <w:color w:val="000000"/>
          <w:sz w:val="20"/>
        </w:rPr>
        <w:t xml:space="preserve">Assurance question: Is the task represented?</w:t>
      </w:r>
    </w:p>
    <w:p>
      <w:pPr>
        <w:spacing w:before="0" w:after="50" w:line="250" w:lineRule="auto"/>
      </w:pPr>
      <w:r>
        <w:rPr>
          <w:rFonts w:ascii="Calibri" w:hAnsi="Calibri"/>
          <w:color w:val="000000"/>
          <w:sz w:val="20"/>
        </w:rPr>
        <w:t xml:space="preserve">Evidence expected from the programme: Documented population, workflow and data coverage.</w:t>
      </w:r>
    </w:p>
    <w:p>
      <w:pPr>
        <w:spacing w:before="0" w:after="50" w:line="250" w:lineRule="auto"/>
      </w:pPr>
      <w:r>
        <w:rPr>
          <w:rFonts w:ascii="Calibri" w:hAnsi="Calibri"/>
          <w:color w:val="000000"/>
          <w:sz w:val="20"/>
        </w:rPr>
        <w:t xml:space="preserve">Assurance question: Is evaluation independent?</w:t>
      </w:r>
    </w:p>
    <w:p>
      <w:pPr>
        <w:spacing w:before="0" w:after="50" w:line="250" w:lineRule="auto"/>
      </w:pPr>
      <w:r>
        <w:rPr>
          <w:rFonts w:ascii="Calibri" w:hAnsi="Calibri"/>
          <w:color w:val="000000"/>
          <w:sz w:val="20"/>
        </w:rPr>
        <w:t xml:space="preserve">Evidence expected from the programme: Patient, isolate, plate and site lineage controls as applicable.</w:t>
      </w:r>
    </w:p>
    <w:p>
      <w:pPr>
        <w:spacing w:before="0" w:after="50" w:line="250" w:lineRule="auto"/>
      </w:pPr>
      <w:r>
        <w:rPr>
          <w:rFonts w:ascii="Calibri" w:hAnsi="Calibri"/>
          <w:color w:val="000000"/>
          <w:sz w:val="20"/>
        </w:rPr>
        <w:t xml:space="preserve">Assurance question: Does uncertainty support action?</w:t>
      </w:r>
    </w:p>
    <w:p>
      <w:pPr>
        <w:spacing w:before="0" w:after="50" w:line="250" w:lineRule="auto"/>
      </w:pPr>
      <w:r>
        <w:rPr>
          <w:rFonts w:ascii="Calibri" w:hAnsi="Calibri"/>
          <w:color w:val="000000"/>
          <w:sz w:val="20"/>
        </w:rPr>
        <w:t xml:space="preserve">Evidence expected from the programme: Tested abstention and review behavior.</w:t>
      </w:r>
    </w:p>
    <w:p>
      <w:pPr>
        <w:spacing w:before="0" w:after="50" w:line="250" w:lineRule="auto"/>
      </w:pPr>
      <w:r>
        <w:rPr>
          <w:rFonts w:ascii="Calibri" w:hAnsi="Calibri"/>
          <w:color w:val="000000"/>
          <w:sz w:val="20"/>
        </w:rPr>
        <w:t xml:space="preserve">Assurance question: Are updates controlled?</w:t>
      </w:r>
    </w:p>
    <w:p>
      <w:pPr>
        <w:spacing w:before="0" w:after="50" w:line="250" w:lineRule="auto"/>
      </w:pPr>
      <w:r>
        <w:rPr>
          <w:rFonts w:ascii="Calibri" w:hAnsi="Calibri"/>
          <w:color w:val="000000"/>
          <w:sz w:val="20"/>
        </w:rPr>
        <w:t xml:space="preserve">Evidence expected from the programme: Versioned models, change assessment and rollback evidence.</w:t>
      </w:r>
    </w:p>
    <w:p>
      <w:pPr>
        <w:spacing w:before="0" w:after="50" w:line="250" w:lineRule="auto"/>
      </w:pPr>
      <w:r>
        <w:rPr>
          <w:rFonts w:ascii="Calibri" w:hAnsi="Calibri"/>
          <w:color w:val="000000"/>
          <w:sz w:val="20"/>
        </w:rPr>
        <w:t xml:space="preserve">Assurance question: Can failures be investigated?</w:t>
      </w:r>
    </w:p>
    <w:p>
      <w:pPr>
        <w:spacing w:before="0" w:after="50" w:line="250" w:lineRule="auto"/>
      </w:pPr>
      <w:r>
        <w:rPr>
          <w:rFonts w:ascii="Calibri" w:hAnsi="Calibri"/>
          <w:color w:val="000000"/>
          <w:sz w:val="20"/>
        </w:rPr>
        <w:t xml:space="preserve">Evidence expected from the programme: Preserved inputs, outputs and decision lineage.</w:t>
      </w:r>
    </w:p>
    <w:p>
      <w:pPr>
        <w:pStyle w:val="Heading3"/>
        <w:keepNext/>
        <w:keepLines/>
        <w:spacing w:before="240" w:after="120" w:line="269" w:lineRule="auto"/>
      </w:pPr>
      <w:r>
        <w:rPr>
          <w:color w:val="000000"/>
        </w:rPr>
        <w:t>Meaningful baselines</w:t>
      </w:r>
    </w:p>
    <w:p>
      <w:pPr>
        <w:pStyle w:val="Normal"/>
        <w:spacing w:before="0" w:after="50" w:line="250" w:lineRule="auto"/>
        <w:rPr/>
      </w:pPr>
      <w:r>
        <w:rPr>
          <w:rFonts w:ascii="Calibri" w:hAnsi="Calibri"/>
          <w:color w:val="000000"/>
          <w:sz w:val="20"/>
        </w:rPr>
        <w:t>Each proposed AI capability should be compared with an appropriate conventional method. Fixed image-quality rules, geometric fitting, simple trend models and explicit workflow logic may outperform a learned approach when data are limited or the task is well constrained. The choice should follow measured benefit.</w:t>
      </w:r>
    </w:p>
    <w:p>
      <w:pPr>
        <w:pStyle w:val="Normal"/>
        <w:spacing w:before="0" w:after="50" w:line="250" w:lineRule="auto"/>
        <w:rPr/>
      </w:pPr>
      <w:r>
        <w:rPr>
          <w:rFonts w:ascii="Calibri" w:hAnsi="Calibri"/>
          <w:color w:val="000000"/>
          <w:sz w:val="20"/>
        </w:rPr>
        <w:t>The assurance programme should report both capability and burden: correction frequency, unresolved cases, reviewer workload and operational failures. A system that reaches high agreement by deferring nearly every difficult case has a different value proposition from one that handles those cases reliably. Both accuracy and coverage belong in the product evidence.</w:t>
      </w:r>
    </w:p>
    <w:p>
      <w:pPr>
        <w:pStyle w:val="Heading3"/>
        <w:keepNext/>
        <w:keepLines/>
        <w:spacing w:before="240" w:after="120" w:line="269" w:lineRule="auto"/>
      </w:pPr>
      <w:r>
        <w:rPr>
          <w:color w:val="000000"/>
        </w:rPr>
        <w:t>Manual and digital reader comparators</w:t>
      </w:r>
    </w:p>
    <w:p>
      <w:pPr>
        <w:pStyle w:val="Normal"/>
        <w:keepNext/>
        <w:spacing w:before="0" w:after="50" w:line="250" w:lineRule="auto"/>
        <w:rPr/>
      </w:pPr>
      <w:r>
        <w:rPr>
          <w:rFonts w:ascii="Calibri" w:hAnsi="Calibri"/>
          <w:b/>
          <w:color w:val="000000"/>
          <w:sz w:val="20"/>
        </w:rPr>
        <w:t>Manual and digital readers occupy a defined part of the workflow</w:t>
      </w:r>
    </w:p>
    <w:p>
      <w:pPr>
        <w:pStyle w:val="Normal"/>
        <w:spacing w:before="0" w:after="50" w:line="250" w:lineRule="auto"/>
        <w:rPr/>
      </w:pPr>
      <w:r>
        <w:rPr>
          <w:rFonts w:ascii="Calibri" w:hAnsi="Calibri"/>
          <w:color w:val="000000"/>
          <w:sz w:val="20"/>
        </w:rPr>
        <w:t xml:space="preserve">Manual disk-diffusion reading combines method-specific visual judgment with measurement and transcription. A digital reader can support imaging, zone measurement and result handling while retaining operator responsibility for ambiguous growth. BIOMIC V3 is an example of a commercial digital reading system; the Sirscan study provides historical experimental evidence relevant to this category.  </w:t>
      </w:r>
    </w:p>
    <w:p>
      <w:pPr>
        <w:pStyle w:val="Heading3"/>
        <w:keepNext/>
        <w:keepLines/>
        <w:spacing w:before="240" w:after="120" w:line="269" w:lineRule="auto"/>
      </w:pPr>
      <w:r>
        <w:rPr>
          <w:color w:val="000000"/>
        </w:rPr>
        <w:t>Compare equivalent tasks</w:t>
      </w:r>
    </w:p>
    <w:p>
      <w:pPr>
        <w:pStyle w:val="Normal"/>
        <w:spacing w:before="0" w:after="50" w:line="250" w:lineRule="auto"/>
        <w:rPr/>
      </w:pPr>
      <w:r>
        <w:rPr>
          <w:rFonts w:ascii="Calibri" w:hAnsi="Calibri"/>
          <w:color w:val="000000"/>
          <w:sz w:val="20"/>
        </w:rPr>
        <w:t>Reader V1's appropriate comparison begins with the endpoint reading workflow. The evaluation should use the same eligible plates and distinguish preparation, incubation, capture, analysis, review and export. Incubation time should not disappear from a total-turnaround claim merely because it occurs before loading the reader.</w:t>
      </w:r>
    </w:p>
    <w:p>
      <w:pPr>
        <w:keepNext/>
        <w:spacing w:before="0" w:after="50" w:line="250" w:lineRule="auto"/>
      </w:pPr>
      <w:r>
        <w:rPr>
          <w:rFonts w:ascii="Calibri" w:hAnsi="Calibri"/>
          <w:color w:val="000000"/>
          <w:sz w:val="20"/>
        </w:rPr>
        <w:t xml:space="preserve">Comparison dimension: Measurement</w:t>
      </w:r>
    </w:p>
    <w:p>
      <w:pPr>
        <w:spacing w:before="0" w:after="50" w:line="250" w:lineRule="auto"/>
      </w:pPr>
      <w:r>
        <w:rPr>
          <w:rFonts w:ascii="Calibri" w:hAnsi="Calibri"/>
          <w:color w:val="000000"/>
          <w:sz w:val="20"/>
        </w:rPr>
        <w:t xml:space="preserve">Proposed AMReye.AI evidence: Bias, spread and outliers against independent reference readings.</w:t>
      </w:r>
    </w:p>
    <w:p>
      <w:pPr>
        <w:keepNext/>
        <w:spacing w:before="0" w:after="50" w:line="250" w:lineRule="auto"/>
      </w:pPr>
      <w:r>
        <w:rPr>
          <w:rFonts w:ascii="Calibri" w:hAnsi="Calibri"/>
          <w:color w:val="000000"/>
          <w:sz w:val="20"/>
        </w:rPr>
        <w:t xml:space="preserve">Comparison dimension: Readability</w:t>
      </w:r>
    </w:p>
    <w:p>
      <w:pPr>
        <w:spacing w:before="0" w:after="50" w:line="250" w:lineRule="auto"/>
      </w:pPr>
      <w:r>
        <w:rPr>
          <w:rFonts w:ascii="Calibri" w:hAnsi="Calibri"/>
          <w:color w:val="000000"/>
          <w:sz w:val="20"/>
        </w:rPr>
        <w:t xml:space="preserve">Proposed AMReye.AI evidence: Detection of invalid or ambiguous inputs, including false acceptance.</w:t>
      </w:r>
    </w:p>
    <w:p>
      <w:pPr>
        <w:keepNext/>
        <w:spacing w:before="0" w:after="50" w:line="250" w:lineRule="auto"/>
      </w:pPr>
      <w:r>
        <w:rPr>
          <w:rFonts w:ascii="Calibri" w:hAnsi="Calibri"/>
          <w:color w:val="000000"/>
          <w:sz w:val="20"/>
        </w:rPr>
        <w:t xml:space="preserve">Comparison dimension: Review</w:t>
      </w:r>
    </w:p>
    <w:p>
      <w:pPr>
        <w:spacing w:before="0" w:after="50" w:line="250" w:lineRule="auto"/>
      </w:pPr>
      <w:r>
        <w:rPr>
          <w:rFonts w:ascii="Calibri" w:hAnsi="Calibri"/>
          <w:color w:val="000000"/>
          <w:sz w:val="20"/>
        </w:rPr>
        <w:t xml:space="preserve">Proposed AMReye.AI evidence: Correction frequency, decision time and unresolved fraction.</w:t>
      </w:r>
    </w:p>
    <w:p>
      <w:pPr>
        <w:keepNext/>
        <w:spacing w:before="0" w:after="50" w:line="250" w:lineRule="auto"/>
      </w:pPr>
      <w:r>
        <w:rPr>
          <w:rFonts w:ascii="Calibri" w:hAnsi="Calibri"/>
          <w:color w:val="000000"/>
          <w:sz w:val="20"/>
        </w:rPr>
        <w:t xml:space="preserve">Comparison dimension: Records</w:t>
      </w:r>
    </w:p>
    <w:p>
      <w:pPr>
        <w:spacing w:before="0" w:after="50" w:line="250" w:lineRule="auto"/>
      </w:pPr>
      <w:r>
        <w:rPr>
          <w:rFonts w:ascii="Calibri" w:hAnsi="Calibri"/>
          <w:color w:val="000000"/>
          <w:sz w:val="20"/>
        </w:rPr>
        <w:t xml:space="preserve">Proposed AMReye.AI evidence: Traceability of source image, scale, interpretation and correction.</w:t>
      </w:r>
    </w:p>
    <w:p>
      <w:pPr>
        <w:keepNext/>
        <w:spacing w:before="0" w:after="50" w:line="250" w:lineRule="auto"/>
      </w:pPr>
      <w:r>
        <w:rPr>
          <w:rFonts w:ascii="Calibri" w:hAnsi="Calibri"/>
          <w:color w:val="000000"/>
          <w:sz w:val="20"/>
        </w:rPr>
        <w:t xml:space="preserve">Comparison dimension: Integration</w:t>
      </w:r>
    </w:p>
    <w:p>
      <w:pPr>
        <w:spacing w:before="0" w:after="50" w:line="250" w:lineRule="auto"/>
      </w:pPr>
      <w:r>
        <w:rPr>
          <w:rFonts w:ascii="Calibri" w:hAnsi="Calibri"/>
          <w:color w:val="000000"/>
          <w:sz w:val="20"/>
        </w:rPr>
        <w:t xml:space="preserve">Proposed AMReye.AI evidence: Export accuracy and resilience to interrupted transfer.</w:t>
      </w:r>
    </w:p>
    <w:p>
      <w:pPr>
        <w:pStyle w:val="Heading3"/>
        <w:keepNext/>
        <w:keepLines/>
        <w:spacing w:before="240" w:after="120" w:line="269" w:lineRule="auto"/>
      </w:pPr>
      <w:r>
        <w:rPr>
          <w:color w:val="000000"/>
        </w:rPr>
        <w:t>Potential differentiation to investigate</w:t>
      </w:r>
    </w:p>
    <w:p>
      <w:pPr>
        <w:pStyle w:val="Normal"/>
        <w:spacing w:before="0" w:after="50" w:line="250" w:lineRule="auto"/>
        <w:rPr/>
      </w:pPr>
      <w:r>
        <w:rPr>
          <w:rFonts w:ascii="Calibri" w:hAnsi="Calibri"/>
          <w:color w:val="000000"/>
          <w:sz w:val="20"/>
        </w:rPr>
        <w:t>AMReye.AI proposes a tightly linked record of capture quality, measurement uncertainty and reviewer actions. The question is whether that linkage improves reproducibility and reduces avoidable work in the intended laboratory. This requires a measured comparison; it is not established by including more software functions.</w:t>
      </w:r>
    </w:p>
    <w:p>
      <w:pPr>
        <w:pStyle w:val="Normal"/>
        <w:spacing w:before="0" w:after="50" w:line="250" w:lineRule="auto"/>
        <w:rPr/>
      </w:pPr>
      <w:r>
        <w:rPr>
          <w:rFonts w:ascii="Calibri" w:hAnsi="Calibri"/>
          <w:color w:val="000000"/>
          <w:sz w:val="20"/>
        </w:rPr>
        <w:t>Competitive assessment should account for local service, consumables, training, maintenance and existing laboratory systems. An institution may value interoperability and dependable support more than an expanded feature list. The development programme should therefore compare the complete endpoint service offered to a user, with current regional specifications checked before any procurement decision.</w:t>
      </w:r>
    </w:p>
    <w:p>
      <w:pPr>
        <w:pStyle w:val="Heading3"/>
        <w:keepNext/>
        <w:keepLines/>
        <w:spacing w:before="240" w:after="120" w:line="269" w:lineRule="auto"/>
      </w:pPr>
      <w:r>
        <w:rPr>
          <w:color w:val="000000"/>
        </w:rPr>
        <w:t>Integrated disk diffusion comparators</w:t>
      </w:r>
    </w:p>
    <w:p>
      <w:pPr>
        <w:pStyle w:val="Normal"/>
        <w:keepNext/>
        <w:spacing w:before="0" w:after="50" w:line="250" w:lineRule="auto"/>
        <w:rPr/>
      </w:pPr>
      <w:r>
        <w:rPr>
          <w:rFonts w:ascii="Calibri" w:hAnsi="Calibri"/>
          <w:b/>
          <w:color w:val="000000"/>
          <w:sz w:val="20"/>
        </w:rPr>
        <w:t>Integrated disk-diffusion automation extends beyond image analysis</w:t>
      </w:r>
    </w:p>
    <w:p>
      <w:pPr>
        <w:pStyle w:val="Normal"/>
        <w:spacing w:before="0" w:after="50" w:line="250" w:lineRule="auto"/>
        <w:rPr/>
      </w:pPr>
      <w:r>
        <w:rPr>
          <w:rFonts w:ascii="Calibri" w:hAnsi="Calibri"/>
          <w:color w:val="000000"/>
          <w:sz w:val="20"/>
        </w:rPr>
        <w:t xml:space="preserve">COPAN describes RADIAN within an automated microbiology workflow that includes disk application, incubation-related handling, digital reading and supporting software functions. Its scope is broader than a standalone endpoint reader. The existence of this category rules out a general claim that automated plate-based AST or AI-assisted disk reading is unique to AMReye.AI.  </w:t>
      </w:r>
    </w:p>
    <w:p>
      <w:pPr>
        <w:pStyle w:val="Normal"/>
        <w:spacing w:before="0" w:after="50" w:line="250" w:lineRule="auto"/>
        <w:rPr/>
      </w:pPr>
      <w:r>
        <w:rPr>
          <w:rFonts w:ascii="Calibri" w:hAnsi="Calibri"/>
          <w:color w:val="000000"/>
          <w:sz w:val="20"/>
        </w:rPr>
        <w:t xml:space="preserve">Cherkaoui et al. evaluated a Colibri-RADIAN workflow against VITEK 2 in routine laboratory conditions. The study is relevant because it assesses an integrated process and categorical agreement, rather than only segmentation on stored photographs. Its findings remain specific to the evaluated configuration and comparison. </w:t>
      </w:r>
    </w:p>
    <w:p>
      <w:pPr>
        <w:pStyle w:val="Heading3"/>
        <w:keepNext/>
        <w:keepLines/>
        <w:spacing w:before="240" w:after="120" w:line="269" w:lineRule="auto"/>
      </w:pPr>
      <w:r>
        <w:rPr>
          <w:color w:val="000000"/>
        </w:rPr>
        <w:t>Proposed comparison design</w:t>
      </w:r>
    </w:p>
    <w:p>
      <w:pPr>
        <w:pStyle w:val="Normal"/>
        <w:spacing w:before="0" w:after="50" w:line="250" w:lineRule="auto"/>
        <w:rPr/>
      </w:pPr>
      <w:r>
        <w:rPr>
          <w:rFonts w:ascii="Calibri" w:hAnsi="Calibri"/>
          <w:color w:val="000000"/>
          <w:sz w:val="20"/>
        </w:rPr>
        <w:t>The integrated AMReye.AI track should be evaluated independently from Reader V1. It introduces additional responsibilities for sample identity, movement, preparation, timing and recovery. These functions change the risk profile and the amount of verification required.</w:t>
      </w:r>
    </w:p>
    <w:p>
      <w:pPr>
        <w:spacing w:before="0" w:after="50" w:line="250" w:lineRule="auto"/>
      </w:pPr>
      <w:r>
        <w:rPr>
          <w:rFonts w:ascii="Calibri" w:hAnsi="Calibri"/>
          <w:color w:val="000000"/>
          <w:sz w:val="20"/>
        </w:rPr>
        <w:t xml:space="preserve">Integrated function: Automated preparation</w:t>
      </w:r>
    </w:p>
    <w:p>
      <w:pPr>
        <w:spacing w:before="0" w:after="50" w:line="250" w:lineRule="auto"/>
      </w:pPr>
      <w:r>
        <w:rPr>
          <w:rFonts w:ascii="Calibri" w:hAnsi="Calibri"/>
          <w:color w:val="000000"/>
          <w:sz w:val="20"/>
        </w:rPr>
        <w:t xml:space="preserve">Evidence needed beyond reader validation: Reproducibility and conformity of the biological preparation.</w:t>
      </w:r>
    </w:p>
    <w:p>
      <w:pPr>
        <w:spacing w:before="0" w:after="50" w:line="250" w:lineRule="auto"/>
      </w:pPr>
      <w:r>
        <w:rPr>
          <w:rFonts w:ascii="Calibri" w:hAnsi="Calibri"/>
          <w:color w:val="000000"/>
          <w:sz w:val="20"/>
        </w:rPr>
        <w:t xml:space="preserve">Integrated function: Disk handling</w:t>
      </w:r>
    </w:p>
    <w:p>
      <w:pPr>
        <w:spacing w:before="0" w:after="50" w:line="250" w:lineRule="auto"/>
      </w:pPr>
      <w:r>
        <w:rPr>
          <w:rFonts w:ascii="Calibri" w:hAnsi="Calibri"/>
          <w:color w:val="000000"/>
          <w:sz w:val="20"/>
        </w:rPr>
        <w:t xml:space="preserve">Evidence needed beyond reader validation: Correct identity, placement and exception management.</w:t>
      </w:r>
    </w:p>
    <w:p>
      <w:pPr>
        <w:spacing w:before="0" w:after="50" w:line="250" w:lineRule="auto"/>
      </w:pPr>
      <w:r>
        <w:rPr>
          <w:rFonts w:ascii="Calibri" w:hAnsi="Calibri"/>
          <w:color w:val="000000"/>
          <w:sz w:val="20"/>
        </w:rPr>
        <w:t xml:space="preserve">Integrated function: Plate movement</w:t>
      </w:r>
    </w:p>
    <w:p>
      <w:pPr>
        <w:spacing w:before="0" w:after="50" w:line="250" w:lineRule="auto"/>
      </w:pPr>
      <w:r>
        <w:rPr>
          <w:rFonts w:ascii="Calibri" w:hAnsi="Calibri"/>
          <w:color w:val="000000"/>
          <w:sz w:val="20"/>
        </w:rPr>
        <w:t xml:space="preserve">Evidence needed beyond reader validation: Tracking, collision prevention and recovery without identity loss.</w:t>
      </w:r>
    </w:p>
    <w:p>
      <w:pPr>
        <w:spacing w:before="0" w:after="50" w:line="250" w:lineRule="auto"/>
      </w:pPr>
      <w:r>
        <w:rPr>
          <w:rFonts w:ascii="Calibri" w:hAnsi="Calibri"/>
          <w:color w:val="000000"/>
          <w:sz w:val="20"/>
        </w:rPr>
        <w:t xml:space="preserve">Integrated function: Controlled observation</w:t>
      </w:r>
    </w:p>
    <w:p>
      <w:pPr>
        <w:spacing w:before="0" w:after="50" w:line="250" w:lineRule="auto"/>
      </w:pPr>
      <w:r>
        <w:rPr>
          <w:rFonts w:ascii="Calibri" w:hAnsi="Calibri"/>
          <w:color w:val="000000"/>
          <w:sz w:val="20"/>
        </w:rPr>
        <w:t xml:space="preserve">Evidence needed beyond reader validation: Qualified timing and environmental conditions.</w:t>
      </w:r>
    </w:p>
    <w:p>
      <w:pPr>
        <w:spacing w:before="0" w:after="50" w:line="250" w:lineRule="auto"/>
      </w:pPr>
      <w:r>
        <w:rPr>
          <w:rFonts w:ascii="Calibri" w:hAnsi="Calibri"/>
          <w:color w:val="000000"/>
          <w:sz w:val="20"/>
        </w:rPr>
        <w:t xml:space="preserve">Integrated function: Workflow coordination</w:t>
      </w:r>
    </w:p>
    <w:p>
      <w:pPr>
        <w:spacing w:before="0" w:after="50" w:line="250" w:lineRule="auto"/>
      </w:pPr>
      <w:r>
        <w:rPr>
          <w:rFonts w:ascii="Calibri" w:hAnsi="Calibri"/>
          <w:color w:val="000000"/>
          <w:sz w:val="20"/>
        </w:rPr>
        <w:t xml:space="preserve">Evidence needed beyond reader validation: Queue behavior, failed-run handling and human intervention.</w:t>
      </w:r>
    </w:p>
    <w:p>
      <w:pPr>
        <w:pStyle w:val="Heading3"/>
        <w:keepNext/>
        <w:keepLines/>
        <w:spacing w:before="240" w:after="120" w:line="269" w:lineRule="auto"/>
      </w:pPr>
      <w:r>
        <w:rPr>
          <w:color w:val="000000"/>
        </w:rPr>
        <w:t>Distinguishing ambition from demonstrated advantage</w:t>
      </w:r>
    </w:p>
    <w:p>
      <w:pPr>
        <w:pStyle w:val="Normal"/>
        <w:spacing w:before="0" w:after="50" w:line="250" w:lineRule="auto"/>
        <w:rPr/>
      </w:pPr>
      <w:r>
        <w:rPr>
          <w:rFonts w:ascii="Calibri" w:hAnsi="Calibri"/>
          <w:color w:val="000000"/>
          <w:sz w:val="20"/>
        </w:rPr>
        <w:t>The proposed platform's modular sensing and longitudinal data could create research value, but adding these functions does not establish superior clinical results or lower total cost. A credible comparison should examine defined workflows, throughput distributions, quality outcomes and service requirements. The integrated track should progress only when each added automation function improves a verified process without obscuring its failure modes.</w:t>
      </w:r>
    </w:p>
    <w:p>
      <w:pPr>
        <w:pStyle w:val="Heading3"/>
        <w:keepNext/>
        <w:keepLines/>
        <w:spacing w:before="240" w:after="120" w:line="269" w:lineRule="auto"/>
      </w:pPr>
      <w:r>
        <w:rPr>
          <w:color w:val="000000"/>
        </w:rPr>
        <w:t>Automated ID and AST comparators</w:t>
      </w:r>
    </w:p>
    <w:p>
      <w:pPr>
        <w:pStyle w:val="Normal"/>
        <w:keepNext/>
        <w:spacing w:before="0" w:after="50" w:line="250" w:lineRule="auto"/>
        <w:rPr/>
      </w:pPr>
      <w:r>
        <w:rPr>
          <w:rFonts w:ascii="Calibri" w:hAnsi="Calibri"/>
          <w:b/>
          <w:color w:val="000000"/>
          <w:sz w:val="20"/>
        </w:rPr>
        <w:t>Identification and susceptibility systems should be compared by output</w:t>
      </w:r>
    </w:p>
    <w:p>
      <w:pPr>
        <w:pStyle w:val="Normal"/>
        <w:spacing w:before="0" w:after="50" w:line="250" w:lineRule="auto"/>
        <w:rPr/>
      </w:pPr>
      <w:r>
        <w:rPr>
          <w:rFonts w:ascii="Calibri" w:hAnsi="Calibri"/>
          <w:color w:val="000000"/>
          <w:sz w:val="20"/>
        </w:rPr>
        <w:t xml:space="preserve">VITEK 2, BD Phoenix M50 and DxM MicroScan WalkAway represent established automated ID/AST system families. Their cards or panels, supported organisms and reporting functions differ. Current manufacturer documentation is useful for identifying those functions, while the applicable regional labeling and panel-specific evidence determine actual use.   </w:t>
      </w:r>
    </w:p>
    <w:p>
      <w:pPr>
        <w:pStyle w:val="Normal"/>
        <w:spacing w:before="0" w:after="50" w:line="250" w:lineRule="auto"/>
        <w:rPr/>
      </w:pPr>
      <w:r>
        <w:rPr>
          <w:rFonts w:ascii="Calibri" w:hAnsi="Calibri"/>
          <w:color w:val="000000"/>
          <w:sz w:val="20"/>
        </w:rPr>
        <w:t xml:space="preserve">MALDI-TOF systems such as VITEK MS PRIME primarily support organism identification through mass-spectral analysis. Identification can inform an AST workflow, but it is not the same measurement as phenotypic antimicrobial susceptibility. </w:t>
      </w:r>
    </w:p>
    <w:p>
      <w:pPr>
        <w:spacing w:before="0" w:after="50" w:line="250" w:lineRule="auto"/>
      </w:pPr>
      <w:r>
        <w:rPr>
          <w:rFonts w:ascii="Calibri" w:hAnsi="Calibri"/>
          <w:color w:val="000000"/>
          <w:sz w:val="20"/>
        </w:rPr>
        <w:t xml:space="preserve">Comparator category: Automated identification</w:t>
      </w:r>
    </w:p>
    <w:p>
      <w:pPr>
        <w:spacing w:before="0" w:after="50" w:line="250" w:lineRule="auto"/>
      </w:pPr>
      <w:r>
        <w:rPr>
          <w:rFonts w:ascii="Calibri" w:hAnsi="Calibri"/>
          <w:color w:val="000000"/>
          <w:sz w:val="20"/>
        </w:rPr>
        <w:t xml:space="preserve">Primary comparison question: How is organism identity established and linked to the specimen?</w:t>
      </w:r>
    </w:p>
    <w:p>
      <w:pPr>
        <w:spacing w:before="0" w:after="50" w:line="250" w:lineRule="auto"/>
      </w:pPr>
      <w:r>
        <w:rPr>
          <w:rFonts w:ascii="Calibri" w:hAnsi="Calibri"/>
          <w:color w:val="000000"/>
          <w:sz w:val="20"/>
        </w:rPr>
        <w:t xml:space="preserve">Comparator category: Automated phenotypic AST</w:t>
      </w:r>
    </w:p>
    <w:p>
      <w:pPr>
        <w:spacing w:before="0" w:after="50" w:line="250" w:lineRule="auto"/>
      </w:pPr>
      <w:r>
        <w:rPr>
          <w:rFonts w:ascii="Calibri" w:hAnsi="Calibri"/>
          <w:color w:val="000000"/>
          <w:sz w:val="20"/>
        </w:rPr>
        <w:t xml:space="preserve">Primary comparison question: What susceptibility output is supported for the relevant panel?</w:t>
      </w:r>
    </w:p>
    <w:p>
      <w:pPr>
        <w:spacing w:before="0" w:after="50" w:line="250" w:lineRule="auto"/>
      </w:pPr>
      <w:r>
        <w:rPr>
          <w:rFonts w:ascii="Calibri" w:hAnsi="Calibri"/>
          <w:color w:val="000000"/>
          <w:sz w:val="20"/>
        </w:rPr>
        <w:t xml:space="preserve">Comparator category: Combined ID/AST workflow</w:t>
      </w:r>
    </w:p>
    <w:p>
      <w:pPr>
        <w:spacing w:before="0" w:after="50" w:line="250" w:lineRule="auto"/>
      </w:pPr>
      <w:r>
        <w:rPr>
          <w:rFonts w:ascii="Calibri" w:hAnsi="Calibri"/>
          <w:color w:val="000000"/>
          <w:sz w:val="20"/>
        </w:rPr>
        <w:t xml:space="preserve">Primary comparison question: How are identification, susceptibility and review coordinated?</w:t>
      </w:r>
    </w:p>
    <w:p>
      <w:pPr>
        <w:spacing w:before="0" w:after="50" w:line="250" w:lineRule="auto"/>
      </w:pPr>
      <w:r>
        <w:rPr>
          <w:rFonts w:ascii="Calibri" w:hAnsi="Calibri"/>
          <w:color w:val="000000"/>
          <w:sz w:val="20"/>
        </w:rPr>
        <w:t xml:space="preserve">Comparator category: Endpoint disk reader</w:t>
      </w:r>
    </w:p>
    <w:p>
      <w:pPr>
        <w:spacing w:before="0" w:after="50" w:line="250" w:lineRule="auto"/>
      </w:pPr>
      <w:r>
        <w:rPr>
          <w:rFonts w:ascii="Calibri" w:hAnsi="Calibri"/>
          <w:color w:val="000000"/>
          <w:sz w:val="20"/>
        </w:rPr>
        <w:t xml:space="preserve">Primary comparison question: How reliably is a prepared plate measured and interpreted?</w:t>
      </w:r>
    </w:p>
    <w:p>
      <w:pPr>
        <w:pStyle w:val="Heading3"/>
        <w:keepNext/>
        <w:keepLines/>
        <w:spacing w:before="240" w:after="120" w:line="269" w:lineRule="auto"/>
      </w:pPr>
      <w:r>
        <w:rPr>
          <w:color w:val="000000"/>
        </w:rPr>
        <w:t>Implication for the portfolio</w:t>
      </w:r>
    </w:p>
    <w:p>
      <w:pPr>
        <w:pStyle w:val="Normal"/>
        <w:spacing w:before="0" w:after="50" w:line="250" w:lineRule="auto"/>
        <w:rPr/>
      </w:pPr>
      <w:r>
        <w:rPr>
          <w:rFonts w:ascii="Calibri" w:hAnsi="Calibri"/>
          <w:color w:val="000000"/>
          <w:sz w:val="20"/>
        </w:rPr>
        <w:t>Reader V1 should support reliable integration of independently established identity where required. It should not imply that a disk image performs the same identification function as a validated biochemical, molecular or mass-spectral method. Phenotype-to-genotype and morphology-based identification remain separately evaluated research capabilities.</w:t>
      </w:r>
    </w:p>
    <w:p>
      <w:pPr>
        <w:pStyle w:val="Normal"/>
        <w:spacing w:before="0" w:after="50" w:line="250" w:lineRule="auto"/>
        <w:rPr/>
      </w:pPr>
      <w:r>
        <w:rPr>
          <w:rFonts w:ascii="Calibri" w:hAnsi="Calibri"/>
          <w:color w:val="000000"/>
          <w:sz w:val="20"/>
        </w:rPr>
        <w:t>Competitive differentiation should be assessed at the level of the user's decision. A laboratory may use an integrated ID/AST system for routine panels and retain disk diffusion for selected requirements. The proposed product should explain where it fits, how records connect and what evidence supports that use. A list of instrument names cannot substitute for a comparison of specimen requirements, reportable scope, exception handling and operational fit.</w:t>
      </w:r>
    </w:p>
    <w:p>
      <w:pPr>
        <w:pStyle w:val="Heading3"/>
        <w:keepNext/>
        <w:keepLines/>
        <w:spacing w:before="240" w:after="120" w:line="269" w:lineRule="auto"/>
      </w:pPr>
      <w:r>
        <w:rPr>
          <w:color w:val="000000"/>
        </w:rPr>
        <w:t>Rapid AST and microfluidic comparators</w:t>
      </w:r>
    </w:p>
    <w:p>
      <w:pPr>
        <w:pStyle w:val="Normal"/>
        <w:keepNext/>
        <w:spacing w:before="0" w:after="50" w:line="250" w:lineRule="auto"/>
        <w:rPr/>
      </w:pPr>
      <w:r>
        <w:rPr>
          <w:rFonts w:ascii="Calibri" w:hAnsi="Calibri"/>
          <w:b/>
          <w:color w:val="000000"/>
          <w:sz w:val="20"/>
        </w:rPr>
        <w:t>Rapid AST is a family of methods with different clocks and specimens</w:t>
      </w:r>
    </w:p>
    <w:p>
      <w:pPr>
        <w:pStyle w:val="Normal"/>
        <w:spacing w:before="0" w:after="50" w:line="250" w:lineRule="auto"/>
        <w:rPr/>
      </w:pPr>
      <w:r>
        <w:rPr>
          <w:rFonts w:ascii="Calibri" w:hAnsi="Calibri"/>
          <w:color w:val="000000"/>
          <w:sz w:val="20"/>
        </w:rPr>
        <w:t xml:space="preserve">Manufacturer documentation describes dRAST as a positive-blood-culture phenotypic AST workflow with results in as little as four hours. VITEK REVEAL describes rapid phenotypic AST for Gram-negative positive blood cultures, with average timings around 5.5-6 hours. Q-linea describes ASTar reports in approximately six hours from its relevant workflow. These are manufacturer-described timings, not a direct independent comparison or time from patient sampling.   </w:t>
      </w:r>
    </w:p>
    <w:p>
      <w:pPr>
        <w:pStyle w:val="Normal"/>
        <w:spacing w:before="0" w:after="50" w:line="250" w:lineRule="auto"/>
        <w:rPr/>
      </w:pPr>
      <w:r>
        <w:rPr>
          <w:rFonts w:ascii="Calibri" w:hAnsi="Calibri"/>
          <w:color w:val="000000"/>
          <w:sz w:val="20"/>
        </w:rPr>
        <w:t xml:space="preserve">EUCAST RAST has its own eligibility, timing and interpretation documents. A research single-cell method, a commercial positive-blood-culture system and an early disk-diffusion method should therefore remain distinct comparator classes.  </w:t>
      </w:r>
    </w:p>
    <w:p>
      <w:pPr>
        <w:spacing w:before="0" w:after="50" w:line="250" w:lineRule="auto"/>
      </w:pPr>
      <w:r>
        <w:rPr>
          <w:rFonts w:ascii="Calibri" w:hAnsi="Calibri"/>
          <w:color w:val="000000"/>
          <w:sz w:val="20"/>
        </w:rPr>
        <w:t xml:space="preserve">Method class: Positive-blood-culture AST</w:t>
      </w:r>
    </w:p>
    <w:p>
      <w:pPr>
        <w:spacing w:before="0" w:after="50" w:line="250" w:lineRule="auto"/>
      </w:pPr>
      <w:r>
        <w:rPr>
          <w:rFonts w:ascii="Calibri" w:hAnsi="Calibri"/>
          <w:color w:val="000000"/>
          <w:sz w:val="20"/>
        </w:rPr>
        <w:t xml:space="preserve">Question to resolve before comparing speed: Is time before culture positivity included?</w:t>
      </w:r>
    </w:p>
    <w:p>
      <w:pPr>
        <w:spacing w:before="0" w:after="50" w:line="250" w:lineRule="auto"/>
      </w:pPr>
      <w:r>
        <w:rPr>
          <w:rFonts w:ascii="Calibri" w:hAnsi="Calibri"/>
          <w:color w:val="000000"/>
          <w:sz w:val="20"/>
        </w:rPr>
        <w:t xml:space="preserve">Method class: Direct-specimen research method</w:t>
      </w:r>
    </w:p>
    <w:p>
      <w:pPr>
        <w:spacing w:before="0" w:after="50" w:line="250" w:lineRule="auto"/>
      </w:pPr>
      <w:r>
        <w:rPr>
          <w:rFonts w:ascii="Calibri" w:hAnsi="Calibri"/>
          <w:color w:val="000000"/>
          <w:sz w:val="20"/>
        </w:rPr>
        <w:t xml:space="preserve">Question to resolve before comparing speed: Which preparation and eligibility steps precede measurement?</w:t>
      </w:r>
    </w:p>
    <w:p>
      <w:pPr>
        <w:spacing w:before="0" w:after="50" w:line="250" w:lineRule="auto"/>
      </w:pPr>
      <w:r>
        <w:rPr>
          <w:rFonts w:ascii="Calibri" w:hAnsi="Calibri"/>
          <w:color w:val="000000"/>
          <w:sz w:val="20"/>
        </w:rPr>
        <w:t xml:space="preserve">Method class: Early disk reading</w:t>
      </w:r>
    </w:p>
    <w:p>
      <w:pPr>
        <w:spacing w:before="0" w:after="50" w:line="250" w:lineRule="auto"/>
      </w:pPr>
      <w:r>
        <w:rPr>
          <w:rFonts w:ascii="Calibri" w:hAnsi="Calibri"/>
          <w:color w:val="000000"/>
          <w:sz w:val="20"/>
        </w:rPr>
        <w:t xml:space="preserve">Question to resolve before comparing speed: Is a validated time-specific interpretation available?</w:t>
      </w:r>
    </w:p>
    <w:p>
      <w:pPr>
        <w:spacing w:before="0" w:after="50" w:line="250" w:lineRule="auto"/>
      </w:pPr>
      <w:r>
        <w:rPr>
          <w:rFonts w:ascii="Calibri" w:hAnsi="Calibri"/>
          <w:color w:val="000000"/>
          <w:sz w:val="20"/>
        </w:rPr>
        <w:t xml:space="preserve">Method class: Endpoint reader</w:t>
      </w:r>
    </w:p>
    <w:p>
      <w:pPr>
        <w:spacing w:before="0" w:after="50" w:line="250" w:lineRule="auto"/>
      </w:pPr>
      <w:r>
        <w:rPr>
          <w:rFonts w:ascii="Calibri" w:hAnsi="Calibri"/>
          <w:color w:val="000000"/>
          <w:sz w:val="20"/>
        </w:rPr>
        <w:t xml:space="preserve">Question to resolve before comparing speed: Has the required biological incubation already occurred?</w:t>
      </w:r>
    </w:p>
    <w:p>
      <w:pPr>
        <w:pStyle w:val="Heading3"/>
        <w:keepNext/>
        <w:keepLines/>
        <w:spacing w:before="240" w:after="120" w:line="269" w:lineRule="auto"/>
      </w:pPr>
      <w:r>
        <w:rPr>
          <w:color w:val="000000"/>
        </w:rPr>
        <w:t>AMReye.AI research position</w:t>
      </w:r>
    </w:p>
    <w:p>
      <w:pPr>
        <w:pStyle w:val="Normal"/>
        <w:spacing w:before="0" w:after="50" w:line="250" w:lineRule="auto"/>
        <w:rPr/>
      </w:pPr>
      <w:r>
        <w:rPr>
          <w:rFonts w:ascii="Calibri" w:hAnsi="Calibri"/>
          <w:color w:val="000000"/>
          <w:sz w:val="20"/>
        </w:rPr>
        <w:t>Sub-two-hour performance remains a target for selected, explicitly defined workflows. The proposed studies should compare reportable-answer distributions, not the fastest successful example. Organism-drug coverage, invalid runs, repeat testing and reviewer time belong beside the timing result.</w:t>
      </w:r>
    </w:p>
    <w:p>
      <w:pPr>
        <w:pStyle w:val="Normal"/>
        <w:spacing w:before="0" w:after="50" w:line="250" w:lineRule="auto"/>
        <w:rPr/>
      </w:pPr>
      <w:r>
        <w:rPr>
          <w:rFonts w:ascii="Calibri" w:hAnsi="Calibri"/>
          <w:color w:val="000000"/>
          <w:sz w:val="20"/>
        </w:rPr>
        <w:t>Microfluidics may shorten diffusion distances or permit observation of individual cells, but it also introduces loading, material, exposure and sampling constraints. Its value must be tested in the chosen biological workflow. The platform should pursue the mechanism that best supports reliable early information, while maintaining endpoint Reader V1 as a distinct development priority.</w:t>
      </w:r>
    </w:p>
    <w:p>
      <w:pPr>
        <w:pStyle w:val="Heading3"/>
        <w:keepNext/>
        <w:keepLines/>
        <w:spacing w:before="240" w:after="120" w:line="269" w:lineRule="auto"/>
      </w:pPr>
      <w:r>
        <w:rPr>
          <w:color w:val="000000"/>
        </w:rPr>
        <w:t>Research imaging and software comparators</w:t>
      </w:r>
    </w:p>
    <w:p>
      <w:pPr>
        <w:pStyle w:val="Normal"/>
        <w:keepNext/>
        <w:spacing w:before="0" w:after="50" w:line="250" w:lineRule="auto"/>
        <w:rPr/>
      </w:pPr>
      <w:r>
        <w:rPr>
          <w:rFonts w:ascii="Calibri" w:hAnsi="Calibri"/>
          <w:b/>
          <w:color w:val="000000"/>
          <w:sz w:val="20"/>
        </w:rPr>
        <w:t>Research imaging platforms compete on experimental information</w:t>
      </w:r>
    </w:p>
    <w:p>
      <w:pPr>
        <w:pStyle w:val="Normal"/>
        <w:spacing w:before="0" w:after="50" w:line="250" w:lineRule="auto"/>
        <w:rPr/>
      </w:pPr>
      <w:r>
        <w:rPr>
          <w:rFonts w:ascii="Calibri" w:hAnsi="Calibri"/>
          <w:color w:val="000000"/>
          <w:sz w:val="20"/>
        </w:rPr>
        <w:t xml:space="preserve">Reshape Biotech describes automated endpoint and time-lapse capture, structured analysis and data-sharing workflows for microbiology research and quality-control applications. This is a relevant comparator for longitudinal imaging and research data services. Manufacturer workflow descriptions do not establish clinical AST performance or equivalence with a diagnostic system. </w:t>
      </w:r>
    </w:p>
    <w:p>
      <w:pPr>
        <w:pStyle w:val="Normal"/>
        <w:spacing w:before="0" w:after="50" w:line="250" w:lineRule="auto"/>
        <w:rPr/>
      </w:pPr>
      <w:r>
        <w:rPr>
          <w:rFonts w:ascii="Calibri" w:hAnsi="Calibri"/>
          <w:color w:val="000000"/>
          <w:sz w:val="20"/>
        </w:rPr>
        <w:t xml:space="preserve">Research modalities such as speckle imaging, Raman-based analysis, electrical microfluidics and calorimetry provide additional examples of measurable microbial responses. Their existence supports a broad technology search, while each has its own sampling and validation boundaries.     </w:t>
      </w:r>
    </w:p>
    <w:p>
      <w:pPr>
        <w:pStyle w:val="Heading3"/>
        <w:keepNext/>
        <w:keepLines/>
        <w:spacing w:before="240" w:after="120" w:line="269" w:lineRule="auto"/>
      </w:pPr>
      <w:r>
        <w:rPr>
          <w:color w:val="000000"/>
        </w:rPr>
        <w:t>Proposed research-platform comparison</w:t>
      </w:r>
    </w:p>
    <w:p>
      <w:pPr>
        <w:pStyle w:val="Normal"/>
        <w:spacing w:before="0" w:after="50" w:line="250" w:lineRule="auto"/>
        <w:rPr/>
      </w:pPr>
      <w:r>
        <w:rPr>
          <w:rFonts w:ascii="Calibri" w:hAnsi="Calibri"/>
          <w:color w:val="000000"/>
          <w:sz w:val="20"/>
        </w:rPr>
        <w:t>For the AMReye.AI research family, useful outcomes include experimental reproducibility, observation completeness, analysis transparency and the ability to compare conditions without losing provenance. Clinical categories may not be the appropriate primary endpoint for these applications.</w:t>
      </w:r>
    </w:p>
    <w:p>
      <w:pPr>
        <w:spacing w:before="0" w:after="50" w:line="250" w:lineRule="auto"/>
      </w:pPr>
      <w:r>
        <w:rPr>
          <w:rFonts w:ascii="Calibri" w:hAnsi="Calibri"/>
          <w:color w:val="000000"/>
          <w:sz w:val="20"/>
        </w:rPr>
        <w:t xml:space="preserve">Research capability: Longitudinal imaging</w:t>
      </w:r>
    </w:p>
    <w:p>
      <w:pPr>
        <w:spacing w:before="0" w:after="50" w:line="250" w:lineRule="auto"/>
      </w:pPr>
      <w:r>
        <w:rPr>
          <w:rFonts w:ascii="Calibri" w:hAnsi="Calibri"/>
          <w:color w:val="000000"/>
          <w:sz w:val="20"/>
        </w:rPr>
        <w:t xml:space="preserve">Evidence of practical value: Stable registration and interpretable temporal measurements.</w:t>
      </w:r>
    </w:p>
    <w:p>
      <w:pPr>
        <w:spacing w:before="0" w:after="50" w:line="250" w:lineRule="auto"/>
      </w:pPr>
      <w:r>
        <w:rPr>
          <w:rFonts w:ascii="Calibri" w:hAnsi="Calibri"/>
          <w:color w:val="000000"/>
          <w:sz w:val="20"/>
        </w:rPr>
        <w:t xml:space="preserve">Research capability: Experiment metadata</w:t>
      </w:r>
    </w:p>
    <w:p>
      <w:pPr>
        <w:spacing w:before="0" w:after="50" w:line="250" w:lineRule="auto"/>
      </w:pPr>
      <w:r>
        <w:rPr>
          <w:rFonts w:ascii="Calibri" w:hAnsi="Calibri"/>
          <w:color w:val="000000"/>
          <w:sz w:val="20"/>
        </w:rPr>
        <w:t xml:space="preserve">Evidence of practical value: Reproducible grouping and retention of conditions and exceptions.</w:t>
      </w:r>
    </w:p>
    <w:p>
      <w:pPr>
        <w:spacing w:before="0" w:after="50" w:line="250" w:lineRule="auto"/>
      </w:pPr>
      <w:r>
        <w:rPr>
          <w:rFonts w:ascii="Calibri" w:hAnsi="Calibri"/>
          <w:color w:val="000000"/>
          <w:sz w:val="20"/>
        </w:rPr>
        <w:t xml:space="preserve">Research capability: Analysis software</w:t>
      </w:r>
    </w:p>
    <w:p>
      <w:pPr>
        <w:spacing w:before="0" w:after="50" w:line="250" w:lineRule="auto"/>
      </w:pPr>
      <w:r>
        <w:rPr>
          <w:rFonts w:ascii="Calibri" w:hAnsi="Calibri"/>
          <w:color w:val="000000"/>
          <w:sz w:val="20"/>
        </w:rPr>
        <w:t xml:space="preserve">Evidence of practical value: Transparent transformations and exportable measurements.</w:t>
      </w:r>
    </w:p>
    <w:p>
      <w:pPr>
        <w:spacing w:before="0" w:after="50" w:line="250" w:lineRule="auto"/>
      </w:pPr>
      <w:r>
        <w:rPr>
          <w:rFonts w:ascii="Calibri" w:hAnsi="Calibri"/>
          <w:color w:val="000000"/>
          <w:sz w:val="20"/>
        </w:rPr>
        <w:t xml:space="preserve">Research capability: Multimodal experiments</w:t>
      </w:r>
    </w:p>
    <w:p>
      <w:pPr>
        <w:spacing w:before="0" w:after="50" w:line="250" w:lineRule="auto"/>
      </w:pPr>
      <w:r>
        <w:rPr>
          <w:rFonts w:ascii="Calibri" w:hAnsi="Calibri"/>
          <w:color w:val="000000"/>
          <w:sz w:val="20"/>
        </w:rPr>
        <w:t xml:space="preserve">Evidence of practical value: Incremental information beyond a simpler measurement set.</w:t>
      </w:r>
    </w:p>
    <w:p>
      <w:pPr>
        <w:spacing w:before="0" w:after="50" w:line="250" w:lineRule="auto"/>
      </w:pPr>
      <w:r>
        <w:rPr>
          <w:rFonts w:ascii="Calibri" w:hAnsi="Calibri"/>
          <w:color w:val="000000"/>
          <w:sz w:val="20"/>
        </w:rPr>
        <w:t xml:space="preserve">Research capability: Collaboration</w:t>
      </w:r>
    </w:p>
    <w:p>
      <w:pPr>
        <w:spacing w:before="0" w:after="50" w:line="250" w:lineRule="auto"/>
      </w:pPr>
      <w:r>
        <w:rPr>
          <w:rFonts w:ascii="Calibri" w:hAnsi="Calibri"/>
          <w:color w:val="000000"/>
          <w:sz w:val="20"/>
        </w:rPr>
        <w:t xml:space="preserve">Evidence of practical value: Authorized access and reproducible analysis across participating teams.</w:t>
      </w:r>
    </w:p>
    <w:p>
      <w:pPr>
        <w:pStyle w:val="Heading3"/>
        <w:keepNext/>
        <w:keepLines/>
        <w:spacing w:before="240" w:after="120" w:line="269" w:lineRule="auto"/>
      </w:pPr>
      <w:r>
        <w:rPr>
          <w:color w:val="000000"/>
        </w:rPr>
        <w:t>A disciplined breadth of scope</w:t>
      </w:r>
    </w:p>
    <w:p>
      <w:pPr>
        <w:pStyle w:val="Normal"/>
        <w:spacing w:before="0" w:after="50" w:line="250" w:lineRule="auto"/>
        <w:rPr/>
      </w:pPr>
      <w:r>
        <w:rPr>
          <w:rFonts w:ascii="Calibri" w:hAnsi="Calibri"/>
          <w:color w:val="000000"/>
          <w:sz w:val="20"/>
        </w:rPr>
        <w:t>The proposed portfolio should offer distinct research functions rather than imply that one device performs every method. Microscopy, spectroscopy and automated plate handling may belong to different configurations or collaborations. The decision to integrate a modality should follow a demonstrated user question and measurable benefit.</w:t>
      </w:r>
    </w:p>
    <w:p>
      <w:pPr>
        <w:pStyle w:val="Normal"/>
        <w:spacing w:before="0" w:after="50" w:line="250" w:lineRule="auto"/>
        <w:rPr/>
      </w:pPr>
      <w:r>
        <w:rPr>
          <w:rFonts w:ascii="Calibri" w:hAnsi="Calibri"/>
          <w:color w:val="000000"/>
          <w:sz w:val="20"/>
        </w:rPr>
        <w:t>An effective research service can help laboratories preserve and analyze experiments even before a predictive twin becomes useful. That near-term value should be evaluated on its own terms, while predictive and diagnostic extensions remain subject to additional evidence.</w:t>
      </w:r>
    </w:p>
    <w:p>
      <w:pPr>
        <w:pStyle w:val="Heading3"/>
        <w:keepNext/>
        <w:keepLines/>
        <w:spacing w:before="240" w:after="120" w:line="269" w:lineRule="auto"/>
      </w:pPr>
      <w:r>
        <w:rPr>
          <w:color w:val="000000"/>
        </w:rPr>
        <w:t>Regulatory evidence and label specificity</w:t>
      </w:r>
    </w:p>
    <w:p>
      <w:pPr>
        <w:pStyle w:val="Normal"/>
        <w:keepNext/>
        <w:spacing w:before="0" w:after="50" w:line="250" w:lineRule="auto"/>
        <w:rPr/>
      </w:pPr>
      <w:r>
        <w:rPr>
          <w:rFonts w:ascii="Calibri" w:hAnsi="Calibri"/>
          <w:b/>
          <w:color w:val="000000"/>
          <w:sz w:val="20"/>
        </w:rPr>
        <w:t>Regulatory evidence belongs to a specific device and intended use</w:t>
      </w:r>
    </w:p>
    <w:p>
      <w:pPr>
        <w:pStyle w:val="Normal"/>
        <w:spacing w:before="0" w:after="50" w:line="250" w:lineRule="auto"/>
        <w:rPr/>
      </w:pPr>
      <w:r>
        <w:rPr>
          <w:rFonts w:ascii="Calibri" w:hAnsi="Calibri"/>
          <w:color w:val="000000"/>
          <w:sz w:val="20"/>
        </w:rPr>
        <w:t xml:space="preserve">The CDSCO medical-device software guidance provides context for assessing software under India's Medical Devices Rules. It does not, by itself, assign AMReye.AI a classification or establish permission to market. Intended use, software function, hardware relationship and applicable statutory requirements require a product-specific assessment. </w:t>
      </w:r>
    </w:p>
    <w:p>
      <w:pPr>
        <w:pStyle w:val="Normal"/>
        <w:spacing w:before="0" w:after="50" w:line="250" w:lineRule="auto"/>
        <w:rPr/>
      </w:pPr>
      <w:r>
        <w:rPr>
          <w:rFonts w:ascii="Calibri" w:hAnsi="Calibri"/>
          <w:color w:val="000000"/>
          <w:sz w:val="20"/>
        </w:rPr>
        <w:t xml:space="preserve">The FDA decision identified in reference R32 illustrates another boundary: a regulatory record supports the device and indications covered by that record. Similarity in imaging or AI terminology cannot transfer another device's authorization to the proposed platform. </w:t>
      </w:r>
    </w:p>
    <w:p>
      <w:pPr>
        <w:pStyle w:val="Heading3"/>
        <w:keepNext/>
        <w:keepLines/>
        <w:spacing w:before="240" w:after="120" w:line="269" w:lineRule="auto"/>
      </w:pPr>
      <w:r>
        <w:rPr>
          <w:color w:val="000000"/>
        </w:rPr>
        <w:t>Evidence that should accompany a regulatory comparison</w:t>
      </w:r>
    </w:p>
    <w:p>
      <w:pPr>
        <w:pStyle w:val="Normal"/>
        <w:spacing w:before="0" w:after="50" w:line="250" w:lineRule="auto"/>
        <w:rPr/>
      </w:pPr>
      <w:r>
        <w:rPr>
          <w:rFonts w:ascii="Calibri" w:hAnsi="Calibri"/>
          <w:color w:val="000000"/>
          <w:sz w:val="20"/>
        </w:rPr>
        <w:t>The programme should retain the exact device, version, jurisdiction, indication and limitations when discussing an authorization. A manufacturer's broad product-family page may not identify the particular configuration relevant to an institution's intended workflow.</w:t>
      </w:r>
    </w:p>
    <w:p>
      <w:pPr>
        <w:spacing w:before="0" w:after="50" w:line="250" w:lineRule="auto"/>
      </w:pPr>
      <w:r>
        <w:rPr>
          <w:rFonts w:ascii="Calibri" w:hAnsi="Calibri"/>
          <w:color w:val="000000"/>
          <w:sz w:val="20"/>
        </w:rPr>
        <w:t xml:space="preserve">Proposed statement: Device is authorized for a use</w:t>
      </w:r>
    </w:p>
    <w:p>
      <w:pPr>
        <w:spacing w:before="0" w:after="50" w:line="250" w:lineRule="auto"/>
      </w:pPr>
      <w:r>
        <w:rPr>
          <w:rFonts w:ascii="Calibri" w:hAnsi="Calibri"/>
          <w:color w:val="000000"/>
          <w:sz w:val="20"/>
        </w:rPr>
        <w:t xml:space="preserve">Required supporting material: Applicable regulator record and labeling.</w:t>
      </w:r>
    </w:p>
    <w:p>
      <w:pPr>
        <w:spacing w:before="0" w:after="50" w:line="250" w:lineRule="auto"/>
      </w:pPr>
      <w:r>
        <w:rPr>
          <w:rFonts w:ascii="Calibri" w:hAnsi="Calibri"/>
          <w:color w:val="000000"/>
          <w:sz w:val="20"/>
        </w:rPr>
        <w:t xml:space="preserve">Proposed statement: Method is recognized</w:t>
      </w:r>
    </w:p>
    <w:p>
      <w:pPr>
        <w:spacing w:before="0" w:after="50" w:line="250" w:lineRule="auto"/>
      </w:pPr>
      <w:r>
        <w:rPr>
          <w:rFonts w:ascii="Calibri" w:hAnsi="Calibri"/>
          <w:color w:val="000000"/>
          <w:sz w:val="20"/>
        </w:rPr>
        <w:t xml:space="preserve">Required supporting material: Exact method, scope and current conditions.</w:t>
      </w:r>
    </w:p>
    <w:p>
      <w:pPr>
        <w:spacing w:before="0" w:after="50" w:line="250" w:lineRule="auto"/>
      </w:pPr>
      <w:r>
        <w:rPr>
          <w:rFonts w:ascii="Calibri" w:hAnsi="Calibri"/>
          <w:color w:val="000000"/>
          <w:sz w:val="20"/>
        </w:rPr>
        <w:t xml:space="preserve">Proposed statement: Software change is acceptable</w:t>
      </w:r>
    </w:p>
    <w:p>
      <w:pPr>
        <w:spacing w:before="0" w:after="50" w:line="250" w:lineRule="auto"/>
      </w:pPr>
      <w:r>
        <w:rPr>
          <w:rFonts w:ascii="Calibri" w:hAnsi="Calibri"/>
          <w:color w:val="000000"/>
          <w:sz w:val="20"/>
        </w:rPr>
        <w:t xml:space="preserve">Required supporting material: Product-specific assessment and required evidence.</w:t>
      </w:r>
    </w:p>
    <w:p>
      <w:pPr>
        <w:spacing w:before="0" w:after="50" w:line="250" w:lineRule="auto"/>
      </w:pPr>
      <w:r>
        <w:rPr>
          <w:rFonts w:ascii="Calibri" w:hAnsi="Calibri"/>
          <w:color w:val="000000"/>
          <w:sz w:val="20"/>
        </w:rPr>
        <w:t xml:space="preserve">Proposed statement: Security expectations are addressed</w:t>
      </w:r>
    </w:p>
    <w:p>
      <w:pPr>
        <w:spacing w:before="0" w:after="50" w:line="250" w:lineRule="auto"/>
      </w:pPr>
      <w:r>
        <w:rPr>
          <w:rFonts w:ascii="Calibri" w:hAnsi="Calibri"/>
          <w:color w:val="000000"/>
          <w:sz w:val="20"/>
        </w:rPr>
        <w:t xml:space="preserve">Required supporting material: Implemented controls and verification appropriate to the device.</w:t>
      </w:r>
    </w:p>
    <w:p>
      <w:pPr>
        <w:pStyle w:val="Heading3"/>
        <w:keepNext/>
        <w:keepLines/>
        <w:spacing w:before="240" w:after="120" w:line="269" w:lineRule="auto"/>
      </w:pPr>
      <w:r>
        <w:rPr>
          <w:color w:val="000000"/>
        </w:rPr>
        <w:t>AMReye.AI publication boundary</w:t>
      </w:r>
    </w:p>
    <w:p>
      <w:pPr>
        <w:pStyle w:val="Normal"/>
        <w:spacing w:before="0" w:after="50" w:line="250" w:lineRule="auto"/>
        <w:rPr/>
      </w:pPr>
      <w:r>
        <w:rPr>
          <w:rFonts w:ascii="Calibri" w:hAnsi="Calibri"/>
          <w:color w:val="000000"/>
          <w:sz w:val="20"/>
        </w:rPr>
        <w:t>This compendium describes proposed engineering and research requirements. It is not a regulatory submission, clinical-use instruction or declaration of conformity. The validation and quality sections identify work that the development programme must complete.</w:t>
      </w:r>
    </w:p>
    <w:p>
      <w:pPr>
        <w:pStyle w:val="Normal"/>
        <w:spacing w:before="0" w:after="50" w:line="250" w:lineRule="auto"/>
        <w:rPr/>
      </w:pPr>
      <w:r>
        <w:rPr>
          <w:rFonts w:ascii="Calibri" w:hAnsi="Calibri"/>
          <w:color w:val="000000"/>
          <w:sz w:val="20"/>
        </w:rPr>
        <w:t>Current FDA cybersecurity guidance and software lifecycle standards can inform planning, but a citation to them does not demonstrate implementation.    The product's eventual regulatory case should connect its actual design and evidence to the applicable requirements, with qualified review of the intended market and use.</w:t>
      </w:r>
    </w:p>
    <w:p>
      <w:pPr>
        <w:pStyle w:val="Heading3"/>
        <w:keepNext/>
        <w:keepLines/>
        <w:spacing w:before="240" w:after="120" w:line="269" w:lineRule="auto"/>
      </w:pPr>
      <w:r>
        <w:rPr>
          <w:color w:val="000000"/>
        </w:rPr>
        <w:t>Contradictions and unverified propositions</w:t>
      </w:r>
    </w:p>
    <w:p>
      <w:pPr>
        <w:pStyle w:val="Normal"/>
        <w:keepNext/>
        <w:spacing w:before="0" w:after="50" w:line="250" w:lineRule="auto"/>
        <w:rPr/>
      </w:pPr>
      <w:r>
        <w:rPr>
          <w:rFonts w:ascii="Calibri" w:hAnsi="Calibri"/>
          <w:b/>
          <w:color w:val="000000"/>
          <w:sz w:val="20"/>
        </w:rPr>
        <w:t>Contradictions should change the strength of a claim</w:t>
      </w:r>
    </w:p>
    <w:p>
      <w:pPr>
        <w:pStyle w:val="Normal"/>
        <w:spacing w:before="0" w:after="50" w:line="250" w:lineRule="auto"/>
        <w:rPr/>
      </w:pPr>
      <w:r>
        <w:rPr>
          <w:rFonts w:ascii="Calibri" w:hAnsi="Calibri"/>
          <w:color w:val="000000"/>
          <w:sz w:val="20"/>
        </w:rPr>
        <w:t>The literature and product landscape support meaningful opportunities, but several attractive propositions remain unverified. The proposed platform should retain these as explicit research questions. A stronger vocabulary cannot resolve an evidence gap, and a larger sensor catalogue does not supply validation by itself.</w:t>
      </w:r>
    </w:p>
    <w:p>
      <w:pPr>
        <w:spacing w:before="0" w:after="50" w:line="250" w:lineRule="auto"/>
      </w:pPr>
      <w:r>
        <w:rPr>
          <w:rFonts w:ascii="Calibri" w:hAnsi="Calibri"/>
          <w:color w:val="000000"/>
          <w:sz w:val="20"/>
        </w:rPr>
        <w:t xml:space="preserve">Proposition: Multiple sensors guarantee zero error</w:t>
      </w:r>
    </w:p>
    <w:p>
      <w:pPr>
        <w:spacing w:before="0" w:after="50" w:line="250" w:lineRule="auto"/>
      </w:pPr>
      <w:r>
        <w:rPr>
          <w:rFonts w:ascii="Calibri" w:hAnsi="Calibri"/>
          <w:color w:val="000000"/>
          <w:sz w:val="20"/>
        </w:rPr>
        <w:t xml:space="preserve">Evidence-based disposition: Unsupported; common causes and false agreement require evaluation.</w:t>
      </w:r>
    </w:p>
    <w:p>
      <w:pPr>
        <w:spacing w:before="0" w:after="50" w:line="250" w:lineRule="auto"/>
      </w:pPr>
      <w:r>
        <w:rPr>
          <w:rFonts w:ascii="Calibri" w:hAnsi="Calibri"/>
          <w:color w:val="000000"/>
          <w:sz w:val="20"/>
        </w:rPr>
        <w:t xml:space="preserve">Proposition: A day of observations predicts all later growth</w:t>
      </w:r>
    </w:p>
    <w:p>
      <w:pPr>
        <w:spacing w:before="0" w:after="50" w:line="250" w:lineRule="auto"/>
      </w:pPr>
      <w:r>
        <w:rPr>
          <w:rFonts w:ascii="Calibri" w:hAnsi="Calibri"/>
          <w:color w:val="000000"/>
          <w:sz w:val="20"/>
        </w:rPr>
        <w:t xml:space="preserve">Evidence-based disposition: Unsupported; forecasting depends on identifiability, conditions and horizon.</w:t>
      </w:r>
    </w:p>
    <w:p>
      <w:pPr>
        <w:spacing w:before="0" w:after="50" w:line="250" w:lineRule="auto"/>
      </w:pPr>
      <w:r>
        <w:rPr>
          <w:rFonts w:ascii="Calibri" w:hAnsi="Calibri"/>
          <w:color w:val="000000"/>
          <w:sz w:val="20"/>
        </w:rPr>
        <w:t xml:space="preserve">Proposition: Within-zone growth proves heteroresistance</w:t>
      </w:r>
    </w:p>
    <w:p>
      <w:pPr>
        <w:spacing w:before="0" w:after="50" w:line="250" w:lineRule="auto"/>
      </w:pPr>
      <w:r>
        <w:rPr>
          <w:rFonts w:ascii="Calibri" w:hAnsi="Calibri"/>
          <w:color w:val="000000"/>
          <w:sz w:val="20"/>
        </w:rPr>
        <w:t xml:space="preserve">Evidence-based disposition: Unsupported without biological confirmation.</w:t>
      </w:r>
    </w:p>
    <w:p>
      <w:pPr>
        <w:spacing w:before="0" w:after="50" w:line="250" w:lineRule="auto"/>
      </w:pPr>
      <w:r>
        <w:rPr>
          <w:rFonts w:ascii="Calibri" w:hAnsi="Calibri"/>
          <w:color w:val="000000"/>
          <w:sz w:val="20"/>
        </w:rPr>
        <w:t xml:space="preserve">Proposition: A published AI accuracy is a transferable benchmark</w:t>
      </w:r>
    </w:p>
    <w:p>
      <w:pPr>
        <w:spacing w:before="0" w:after="50" w:line="250" w:lineRule="auto"/>
      </w:pPr>
      <w:r>
        <w:rPr>
          <w:rFonts w:ascii="Calibri" w:hAnsi="Calibri"/>
          <w:color w:val="000000"/>
          <w:sz w:val="20"/>
        </w:rPr>
        <w:t xml:space="preserve">Evidence-based disposition: Conditional on dataset integrity, independence and matching task.</w:t>
      </w:r>
    </w:p>
    <w:p>
      <w:pPr>
        <w:spacing w:before="0" w:after="50" w:line="250" w:lineRule="auto"/>
      </w:pPr>
      <w:r>
        <w:rPr>
          <w:rFonts w:ascii="Calibri" w:hAnsi="Calibri"/>
          <w:color w:val="000000"/>
          <w:sz w:val="20"/>
        </w:rPr>
        <w:t xml:space="preserve">Proposition: A rapid method works for every specimen</w:t>
      </w:r>
    </w:p>
    <w:p>
      <w:pPr>
        <w:spacing w:before="0" w:after="50" w:line="250" w:lineRule="auto"/>
      </w:pPr>
      <w:r>
        <w:rPr>
          <w:rFonts w:ascii="Calibri" w:hAnsi="Calibri"/>
          <w:color w:val="000000"/>
          <w:sz w:val="20"/>
        </w:rPr>
        <w:t xml:space="preserve">Evidence-based disposition: Unsupported outside its studied and authorized scope.</w:t>
      </w:r>
    </w:p>
    <w:p>
      <w:pPr>
        <w:spacing w:before="0" w:after="50" w:line="250" w:lineRule="auto"/>
      </w:pPr>
      <w:r>
        <w:rPr>
          <w:rFonts w:ascii="Calibri" w:hAnsi="Calibri"/>
          <w:color w:val="000000"/>
          <w:sz w:val="20"/>
        </w:rPr>
        <w:t xml:space="preserve">Proposition: The latest chip is the best design choice</w:t>
      </w:r>
    </w:p>
    <w:p>
      <w:pPr>
        <w:spacing w:before="0" w:after="50" w:line="250" w:lineRule="auto"/>
      </w:pPr>
      <w:r>
        <w:rPr>
          <w:rFonts w:ascii="Calibri" w:hAnsi="Calibri"/>
          <w:color w:val="000000"/>
          <w:sz w:val="20"/>
        </w:rPr>
        <w:t xml:space="preserve">Evidence-based disposition: An engineering question requiring workload and lifecycle evidence.</w:t>
      </w:r>
    </w:p>
    <w:p>
      <w:pPr>
        <w:pStyle w:val="Heading3"/>
        <w:keepNext/>
        <w:keepLines/>
        <w:spacing w:before="240" w:after="120" w:line="269" w:lineRule="auto"/>
      </w:pPr>
      <w:r>
        <w:rPr>
          <w:color w:val="000000"/>
        </w:rPr>
        <w:t>Contradiction does not always mean one source is wrong</w:t>
      </w:r>
    </w:p>
    <w:p>
      <w:pPr>
        <w:pStyle w:val="Normal"/>
        <w:spacing w:before="0" w:after="50" w:line="250" w:lineRule="auto"/>
        <w:rPr/>
      </w:pPr>
      <w:r>
        <w:rPr>
          <w:rFonts w:ascii="Calibri" w:hAnsi="Calibri"/>
          <w:color w:val="000000"/>
          <w:sz w:val="20"/>
        </w:rPr>
        <w:t xml:space="preserve">The murine heteroresistance study and the retrospective clinical collection answer different questions. An effect under a controlled infection model can coexist with an absence of a significant association in a particular clinical analysis. Both should inform the research design without being collapsed into a universal conclusion.  </w:t>
      </w:r>
    </w:p>
    <w:p>
      <w:pPr>
        <w:pStyle w:val="Heading3"/>
        <w:keepNext/>
        <w:keepLines/>
        <w:spacing w:before="240" w:after="120" w:line="269" w:lineRule="auto"/>
      </w:pPr>
      <w:r>
        <w:rPr>
          <w:color w:val="000000"/>
        </w:rPr>
        <w:t>Proposed response to unresolved evidence</w:t>
      </w:r>
    </w:p>
    <w:p>
      <w:pPr>
        <w:pStyle w:val="Normal"/>
        <w:spacing w:before="0" w:after="50" w:line="250" w:lineRule="auto"/>
        <w:rPr/>
      </w:pPr>
      <w:r>
        <w:rPr>
          <w:rFonts w:ascii="Calibri" w:hAnsi="Calibri"/>
          <w:color w:val="000000"/>
          <w:sz w:val="20"/>
        </w:rPr>
        <w:t>AMReye.AI should identify the decision affected by each uncertainty. Some gaps prevent a claim; others determine an experiment or a configuration choice. The response should be proportionate: preserve an unresolved status, obtain independent characterization or revise the intended use.</w:t>
      </w:r>
    </w:p>
    <w:p>
      <w:pPr>
        <w:pStyle w:val="Normal"/>
        <w:spacing w:before="0" w:after="50" w:line="250" w:lineRule="auto"/>
        <w:rPr/>
      </w:pPr>
      <w:r>
        <w:rPr>
          <w:rFonts w:ascii="Calibri" w:hAnsi="Calibri"/>
          <w:color w:val="000000"/>
          <w:sz w:val="20"/>
        </w:rPr>
        <w:t>The same discipline applies to negative findings. A failed exploratory modality can be valuable if it reveals a confounder or an integration cost. Development should reward informative evidence, including evidence that narrows the portfolio, rather than treating every proposed capability as an inevitable product feature.</w:t>
      </w:r>
    </w:p>
    <w:p>
      <w:pPr>
        <w:pStyle w:val="Heading3"/>
        <w:keepNext/>
        <w:keepLines/>
        <w:spacing w:before="240" w:after="120" w:line="269" w:lineRule="auto"/>
      </w:pPr>
      <w:r>
        <w:rPr>
          <w:color w:val="000000"/>
        </w:rPr>
        <w:t>Priority questions for original AMReye.AI evidence</w:t>
      </w:r>
    </w:p>
    <w:p>
      <w:pPr>
        <w:pStyle w:val="Normal"/>
        <w:keepNext/>
        <w:spacing w:before="0" w:after="50" w:line="250" w:lineRule="auto"/>
        <w:rPr/>
      </w:pPr>
      <w:r>
        <w:rPr>
          <w:rFonts w:ascii="Calibri" w:hAnsi="Calibri"/>
          <w:b/>
          <w:color w:val="000000"/>
          <w:sz w:val="20"/>
        </w:rPr>
        <w:t>The next decisive evidence should come from AMReye.AI's own defined tasks</w:t>
      </w:r>
    </w:p>
    <w:p>
      <w:pPr>
        <w:pStyle w:val="Normal"/>
        <w:spacing w:before="0" w:after="50" w:line="250" w:lineRule="auto"/>
        <w:rPr/>
      </w:pPr>
      <w:r>
        <w:rPr>
          <w:rFonts w:ascii="Calibri" w:hAnsi="Calibri"/>
          <w:color w:val="000000"/>
          <w:sz w:val="20"/>
        </w:rPr>
        <w:t>External work establishes scientific plausibility, known alternatives and important limitations. The development programme now needs original evidence that connects the proposed system to its intended users. The highest-value studies are those that resolve a specific release or research decision.</w:t>
      </w:r>
    </w:p>
    <w:p>
      <w:pPr>
        <w:pStyle w:val="Heading3"/>
        <w:keepNext/>
        <w:keepLines/>
        <w:spacing w:before="240" w:after="120" w:line="269" w:lineRule="auto"/>
      </w:pPr>
      <w:r>
        <w:rPr>
          <w:color w:val="000000"/>
        </w:rPr>
        <w:t>Priority evidence sequence</w:t>
      </w:r>
    </w:p>
    <w:p>
      <w:pPr>
        <w:pStyle w:val="Normal"/>
        <w:spacing w:before="0" w:after="50" w:line="250" w:lineRule="auto"/>
        <w:rPr/>
      </w:pPr>
      <w:r>
        <w:rPr>
          <w:rFonts w:ascii="Calibri" w:hAnsi="Calibri"/>
          <w:color w:val="000000"/>
          <w:sz w:val="20"/>
        </w:rPr>
        <w:t>Reader V1 should first demonstrate a dependable measurement chain and review workflow. Advanced sensing and forecasting can then be investigated against that foundation, using independently defined outcomes rather than a single broad “platform accuracy” measure.</w:t>
      </w:r>
    </w:p>
    <w:p>
      <w:pPr>
        <w:spacing w:before="0" w:after="50" w:line="250" w:lineRule="auto"/>
      </w:pPr>
      <w:r>
        <w:rPr>
          <w:rFonts w:ascii="Calibri" w:hAnsi="Calibri"/>
          <w:color w:val="000000"/>
          <w:sz w:val="20"/>
        </w:rPr>
        <w:t xml:space="preserve">Priority question: Can eligible endpoint plates be captured consistently?</w:t>
      </w:r>
    </w:p>
    <w:p>
      <w:pPr>
        <w:spacing w:before="0" w:after="50" w:line="250" w:lineRule="auto"/>
      </w:pPr>
      <w:r>
        <w:rPr>
          <w:rFonts w:ascii="Calibri" w:hAnsi="Calibri"/>
          <w:color w:val="000000"/>
          <w:sz w:val="20"/>
        </w:rPr>
        <w:t xml:space="preserve">Proposed decision enabled: Qualify the acquisition configuration.</w:t>
      </w:r>
    </w:p>
    <w:p>
      <w:pPr>
        <w:spacing w:before="0" w:after="50" w:line="250" w:lineRule="auto"/>
      </w:pPr>
      <w:r>
        <w:rPr>
          <w:rFonts w:ascii="Calibri" w:hAnsi="Calibri"/>
          <w:color w:val="000000"/>
          <w:sz w:val="20"/>
        </w:rPr>
        <w:t xml:space="preserve">Priority question: Are calibrated diameters reproducible across conditions?</w:t>
      </w:r>
    </w:p>
    <w:p>
      <w:pPr>
        <w:spacing w:before="0" w:after="50" w:line="250" w:lineRule="auto"/>
      </w:pPr>
      <w:r>
        <w:rPr>
          <w:rFonts w:ascii="Calibri" w:hAnsi="Calibri"/>
          <w:color w:val="000000"/>
          <w:sz w:val="20"/>
        </w:rPr>
        <w:t xml:space="preserve">Proposed decision enabled: Define measurement scope and uncertainty.</w:t>
      </w:r>
    </w:p>
    <w:p>
      <w:pPr>
        <w:spacing w:before="0" w:after="50" w:line="250" w:lineRule="auto"/>
      </w:pPr>
      <w:r>
        <w:rPr>
          <w:rFonts w:ascii="Calibri" w:hAnsi="Calibri"/>
          <w:color w:val="000000"/>
          <w:sz w:val="20"/>
        </w:rPr>
        <w:t xml:space="preserve">Priority question: Are difficult inputs detected and reviewed effectively?</w:t>
      </w:r>
    </w:p>
    <w:p>
      <w:pPr>
        <w:spacing w:before="0" w:after="50" w:line="250" w:lineRule="auto"/>
      </w:pPr>
      <w:r>
        <w:rPr>
          <w:rFonts w:ascii="Calibri" w:hAnsi="Calibri"/>
          <w:color w:val="000000"/>
          <w:sz w:val="20"/>
        </w:rPr>
        <w:t xml:space="preserve">Proposed decision enabled: Establish safe exception and correction behavior.</w:t>
      </w:r>
    </w:p>
    <w:p>
      <w:pPr>
        <w:spacing w:before="0" w:after="50" w:line="250" w:lineRule="auto"/>
      </w:pPr>
      <w:r>
        <w:rPr>
          <w:rFonts w:ascii="Calibri" w:hAnsi="Calibri"/>
          <w:color w:val="000000"/>
          <w:sz w:val="20"/>
        </w:rPr>
        <w:t xml:space="preserve">Priority question: Does an added modality contribute independent information?</w:t>
      </w:r>
    </w:p>
    <w:p>
      <w:pPr>
        <w:spacing w:before="0" w:after="50" w:line="250" w:lineRule="auto"/>
      </w:pPr>
      <w:r>
        <w:rPr>
          <w:rFonts w:ascii="Calibri" w:hAnsi="Calibri"/>
          <w:color w:val="000000"/>
          <w:sz w:val="20"/>
        </w:rPr>
        <w:t xml:space="preserve">Proposed decision enabled: Select or reject the candidate integration.</w:t>
      </w:r>
    </w:p>
    <w:p>
      <w:pPr>
        <w:spacing w:before="0" w:after="50" w:line="250" w:lineRule="auto"/>
      </w:pPr>
      <w:r>
        <w:rPr>
          <w:rFonts w:ascii="Calibri" w:hAnsi="Calibri"/>
          <w:color w:val="000000"/>
          <w:sz w:val="20"/>
        </w:rPr>
        <w:t xml:space="preserve">Priority question: Can a twin forecast withheld observations reliably?</w:t>
      </w:r>
    </w:p>
    <w:p>
      <w:pPr>
        <w:spacing w:before="0" w:after="50" w:line="250" w:lineRule="auto"/>
      </w:pPr>
      <w:r>
        <w:rPr>
          <w:rFonts w:ascii="Calibri" w:hAnsi="Calibri"/>
          <w:color w:val="000000"/>
          <w:sz w:val="20"/>
        </w:rPr>
        <w:t xml:space="preserve">Proposed decision enabled: Define a qualified prediction horizon or retain research status.</w:t>
      </w:r>
    </w:p>
    <w:p>
      <w:pPr>
        <w:spacing w:before="0" w:after="50" w:line="250" w:lineRule="auto"/>
      </w:pPr>
      <w:r>
        <w:rPr>
          <w:rFonts w:ascii="Calibri" w:hAnsi="Calibri"/>
          <w:color w:val="000000"/>
          <w:sz w:val="20"/>
        </w:rPr>
        <w:t xml:space="preserve">Priority question: Can selected early workflows meet the sub-two-hour target?</w:t>
      </w:r>
    </w:p>
    <w:p>
      <w:pPr>
        <w:spacing w:before="0" w:after="50" w:line="250" w:lineRule="auto"/>
      </w:pPr>
      <w:r>
        <w:rPr>
          <w:rFonts w:ascii="Calibri" w:hAnsi="Calibri"/>
          <w:color w:val="000000"/>
          <w:sz w:val="20"/>
        </w:rPr>
        <w:t xml:space="preserve">Proposed decision enabled: Establish scope-specific feasibility and next validation needs.</w:t>
      </w:r>
    </w:p>
    <w:p>
      <w:pPr>
        <w:pStyle w:val="Heading3"/>
        <w:keepNext/>
        <w:keepLines/>
        <w:spacing w:before="240" w:after="120" w:line="269" w:lineRule="auto"/>
      </w:pPr>
      <w:r>
        <w:rPr>
          <w:color w:val="000000"/>
        </w:rPr>
        <w:t>What a publishable result should include</w:t>
      </w:r>
    </w:p>
    <w:p>
      <w:pPr>
        <w:pStyle w:val="Normal"/>
        <w:spacing w:before="0" w:after="50" w:line="250" w:lineRule="auto"/>
        <w:rPr/>
      </w:pPr>
      <w:r>
        <w:rPr>
          <w:rFonts w:ascii="Calibri" w:hAnsi="Calibri"/>
          <w:color w:val="000000"/>
          <w:sz w:val="20"/>
        </w:rPr>
        <w:t>The proposed reports should describe configuration, biological population, sampling, reference method, exclusions, missing data, uncertainty and failures. Data splits should respect biological and capture lineage. Where sharing is permitted, analysis definitions and appropriately protected data should support independent scrutiny.</w:t>
      </w:r>
    </w:p>
    <w:p>
      <w:pPr>
        <w:pStyle w:val="Normal"/>
        <w:spacing w:before="0" w:after="50" w:line="250" w:lineRule="auto"/>
        <w:rPr/>
      </w:pPr>
      <w:r>
        <w:rPr>
          <w:rFonts w:ascii="Calibri" w:hAnsi="Calibri"/>
          <w:color w:val="000000"/>
          <w:sz w:val="20"/>
        </w:rPr>
        <w:t>The programme should also measure practical consequences: review effort, instrument downtime, calibration burden and integration errors. A technically impressive measurement can have limited value if it creates an unreliable workflow. Original AMReye.AI evidence should therefore show both what the system measures and how that measurement supports a dependable laboratory process.</w:t>
      </w:r>
    </w:p>
    <w:p>
      <w:pPr>
        <w:pStyle w:val="Heading2"/>
        <w:keepNext/>
        <w:keepLines/>
      </w:pPr>
      <w:r>
        <w:rPr>
          <w:color w:val="000000"/>
        </w:rPr>
        <w:t>Evidence audit and product development implications</w:t>
      </w:r>
    </w:p>
    <w:p>
      <w:pPr>
        <w:spacing w:before="0" w:after="50" w:line="250" w:lineRule="auto"/>
      </w:pPr>
      <w:r>
        <w:rPr>
          <w:rFonts w:ascii="Calibri" w:hAnsi="Calibri"/>
          <w:sz w:val="20"/>
        </w:rPr>
        <w:t>The following research assessment distinguishes external evidence from project-specific validation. Findings and recommendations retain their source context; proposed studies and performance targets are not completed results.</w:t>
      </w:r>
    </w:p>
    <w:p>
      <w:pPr>
        <w:pStyle w:val="Normal"/>
        <w:spacing w:before="0" w:after="50" w:line="250" w:lineRule="auto"/>
        <w:rPr/>
      </w:pPr>
      <w:r>
        <w:rPr>
          <w:rFonts w:ascii="Calibri" w:hAnsi="Calibri"/>
          <w:b/>
          <w:color w:val="000000"/>
          <w:sz w:val="20"/>
        </w:rPr>
        <w:t>AMR-Eye should stop trying to win by being “the AI that measures inhibition zones” and should instead become an India-first, evidence-controlled, open-workflow digital AST platform whose core moat is traceable measurement + standards safety + human review + low-cost deployment + validation data.</w:t>
      </w:r>
    </w:p>
    <w:p>
      <w:pPr>
        <w:pStyle w:val="Normal"/>
        <w:spacing w:before="0" w:after="50" w:line="250" w:lineRule="auto"/>
        <w:rPr/>
      </w:pPr>
      <w:r>
        <w:rPr>
          <w:rFonts w:ascii="Calibri" w:hAnsi="Calibri"/>
          <w:color w:val="000000"/>
          <w:sz w:val="20"/>
        </w:rPr>
        <w:t>That change matters because automated disk-diffusion image analysis is no longer novel by itself. COPAN's Radian already automates Mueller-Hinton plate preparation/disc application, incubation, imaging, zone measurement and interpretation, and its WASPLab imaging stack explicitly uses telecentric imaging. BD Kiestra also occupies automated culture/imaging territory. Automated image-based zone reading is therefore a validated market category, not an uncontested invention space. [EA-4][EA-5][EA-6]</w:t>
      </w:r>
    </w:p>
    <w:p>
      <w:pPr>
        <w:pStyle w:val="Normal"/>
        <w:spacing w:before="0" w:after="50" w:line="250" w:lineRule="auto"/>
        <w:rPr/>
      </w:pPr>
      <w:r>
        <w:rPr>
          <w:rFonts w:ascii="Calibri" w:hAnsi="Calibri"/>
          <w:color w:val="000000"/>
          <w:sz w:val="20"/>
        </w:rPr>
        <w:t xml:space="preserve">This does </w:t>
      </w:r>
      <w:r>
        <w:rPr>
          <w:rFonts w:ascii="Calibri" w:hAnsi="Calibri"/>
          <w:b/>
          <w:color w:val="000000"/>
          <w:sz w:val="20"/>
        </w:rPr>
        <w:t>not</w:t>
      </w:r>
      <w:r>
        <w:rPr>
          <w:rFonts w:ascii="Calibri" w:hAnsi="Calibri"/>
          <w:color w:val="000000"/>
          <w:sz w:val="20"/>
        </w:rPr>
        <w:t xml:space="preserve"> weaken AMR-Eye. It actually gives the project a more credible strategy: take capabilities that exist in expensive laboratory-automation ecosystems and redesign the workflow around smaller Indian laboratories, conventional open disk-diffusion consumables, local/offline computation, transparent evidence, and a substantially lower cost structure; then prove that proposition experimentally rather than merely claiming it. This is an inference from the competitor landscape and AMR-Eye's existing architecture. [EA-4][EA-7][EA-8][EA-9]</w:t>
      </w:r>
    </w:p>
    <w:p>
      <w:pPr>
        <w:pStyle w:val="Normal"/>
        <w:spacing w:before="0" w:after="50" w:line="250" w:lineRule="auto"/>
        <w:rPr/>
      </w:pPr>
      <w:r>
        <w:rPr>
          <w:rFonts w:ascii="Calibri" w:hAnsi="Calibri"/>
          <w:color w:val="000000"/>
          <w:sz w:val="20"/>
        </w:rPr>
        <w:t xml:space="preserve">The project's immediate scientific target should also change from the broad statement </w:t>
      </w:r>
      <w:r>
        <w:rPr>
          <w:rFonts w:ascii="Calibri" w:hAnsi="Calibri"/>
          <w:b/>
          <w:color w:val="000000"/>
          <w:sz w:val="20"/>
        </w:rPr>
        <w:t>“6-hour AI AST”</w:t>
      </w:r>
      <w:r>
        <w:rPr>
          <w:rFonts w:ascii="Calibri" w:hAnsi="Calibri"/>
          <w:color w:val="000000"/>
          <w:sz w:val="20"/>
        </w:rPr>
        <w:t xml:space="preserve"> to two distinctly validated products:</w:t>
      </w:r>
    </w:p>
    <w:p>
      <w:pPr>
        <w:pStyle w:val="Normal"/>
        <w:spacing w:before="0" w:after="50" w:line="250" w:lineRule="auto"/>
        <w:rPr/>
      </w:pPr>
      <w:r>
        <w:rPr>
          <w:rFonts w:ascii="Calibri" w:hAnsi="Calibri"/>
          <w:b/>
          <w:color w:val="000000"/>
          <w:sz w:val="20"/>
        </w:rPr>
        <w:t>AMR-Eye Reader V1:</w:t>
      </w:r>
      <w:r>
        <w:rPr>
          <w:rFonts w:ascii="Calibri" w:hAnsi="Calibri"/>
          <w:color w:val="000000"/>
          <w:sz w:val="20"/>
        </w:rPr>
        <w:t xml:space="preserve"> automated endpoint disk-diffusion measurement and interpretation after standard incubation.</w:t>
      </w:r>
    </w:p>
    <w:p>
      <w:pPr>
        <w:pStyle w:val="Normal"/>
        <w:spacing w:before="0" w:after="50" w:line="250" w:lineRule="auto"/>
        <w:rPr/>
      </w:pPr>
      <w:r>
        <w:rPr>
          <w:rFonts w:ascii="Calibri" w:hAnsi="Calibri"/>
          <w:b/>
          <w:color w:val="000000"/>
          <w:sz w:val="20"/>
        </w:rPr>
        <w:t>AMR-Eye RAST V1.5:</w:t>
      </w:r>
      <w:r>
        <w:rPr>
          <w:rFonts w:ascii="Calibri" w:hAnsi="Calibri"/>
          <w:color w:val="000000"/>
          <w:sz w:val="20"/>
        </w:rPr>
        <w:t xml:space="preserve"> timepoint-specific rapid AST from appropriate workflows, particularly EUCAST RAST, where 4 h, 6 h, 8 h and later readings have their own rules, readability limits and breakpoints.</w:t>
      </w:r>
    </w:p>
    <w:p>
      <w:pPr>
        <w:pStyle w:val="Normal"/>
        <w:spacing w:before="0" w:after="50" w:line="250" w:lineRule="auto"/>
        <w:rPr/>
      </w:pPr>
      <w:r>
        <w:rPr>
          <w:rFonts w:ascii="Calibri" w:hAnsi="Calibri"/>
          <w:color w:val="000000"/>
          <w:sz w:val="20"/>
        </w:rPr>
        <w:t>The evidence strongly supports that distinction. A 2026 digital EUCAST RAST study found that readability changes substantially with time and organism: very early readings were often not interpretable, whereas later timepoints became progressively more usable. EUCAST itself publishes separate RAST breakpoint tables and methodology rather than instructing laboratories to apply ordinary endpoint breakpoints to early images. [EA-10][EA-11][EA-12]</w:t>
      </w:r>
    </w:p>
    <w:p>
      <w:pPr>
        <w:pStyle w:val="Normal"/>
        <w:spacing w:before="0" w:after="50" w:line="250" w:lineRule="auto"/>
        <w:rPr/>
      </w:pPr>
      <w:r>
        <w:rPr>
          <w:rFonts w:ascii="Calibri" w:hAnsi="Calibri"/>
          <w:color w:val="000000"/>
          <w:sz w:val="20"/>
        </w:rPr>
        <w:t xml:space="preserve">This is therefore a substantially better scientific story than “we reduce 48-72 hours to six hours”: </w:t>
      </w:r>
      <w:r>
        <w:rPr>
          <w:rFonts w:ascii="Calibri" w:hAnsi="Calibri"/>
          <w:b/>
          <w:color w:val="000000"/>
          <w:sz w:val="20"/>
        </w:rPr>
        <w:t>AMR-Eye will determine the earliest validated actionable timepoint for each supported organism-antimicrobial-method combination, and abstain when it cannot safely read the plate.</w:t>
      </w:r>
    </w:p>
    <w:p>
      <w:pPr>
        <w:pStyle w:val="Heading3"/>
        <w:keepNext/>
        <w:keepLines/>
        <w:spacing w:before="240" w:after="120" w:line="269" w:lineRule="auto"/>
      </w:pPr>
      <w:r>
        <w:rPr>
          <w:color w:val="000000"/>
        </w:rPr>
        <w:t>The technical architecture is coherent, but oversized for the first validated product</w:t>
      </w:r>
    </w:p>
    <w:p>
      <w:pPr>
        <w:pStyle w:val="Normal"/>
        <w:spacing w:before="0" w:after="50" w:line="250" w:lineRule="auto"/>
        <w:rPr/>
      </w:pPr>
      <w:r>
        <w:rPr>
          <w:rFonts w:ascii="Calibri" w:hAnsi="Calibri"/>
          <w:color w:val="000000"/>
          <w:sz w:val="20"/>
        </w:rPr>
        <w:t>The current concept contains:</w:t>
      </w:r>
    </w:p>
    <w:p>
      <w:pPr>
        <w:pStyle w:val="Normal"/>
        <w:spacing w:before="0" w:after="50" w:line="250" w:lineRule="auto"/>
        <w:rPr/>
      </w:pPr>
      <w:r>
        <w:rPr>
          <w:rFonts w:ascii="Calibri" w:hAnsi="Calibri"/>
          <w:color w:val="000000"/>
          <w:sz w:val="20"/>
        </w:rPr>
        <w:t xml:space="preserve">a </w:t>
      </w:r>
      <w:r>
        <w:rPr>
          <w:rFonts w:ascii="Calibri" w:hAnsi="Calibri"/>
          <w:b/>
          <w:color w:val="000000"/>
          <w:sz w:val="20"/>
        </w:rPr>
        <w:t>REFLEX</w:t>
      </w:r>
      <w:r>
        <w:rPr>
          <w:rFonts w:ascii="Calibri" w:hAnsi="Calibri"/>
          <w:color w:val="000000"/>
          <w:sz w:val="20"/>
        </w:rPr>
        <w:t xml:space="preserve"> layer for deterministic STM32/FreeRTOS hardware control and safety;</w:t>
      </w:r>
    </w:p>
    <w:p>
      <w:pPr>
        <w:pStyle w:val="Normal"/>
        <w:spacing w:before="0" w:after="50" w:line="250" w:lineRule="auto"/>
        <w:rPr/>
      </w:pPr>
      <w:r>
        <w:rPr>
          <w:rFonts w:ascii="Calibri" w:hAnsi="Calibri"/>
          <w:color w:val="000000"/>
          <w:sz w:val="20"/>
        </w:rPr>
        <w:t xml:space="preserve">an </w:t>
      </w:r>
      <w:r>
        <w:rPr>
          <w:rFonts w:ascii="Calibri" w:hAnsi="Calibri"/>
          <w:b/>
          <w:color w:val="000000"/>
          <w:sz w:val="20"/>
        </w:rPr>
        <w:t>INTERFACE/BAHU</w:t>
      </w:r>
      <w:r>
        <w:rPr>
          <w:rFonts w:ascii="Calibri" w:hAnsi="Calibri"/>
          <w:color w:val="000000"/>
          <w:sz w:val="20"/>
        </w:rPr>
        <w:t xml:space="preserve"> layer for user workflow, plate records and review;</w:t>
      </w:r>
    </w:p>
    <w:p>
      <w:pPr>
        <w:pStyle w:val="Normal"/>
        <w:spacing w:before="0" w:after="50" w:line="250" w:lineRule="auto"/>
        <w:rPr/>
      </w:pPr>
      <w:r>
        <w:rPr>
          <w:rFonts w:ascii="Calibri" w:hAnsi="Calibri"/>
          <w:color w:val="000000"/>
          <w:sz w:val="20"/>
        </w:rPr>
        <w:t xml:space="preserve">a </w:t>
      </w:r>
      <w:r>
        <w:rPr>
          <w:rFonts w:ascii="Calibri" w:hAnsi="Calibri"/>
          <w:b/>
          <w:color w:val="000000"/>
          <w:sz w:val="20"/>
        </w:rPr>
        <w:t>CORTEX</w:t>
      </w:r>
      <w:r>
        <w:rPr>
          <w:rFonts w:ascii="Calibri" w:hAnsi="Calibri"/>
          <w:color w:val="000000"/>
          <w:sz w:val="20"/>
        </w:rPr>
        <w:t xml:space="preserve"> layer for edge computer vision, measurement, QC and standards logic;</w:t>
      </w:r>
    </w:p>
    <w:p>
      <w:pPr>
        <w:pStyle w:val="Normal"/>
        <w:spacing w:before="0" w:after="50" w:line="250" w:lineRule="auto"/>
        <w:rPr/>
      </w:pPr>
      <w:r>
        <w:rPr>
          <w:rFonts w:ascii="Calibri" w:hAnsi="Calibri"/>
          <w:color w:val="000000"/>
          <w:sz w:val="20"/>
        </w:rPr>
        <w:t xml:space="preserve">a future </w:t>
      </w:r>
      <w:r>
        <w:rPr>
          <w:rFonts w:ascii="Calibri" w:hAnsi="Calibri"/>
          <w:b/>
          <w:color w:val="000000"/>
          <w:sz w:val="20"/>
        </w:rPr>
        <w:t>HIVE</w:t>
      </w:r>
      <w:r>
        <w:rPr>
          <w:rFonts w:ascii="Calibri" w:hAnsi="Calibri"/>
          <w:color w:val="000000"/>
          <w:sz w:val="20"/>
        </w:rPr>
        <w:t xml:space="preserve"> layer for cloud/fleet analytics and interoperability;</w:t>
      </w:r>
    </w:p>
    <w:p>
      <w:pPr>
        <w:pStyle w:val="Normal"/>
        <w:spacing w:before="0" w:after="50" w:line="250" w:lineRule="auto"/>
        <w:rPr/>
      </w:pPr>
      <w:r>
        <w:rPr>
          <w:rFonts w:ascii="Calibri" w:hAnsi="Calibri"/>
          <w:color w:val="000000"/>
          <w:sz w:val="20"/>
        </w:rPr>
        <w:t>an integrated Bio-Vault incubation environment;</w:t>
      </w:r>
    </w:p>
    <w:p>
      <w:pPr>
        <w:pStyle w:val="Normal"/>
        <w:spacing w:before="0" w:after="50" w:line="250" w:lineRule="auto"/>
        <w:rPr/>
      </w:pPr>
      <w:r>
        <w:rPr>
          <w:rFonts w:ascii="Calibri" w:hAnsi="Calibri"/>
          <w:color w:val="000000"/>
          <w:sz w:val="20"/>
        </w:rPr>
        <w:t>telecentric optical metrology;</w:t>
      </w:r>
    </w:p>
    <w:p>
      <w:pPr>
        <w:pStyle w:val="Normal"/>
        <w:spacing w:before="0" w:after="50" w:line="250" w:lineRule="auto"/>
        <w:rPr/>
      </w:pPr>
      <w:r>
        <w:rPr>
          <w:rFonts w:ascii="Calibri" w:hAnsi="Calibri"/>
          <w:color w:val="000000"/>
          <w:sz w:val="20"/>
        </w:rPr>
        <w:t>RGB/NIR imaging;</w:t>
      </w:r>
    </w:p>
    <w:p>
      <w:pPr>
        <w:pStyle w:val="Normal"/>
        <w:spacing w:before="0" w:after="50" w:line="250" w:lineRule="auto"/>
        <w:rPr/>
      </w:pPr>
      <w:r>
        <w:rPr>
          <w:rFonts w:ascii="Calibri" w:hAnsi="Calibri"/>
          <w:color w:val="000000"/>
          <w:sz w:val="20"/>
        </w:rPr>
        <w:t>Jetson + Raspberry Pi computation;</w:t>
      </w:r>
    </w:p>
    <w:p>
      <w:pPr>
        <w:pStyle w:val="Normal"/>
        <w:spacing w:before="0" w:after="50" w:line="250" w:lineRule="auto"/>
        <w:rPr/>
      </w:pPr>
      <w:r>
        <w:rPr>
          <w:rFonts w:ascii="Calibri" w:hAnsi="Calibri"/>
          <w:color w:val="000000"/>
          <w:sz w:val="20"/>
        </w:rPr>
        <w:t>exploratory VOC, ToF and load-cell sensing.</w:t>
      </w:r>
    </w:p>
    <w:p>
      <w:pPr>
        <w:pStyle w:val="Normal"/>
        <w:spacing w:before="0" w:after="50" w:line="250" w:lineRule="auto"/>
        <w:rPr/>
      </w:pPr>
      <w:r>
        <w:rPr>
          <w:rFonts w:ascii="Calibri" w:hAnsi="Calibri"/>
          <w:color w:val="000000"/>
          <w:sz w:val="20"/>
        </w:rPr>
        <w:t>The architecture is internally sensible. The mistake would be trying to prove all of it simultaneously.</w:t>
      </w:r>
    </w:p>
    <w:p>
      <w:pPr>
        <w:pStyle w:val="Normal"/>
        <w:spacing w:before="0" w:after="50" w:line="250" w:lineRule="auto"/>
        <w:rPr/>
      </w:pPr>
      <w:r>
        <w:rPr>
          <w:rFonts w:ascii="Calibri" w:hAnsi="Calibri"/>
          <w:color w:val="000000"/>
          <w:sz w:val="20"/>
        </w:rPr>
        <w:t>For V1, the minimum clinically meaningful pipeline is:</w:t>
      </w:r>
    </w:p>
    <w:p>
      <w:pPr>
        <w:pStyle w:val="Normal"/>
        <w:spacing w:before="0" w:after="50" w:line="250" w:lineRule="auto"/>
        <w:rPr/>
      </w:pPr>
      <w:r>
        <w:rPr>
          <w:rFonts w:ascii="Calibri" w:hAnsi="Calibri"/>
          <w:b/>
          <w:color w:val="000000"/>
          <w:sz w:val="20"/>
        </w:rPr>
        <w:t>plate → controlled image → image QC → disk detection → zone-boundary detection → calibrated diameter → standards lookup → QC/abstention → microbiologist review → signed result record.</w:t>
      </w:r>
    </w:p>
    <w:p>
      <w:pPr>
        <w:pStyle w:val="Normal"/>
        <w:spacing w:before="0" w:after="50" w:line="250" w:lineRule="auto"/>
        <w:rPr/>
      </w:pPr>
      <w:r>
        <w:rPr>
          <w:rFonts w:ascii="Calibri" w:hAnsi="Calibri"/>
          <w:color w:val="000000"/>
          <w:sz w:val="20"/>
        </w:rPr>
        <w:t>That is enough to create a valuable product and enough to generate the dataset required for later rapid AST, multimodal prediction and automation.</w:t>
      </w:r>
    </w:p>
    <w:p>
      <w:pPr>
        <w:pStyle w:val="Heading3"/>
        <w:keepNext/>
        <w:keepLines/>
        <w:spacing w:before="240" w:after="120" w:line="269" w:lineRule="auto"/>
      </w:pPr>
      <w:r>
        <w:rPr>
          <w:color w:val="000000"/>
        </w:rPr>
        <w:t>What the new external evidence changes</w:t>
      </w:r>
    </w:p>
    <w:p>
      <w:pPr>
        <w:pStyle w:val="Heading3"/>
        <w:keepNext/>
        <w:keepLines/>
        <w:spacing w:before="240" w:after="120" w:line="269" w:lineRule="auto"/>
      </w:pPr>
      <w:r>
        <w:rPr>
          <w:color w:val="000000"/>
        </w:rPr>
        <w:t>AMR burden and interpretation of the evidence</w:t>
      </w:r>
    </w:p>
    <w:p>
      <w:pPr>
        <w:pStyle w:val="Normal"/>
        <w:spacing w:before="0" w:after="50" w:line="250" w:lineRule="auto"/>
        <w:rPr/>
      </w:pPr>
      <w:r>
        <w:rPr>
          <w:rFonts w:ascii="Calibri" w:hAnsi="Calibri"/>
          <w:color w:val="000000"/>
          <w:sz w:val="20"/>
        </w:rPr>
        <w:t>The old “10 million deaths annually by 2050” framing should be retired as the headline statistic.</w:t>
      </w:r>
    </w:p>
    <w:p>
      <w:pPr>
        <w:pStyle w:val="Normal"/>
        <w:spacing w:before="0" w:after="50" w:line="250" w:lineRule="auto"/>
        <w:rPr/>
      </w:pPr>
      <w:r>
        <w:rPr>
          <w:rFonts w:ascii="Calibri" w:hAnsi="Calibri"/>
          <w:color w:val="000000"/>
          <w:sz w:val="20"/>
        </w:rPr>
        <w:t xml:space="preserve">The major 2024 Lancet global-burden analysis estimated that bacterial AMR was associated with about </w:t>
      </w:r>
      <w:r>
        <w:rPr>
          <w:rFonts w:ascii="Calibri" w:hAnsi="Calibri"/>
          <w:b/>
          <w:color w:val="000000"/>
          <w:sz w:val="20"/>
        </w:rPr>
        <w:t>4.71 million deaths in 2021</w:t>
      </w:r>
      <w:r>
        <w:rPr>
          <w:rFonts w:ascii="Calibri" w:hAnsi="Calibri"/>
          <w:color w:val="000000"/>
          <w:sz w:val="20"/>
        </w:rPr>
        <w:t xml:space="preserve">, of which about </w:t>
      </w:r>
      <w:r>
        <w:rPr>
          <w:rFonts w:ascii="Calibri" w:hAnsi="Calibri"/>
          <w:b/>
          <w:color w:val="000000"/>
          <w:sz w:val="20"/>
        </w:rPr>
        <w:t>1.14 million were attributable to bacterial AMR</w:t>
      </w:r>
      <w:r>
        <w:rPr>
          <w:rFonts w:ascii="Calibri" w:hAnsi="Calibri"/>
          <w:color w:val="000000"/>
          <w:sz w:val="20"/>
        </w:rPr>
        <w:t xml:space="preserve">. Its reference forecast estimated approximately </w:t>
      </w:r>
      <w:r>
        <w:rPr>
          <w:rFonts w:ascii="Calibri" w:hAnsi="Calibri"/>
          <w:b/>
          <w:color w:val="000000"/>
          <w:sz w:val="20"/>
        </w:rPr>
        <w:t>1.91 million attributable AMR deaths in 2050</w:t>
      </w:r>
      <w:r>
        <w:rPr>
          <w:rFonts w:ascii="Calibri" w:hAnsi="Calibri"/>
          <w:color w:val="000000"/>
          <w:sz w:val="20"/>
        </w:rPr>
        <w:t xml:space="preserve">, with about </w:t>
      </w:r>
      <w:r>
        <w:rPr>
          <w:rFonts w:ascii="Calibri" w:hAnsi="Calibri"/>
          <w:b/>
          <w:color w:val="000000"/>
          <w:sz w:val="20"/>
        </w:rPr>
        <w:t>8.22 million deaths associated with AMR</w:t>
      </w:r>
      <w:r>
        <w:rPr>
          <w:rFonts w:ascii="Calibri" w:hAnsi="Calibri"/>
          <w:color w:val="000000"/>
          <w:sz w:val="20"/>
        </w:rPr>
        <w:t xml:space="preserve"> that year. [EA-17]</w:t>
      </w:r>
    </w:p>
    <w:p>
      <w:pPr>
        <w:pStyle w:val="Normal"/>
        <w:spacing w:before="0" w:after="50" w:line="250" w:lineRule="auto"/>
        <w:rPr/>
      </w:pPr>
      <w:r>
        <w:rPr>
          <w:rFonts w:ascii="Calibri" w:hAnsi="Calibri"/>
          <w:color w:val="000000"/>
          <w:sz w:val="20"/>
        </w:rPr>
        <w:t xml:space="preserve">WHO's updated AMR materials report that roughly </w:t>
      </w:r>
      <w:r>
        <w:rPr>
          <w:rFonts w:ascii="Calibri" w:hAnsi="Calibri"/>
          <w:b/>
          <w:color w:val="000000"/>
          <w:sz w:val="20"/>
        </w:rPr>
        <w:t>one in six laboratory-confirmed bacterial infections causing common infections worldwide in 2023 was resistant to antibiotic treatment</w:t>
      </w:r>
      <w:r>
        <w:rPr>
          <w:rFonts w:ascii="Calibri" w:hAnsi="Calibri"/>
          <w:color w:val="000000"/>
          <w:sz w:val="20"/>
        </w:rPr>
        <w:t>, with substantial regional inequalities and major surveillance gaps. [EA-18][EA-19]</w:t>
      </w:r>
    </w:p>
    <w:p>
      <w:pPr>
        <w:pStyle w:val="Normal"/>
        <w:spacing w:before="0" w:after="50" w:line="250" w:lineRule="auto"/>
        <w:rPr/>
      </w:pPr>
      <w:r>
        <w:rPr>
          <w:rFonts w:ascii="Calibri" w:hAnsi="Calibri"/>
          <w:color w:val="000000"/>
          <w:sz w:val="20"/>
        </w:rPr>
        <w:t>That gives AMR-Eye a better and more defensible opening:</w:t>
      </w:r>
    </w:p>
    <w:p>
      <w:pPr>
        <w:pStyle w:val="Normal"/>
        <w:spacing w:before="0" w:after="50" w:line="250" w:lineRule="auto"/>
        <w:rPr/>
      </w:pPr>
      <w:r>
        <w:rPr>
          <w:rFonts w:ascii="Calibri" w:hAnsi="Calibri"/>
          <w:color w:val="000000"/>
          <w:sz w:val="20"/>
        </w:rPr>
        <w:t>“</w:t>
      </w:r>
      <w:r>
        <w:rPr>
          <w:rFonts w:ascii="Calibri" w:hAnsi="Calibri"/>
          <w:color w:val="000000"/>
          <w:sz w:val="20"/>
        </w:rPr>
        <w:t>Antimicrobial resistance already contributes to a massive global mortality burden, while the world still lacks sufficient access to high-quality diagnostic and susceptibility data.”</w:t>
      </w:r>
    </w:p>
    <w:p>
      <w:pPr>
        <w:pStyle w:val="Normal"/>
        <w:spacing w:before="0" w:after="50" w:line="250" w:lineRule="auto"/>
        <w:rPr/>
      </w:pPr>
      <w:r>
        <w:rPr>
          <w:rFonts w:ascii="Calibri" w:hAnsi="Calibri"/>
          <w:color w:val="000000"/>
          <w:sz w:val="20"/>
        </w:rPr>
        <w:t>This connects directly to AMR-Eye without exaggeration.</w:t>
      </w:r>
    </w:p>
    <w:p>
      <w:pPr>
        <w:pStyle w:val="Heading3"/>
        <w:keepNext/>
        <w:keepLines/>
        <w:spacing w:before="240" w:after="120" w:line="269" w:lineRule="auto"/>
      </w:pPr>
      <w:r>
        <w:rPr>
          <w:color w:val="000000"/>
        </w:rPr>
        <w:t>WHO's pathogen priorities tell you what to validate first</w:t>
      </w:r>
    </w:p>
    <w:p>
      <w:pPr>
        <w:pStyle w:val="Normal"/>
        <w:spacing w:before="0" w:after="50" w:line="250" w:lineRule="auto"/>
        <w:rPr/>
      </w:pPr>
      <w:r>
        <w:rPr>
          <w:rFonts w:ascii="Calibri" w:hAnsi="Calibri"/>
          <w:color w:val="000000"/>
          <w:sz w:val="20"/>
        </w:rPr>
        <w:t xml:space="preserve">WHO's 2024 Bacterial Priority Pathogens List places carbapenem-resistant </w:t>
      </w:r>
      <w:r>
        <w:rPr>
          <w:rFonts w:ascii="Calibri" w:hAnsi="Calibri"/>
          <w:i/>
          <w:color w:val="000000"/>
          <w:sz w:val="20"/>
        </w:rPr>
        <w:t>Acinetobacter baumannii</w:t>
      </w:r>
      <w:r>
        <w:rPr>
          <w:rFonts w:ascii="Calibri" w:hAnsi="Calibri"/>
          <w:color w:val="000000"/>
          <w:sz w:val="20"/>
        </w:rPr>
        <w:t xml:space="preserve">, third-generation-cephalosporin-resistant and carbapenem-resistant Enterobacterales among critical priorities, with </w:t>
      </w:r>
      <w:r>
        <w:rPr>
          <w:rFonts w:ascii="Calibri" w:hAnsi="Calibri"/>
          <w:i/>
          <w:color w:val="000000"/>
          <w:sz w:val="20"/>
        </w:rPr>
        <w:t>Pseudomonas aeruginosa</w:t>
      </w:r>
      <w:r>
        <w:rPr>
          <w:rFonts w:ascii="Calibri" w:hAnsi="Calibri"/>
          <w:color w:val="000000"/>
          <w:sz w:val="20"/>
        </w:rPr>
        <w:t>, MRSA, resistant enterococci and several other organisms in high-priority categories. [EA-20]</w:t>
      </w:r>
    </w:p>
    <w:p>
      <w:pPr>
        <w:pStyle w:val="Normal"/>
        <w:spacing w:before="0" w:after="50" w:line="250" w:lineRule="auto"/>
        <w:rPr/>
      </w:pPr>
      <w:r>
        <w:rPr>
          <w:rFonts w:ascii="Calibri" w:hAnsi="Calibri"/>
          <w:color w:val="000000"/>
          <w:sz w:val="20"/>
        </w:rPr>
        <w:t>For AMR-Eye, that suggests a staged panel rather than an indiscriminate “all bacteria” dataset.</w:t>
      </w:r>
    </w:p>
    <w:p>
      <w:pPr>
        <w:pStyle w:val="Normal"/>
        <w:spacing w:before="0" w:after="50" w:line="250" w:lineRule="auto"/>
        <w:rPr/>
      </w:pPr>
      <w:r>
        <w:rPr>
          <w:rFonts w:ascii="Calibri" w:hAnsi="Calibri"/>
          <w:color w:val="000000"/>
          <w:sz w:val="20"/>
        </w:rPr>
        <w:t>A practical early Gram-negative validation set is:</w:t>
      </w:r>
    </w:p>
    <w:p>
      <w:pPr>
        <w:pStyle w:val="Normal"/>
        <w:keepNext/>
        <w:spacing w:before="0" w:after="50" w:line="250" w:lineRule="auto"/>
        <w:rPr/>
      </w:pPr>
      <w:r>
        <w:rPr>
          <w:rFonts w:ascii="Calibri" w:hAnsi="Calibri"/>
          <w:b/>
          <w:color w:val="000000"/>
          <w:sz w:val="20"/>
        </w:rPr>
        <w:t>E. coli → K. pneumoniae → P. aeruginosa → A. baumannii</w:t>
      </w:r>
    </w:p>
    <w:p>
      <w:pPr>
        <w:pStyle w:val="Normal"/>
        <w:spacing w:before="0" w:after="50" w:line="250" w:lineRule="auto"/>
        <w:rPr/>
      </w:pPr>
      <w:r>
        <w:rPr>
          <w:rFonts w:ascii="Calibri" w:hAnsi="Calibri"/>
          <w:color w:val="000000"/>
          <w:sz w:val="20"/>
        </w:rPr>
        <w:t>with a Gram-positive extension:</w:t>
      </w:r>
    </w:p>
    <w:p>
      <w:pPr>
        <w:pStyle w:val="Normal"/>
        <w:spacing w:before="0" w:after="50" w:line="250" w:lineRule="auto"/>
        <w:rPr/>
      </w:pPr>
      <w:r>
        <w:rPr>
          <w:rFonts w:ascii="Calibri" w:hAnsi="Calibri"/>
          <w:b/>
          <w:color w:val="000000"/>
          <w:sz w:val="20"/>
        </w:rPr>
        <w:t>S. aureus → E. faecalis/E. faecium</w:t>
      </w:r>
      <w:r>
        <w:rPr>
          <w:rFonts w:ascii="Calibri" w:hAnsi="Calibri"/>
          <w:color w:val="000000"/>
          <w:sz w:val="20"/>
        </w:rPr>
        <w:t>.</w:t>
      </w:r>
    </w:p>
    <w:p>
      <w:pPr>
        <w:pStyle w:val="Normal"/>
        <w:spacing w:before="0" w:after="50" w:line="250" w:lineRule="auto"/>
        <w:rPr/>
      </w:pPr>
      <w:r>
        <w:rPr>
          <w:rFonts w:ascii="Calibri" w:hAnsi="Calibri"/>
          <w:color w:val="000000"/>
          <w:sz w:val="20"/>
        </w:rPr>
        <w:t>This selection also overlaps meaningfully with species appearing in EUCAST's RAST ecosystem. [EA-11][EA-12]</w:t>
      </w:r>
    </w:p>
    <w:p>
      <w:pPr>
        <w:pStyle w:val="Normal"/>
        <w:spacing w:before="0" w:after="50" w:line="250" w:lineRule="auto"/>
        <w:rPr/>
      </w:pPr>
      <w:r>
        <w:rPr>
          <w:rFonts w:ascii="Calibri" w:hAnsi="Calibri"/>
          <w:color w:val="000000"/>
          <w:sz w:val="20"/>
        </w:rPr>
        <w:t xml:space="preserve">Tuberculosis, gonorrhoea and other organisms requiring materially different susceptibility workflows should </w:t>
      </w:r>
      <w:r>
        <w:rPr>
          <w:rFonts w:ascii="Calibri" w:hAnsi="Calibri"/>
          <w:b/>
          <w:color w:val="000000"/>
          <w:sz w:val="20"/>
        </w:rPr>
        <w:t>not</w:t>
      </w:r>
      <w:r>
        <w:rPr>
          <w:rFonts w:ascii="Calibri" w:hAnsi="Calibri"/>
          <w:color w:val="000000"/>
          <w:sz w:val="20"/>
        </w:rPr>
        <w:t xml:space="preserve"> be squeezed into the same V1 just because they appear on global priority lists.</w:t>
      </w:r>
    </w:p>
    <w:p>
      <w:pPr>
        <w:pStyle w:val="Heading3"/>
        <w:keepNext/>
        <w:keepLines/>
        <w:spacing w:before="240" w:after="120" w:line="269" w:lineRule="auto"/>
      </w:pPr>
      <w:r>
        <w:rPr>
          <w:color w:val="000000"/>
        </w:rPr>
        <w:t>Computer vision evidence and validation requirements</w:t>
      </w:r>
    </w:p>
    <w:p>
      <w:pPr>
        <w:pStyle w:val="Normal"/>
        <w:spacing w:before="0" w:after="50" w:line="250" w:lineRule="auto"/>
        <w:rPr/>
      </w:pPr>
      <w:r>
        <w:rPr>
          <w:rFonts w:ascii="Calibri" w:hAnsi="Calibri"/>
          <w:color w:val="000000"/>
          <w:sz w:val="20"/>
        </w:rPr>
        <w:t xml:space="preserve">A 2026 Frontiers in Microbiology study using YOLO11n for automated disk-diffusion analysis reported </w:t>
      </w:r>
      <w:r>
        <w:rPr>
          <w:rFonts w:ascii="Calibri" w:hAnsi="Calibri"/>
          <w:b/>
          <w:color w:val="000000"/>
          <w:sz w:val="20"/>
        </w:rPr>
        <w:t>94.2% categorical agreement, 1.2% very-major errors, 1.8% major errors and 0.42 mm mean absolute zone-diameter error</w:t>
      </w:r>
      <w:r>
        <w:rPr>
          <w:rFonts w:ascii="Calibri" w:hAnsi="Calibri"/>
          <w:color w:val="000000"/>
          <w:sz w:val="20"/>
        </w:rPr>
        <w:t xml:space="preserve"> under its own study conditions. Those are external benchmark values, not AMR-Eye results. [EA-21]</w:t>
      </w:r>
    </w:p>
    <w:p>
      <w:pPr>
        <w:pStyle w:val="Normal"/>
        <w:spacing w:before="0" w:after="50" w:line="250" w:lineRule="auto"/>
        <w:rPr/>
      </w:pPr>
      <w:r>
        <w:rPr>
          <w:rFonts w:ascii="Calibri" w:hAnsi="Calibri"/>
          <w:color w:val="000000"/>
          <w:sz w:val="20"/>
        </w:rPr>
        <w:t>That has two implications.</w:t>
      </w:r>
    </w:p>
    <w:p>
      <w:pPr>
        <w:pStyle w:val="Normal"/>
        <w:spacing w:before="0" w:after="50" w:line="250" w:lineRule="auto"/>
        <w:rPr/>
      </w:pPr>
      <w:r>
        <w:rPr>
          <w:rFonts w:ascii="Calibri" w:hAnsi="Calibri"/>
          <w:color w:val="000000"/>
          <w:sz w:val="20"/>
        </w:rPr>
        <w:t>The endpoint measurement concept has scientific precedent.</w:t>
      </w:r>
    </w:p>
    <w:p>
      <w:pPr>
        <w:pStyle w:val="Normal"/>
        <w:spacing w:before="0" w:after="50" w:line="250" w:lineRule="auto"/>
        <w:rPr/>
      </w:pPr>
      <w:r>
        <w:rPr>
          <w:rFonts w:ascii="Calibri" w:hAnsi="Calibri"/>
          <w:color w:val="000000"/>
          <w:sz w:val="20"/>
        </w:rPr>
        <w:t xml:space="preserve">Second, a future AMR-Eye paper saying merely “YOLO detects inhibition zones at high mAP” will not be enough. The competitive benchmark has moved to </w:t>
      </w:r>
      <w:r>
        <w:rPr>
          <w:rFonts w:ascii="Calibri" w:hAnsi="Calibri"/>
          <w:b/>
          <w:color w:val="000000"/>
          <w:sz w:val="20"/>
        </w:rPr>
        <w:t>millimetre-level metrology plus clinically meaningful categorical agreement and error analysis</w:t>
      </w:r>
      <w:r>
        <w:rPr>
          <w:rFonts w:ascii="Calibri" w:hAnsi="Calibri"/>
          <w:color w:val="000000"/>
          <w:sz w:val="20"/>
        </w:rPr>
        <w:t>.</w:t>
      </w:r>
    </w:p>
    <w:p>
      <w:pPr>
        <w:pStyle w:val="Normal"/>
        <w:spacing w:before="0" w:after="50" w:line="250" w:lineRule="auto"/>
        <w:rPr/>
      </w:pPr>
      <w:r>
        <w:rPr>
          <w:rFonts w:ascii="Calibri" w:hAnsi="Calibri"/>
          <w:color w:val="000000"/>
          <w:sz w:val="20"/>
        </w:rPr>
        <w:t>The model objective should not be:</w:t>
      </w:r>
    </w:p>
    <w:p>
      <w:pPr>
        <w:pStyle w:val="Normal"/>
        <w:spacing w:before="0" w:after="50" w:line="250" w:lineRule="auto"/>
        <w:rPr/>
      </w:pPr>
      <w:r>
        <w:rPr>
          <w:rFonts w:ascii="Calibri" w:hAnsi="Calibri"/>
          <w:color w:val="000000"/>
          <w:sz w:val="20"/>
        </w:rPr>
        <w:t>maximise mAP.</w:t>
      </w:r>
    </w:p>
    <w:p>
      <w:pPr>
        <w:pStyle w:val="Normal"/>
        <w:spacing w:before="0" w:after="50" w:line="250" w:lineRule="auto"/>
        <w:rPr/>
      </w:pPr>
      <w:r>
        <w:rPr>
          <w:rFonts w:ascii="Calibri" w:hAnsi="Calibri"/>
          <w:color w:val="000000"/>
          <w:sz w:val="20"/>
        </w:rPr>
        <w:t>It should be:</w:t>
      </w:r>
    </w:p>
    <w:p>
      <w:pPr>
        <w:pStyle w:val="Normal"/>
        <w:spacing w:before="0" w:after="50" w:line="250" w:lineRule="auto"/>
        <w:rPr/>
      </w:pPr>
      <w:r>
        <w:rPr>
          <w:rFonts w:ascii="Calibri" w:hAnsi="Calibri"/>
          <w:color w:val="000000"/>
          <w:sz w:val="20"/>
        </w:rPr>
        <w:t>minimise clinically consequential measurement error while maximising validated readability and safely abstaining on cases that cannot be interpreted.</w:t>
      </w:r>
    </w:p>
    <w:p>
      <w:pPr>
        <w:pStyle w:val="Heading3"/>
        <w:keepNext/>
        <w:keepLines/>
        <w:spacing w:before="240" w:after="120" w:line="269" w:lineRule="auto"/>
      </w:pPr>
      <w:r>
        <w:rPr>
          <w:color w:val="000000"/>
        </w:rPr>
        <w:t>Rapid AST should be reframed around “time to first safe actionable result”</w:t>
      </w:r>
    </w:p>
    <w:p>
      <w:pPr>
        <w:pStyle w:val="Normal"/>
        <w:spacing w:before="0" w:after="50" w:line="250" w:lineRule="auto"/>
        <w:rPr/>
      </w:pPr>
      <w:r>
        <w:rPr>
          <w:rFonts w:ascii="Calibri" w:hAnsi="Calibri"/>
          <w:color w:val="000000"/>
          <w:sz w:val="20"/>
        </w:rPr>
        <w:t>The 2026 automated digital RAST study is one of the most important pieces of evidence for AMR-Eye. It demonstrated that early plate readability is not binary: different organisms and timepoints become interpretable at different rates, and some antibiotic/organism combinations remain problematic at early timepoints. [EA-10]</w:t>
      </w:r>
    </w:p>
    <w:p>
      <w:pPr>
        <w:pStyle w:val="Normal"/>
        <w:spacing w:before="0" w:after="50" w:line="250" w:lineRule="auto"/>
        <w:rPr/>
      </w:pPr>
      <w:r>
        <w:rPr>
          <w:rFonts w:ascii="Calibri" w:hAnsi="Calibri"/>
          <w:color w:val="000000"/>
          <w:sz w:val="20"/>
        </w:rPr>
        <w:t>EUCAST consequently has separate 2026 RAST methodology, quality-control material and breakpoint tables, including defined early reading times. [EA-11][EA-12]</w:t>
      </w:r>
    </w:p>
    <w:p>
      <w:pPr>
        <w:pStyle w:val="Normal"/>
        <w:spacing w:before="0" w:after="50" w:line="250" w:lineRule="auto"/>
        <w:rPr/>
      </w:pPr>
      <w:r>
        <w:rPr>
          <w:rFonts w:ascii="Calibri" w:hAnsi="Calibri"/>
          <w:color w:val="000000"/>
          <w:sz w:val="20"/>
        </w:rPr>
        <w:t>Therefore the scientifically superior future AMR-Eye metric is:</w:t>
      </w:r>
    </w:p>
    <w:p>
      <w:pPr>
        <w:pStyle w:val="Normal"/>
        <w:keepNext/>
        <w:spacing w:before="0" w:after="50" w:line="250" w:lineRule="auto"/>
        <w:rPr/>
      </w:pPr>
      <w:r>
        <w:rPr>
          <w:rFonts w:ascii="Calibri" w:hAnsi="Calibri"/>
          <w:b/>
          <w:color w:val="000000"/>
          <w:sz w:val="20"/>
        </w:rPr>
        <w:t>TTFAR = Time To First Actionable Result</w:t>
      </w:r>
    </w:p>
    <w:p>
      <w:pPr>
        <w:pStyle w:val="Normal"/>
        <w:spacing w:before="0" w:after="50" w:line="250" w:lineRule="auto"/>
        <w:rPr/>
      </w:pPr>
      <w:r>
        <w:rPr>
          <w:rFonts w:ascii="Calibri" w:hAnsi="Calibri"/>
          <w:color w:val="000000"/>
          <w:sz w:val="20"/>
        </w:rPr>
        <w:t>For every supported bug-drug combination:</w:t>
      </w:r>
    </w:p>
    <w:p>
      <w:pPr>
        <w:pStyle w:val="Normal"/>
        <w:spacing w:before="0" w:after="50" w:line="250" w:lineRule="auto"/>
        <w:rPr/>
      </w:pPr>
      <w:r>
        <w:rPr>
          <w:rFonts w:ascii="Calibri" w:hAnsi="Calibri"/>
          <w:color w:val="000000"/>
          <w:sz w:val="20"/>
        </w:rPr>
        <w:t>4 h image → readable? → valid RAST rule? → S/R/ATU or ABSTAIN</w:t>
      </w:r>
    </w:p>
    <w:p>
      <w:pPr>
        <w:pStyle w:val="Normal"/>
        <w:spacing w:before="0" w:after="50" w:line="250" w:lineRule="auto"/>
        <w:rPr/>
      </w:pPr>
      <w:r>
        <w:rPr>
          <w:rFonts w:ascii="Calibri" w:hAnsi="Calibri"/>
          <w:color w:val="000000"/>
          <w:sz w:val="20"/>
        </w:rPr>
        <w:t>6 h image → repeat</w:t>
      </w:r>
    </w:p>
    <w:p>
      <w:pPr>
        <w:pStyle w:val="Normal"/>
        <w:spacing w:before="0" w:after="50" w:line="250" w:lineRule="auto"/>
        <w:rPr/>
      </w:pPr>
      <w:r>
        <w:rPr>
          <w:rFonts w:ascii="Calibri" w:hAnsi="Calibri"/>
          <w:color w:val="000000"/>
          <w:sz w:val="20"/>
        </w:rPr>
        <w:t>8 h image → repeat</w:t>
      </w:r>
    </w:p>
    <w:p>
      <w:pPr>
        <w:pStyle w:val="Normal"/>
        <w:spacing w:before="0" w:after="50" w:line="250" w:lineRule="auto"/>
        <w:rPr/>
      </w:pPr>
      <w:r>
        <w:rPr>
          <w:rFonts w:ascii="Calibri" w:hAnsi="Calibri"/>
          <w:color w:val="000000"/>
          <w:sz w:val="20"/>
        </w:rPr>
        <w:t>16-20 h → repeat/final</w:t>
      </w:r>
    </w:p>
    <w:p>
      <w:pPr>
        <w:pStyle w:val="Normal"/>
        <w:spacing w:before="0" w:after="50" w:line="250" w:lineRule="auto"/>
        <w:rPr/>
      </w:pPr>
      <w:r>
        <w:rPr>
          <w:rFonts w:ascii="Calibri" w:hAnsi="Calibri"/>
          <w:color w:val="000000"/>
          <w:sz w:val="20"/>
        </w:rPr>
        <w:t>That is much more defensible than promising one universal six-hour result.</w:t>
      </w:r>
    </w:p>
    <w:p>
      <w:pPr>
        <w:pStyle w:val="Heading3"/>
        <w:keepNext/>
        <w:keepLines/>
        <w:spacing w:before="240" w:after="120" w:line="269" w:lineRule="auto"/>
      </w:pPr>
      <w:r>
        <w:rPr>
          <w:color w:val="000000"/>
        </w:rPr>
        <w:t>CLSI and EUCAST must become software dependencies, not marketing references</w:t>
      </w:r>
    </w:p>
    <w:p>
      <w:pPr>
        <w:pStyle w:val="Normal"/>
        <w:spacing w:before="0" w:after="50" w:line="250" w:lineRule="auto"/>
        <w:rPr/>
      </w:pPr>
      <w:r>
        <w:rPr>
          <w:rFonts w:ascii="Calibri" w:hAnsi="Calibri"/>
          <w:color w:val="000000"/>
          <w:sz w:val="20"/>
        </w:rPr>
        <w:t xml:space="preserve">CLSI M100 is now at the </w:t>
      </w:r>
      <w:r>
        <w:rPr>
          <w:rFonts w:ascii="Calibri" w:hAnsi="Calibri"/>
          <w:b/>
          <w:color w:val="000000"/>
          <w:sz w:val="20"/>
        </w:rPr>
        <w:t>36th Edition</w:t>
      </w:r>
      <w:r>
        <w:rPr>
          <w:rFonts w:ascii="Calibri" w:hAnsi="Calibri"/>
          <w:color w:val="000000"/>
          <w:sz w:val="20"/>
        </w:rPr>
        <w:t xml:space="preserve"> for 2026, and CLSI's Breakpoint Implementation Toolkit was updated in 2026 to help laboratories implement, verify and validate breakpoint changes. [EA-22][EA-23]</w:t>
      </w:r>
    </w:p>
    <w:p>
      <w:pPr>
        <w:pStyle w:val="Normal"/>
        <w:spacing w:before="0" w:after="50" w:line="250" w:lineRule="auto"/>
        <w:rPr/>
      </w:pPr>
      <w:r>
        <w:rPr>
          <w:rFonts w:ascii="Calibri" w:hAnsi="Calibri"/>
          <w:color w:val="000000"/>
          <w:sz w:val="20"/>
        </w:rPr>
        <w:t xml:space="preserve">EUCAST's bacterial clinical breakpoint tables are at </w:t>
      </w:r>
      <w:r>
        <w:rPr>
          <w:rFonts w:ascii="Calibri" w:hAnsi="Calibri"/>
          <w:b/>
          <w:color w:val="000000"/>
          <w:sz w:val="20"/>
        </w:rPr>
        <w:t>v16.1</w:t>
      </w:r>
      <w:r>
        <w:rPr>
          <w:rFonts w:ascii="Calibri" w:hAnsi="Calibri"/>
          <w:color w:val="000000"/>
          <w:sz w:val="20"/>
        </w:rPr>
        <w:t xml:space="preserve"> for the relevant 2026 period, while RAST has its own methodology/QC/breakpoint versions. [EA-24][EA-11][EA-12]</w:t>
      </w:r>
    </w:p>
    <w:p>
      <w:pPr>
        <w:pStyle w:val="Normal"/>
        <w:spacing w:before="0" w:after="50" w:line="250" w:lineRule="auto"/>
        <w:rPr/>
      </w:pPr>
      <w:r>
        <w:rPr>
          <w:rFonts w:ascii="Calibri" w:hAnsi="Calibri"/>
          <w:color w:val="000000"/>
          <w:sz w:val="20"/>
        </w:rPr>
        <w:t xml:space="preserve">This means the AMR-Eye software must treat breakpoint information as a </w:t>
      </w:r>
      <w:r>
        <w:rPr>
          <w:rFonts w:ascii="Calibri" w:hAnsi="Calibri"/>
          <w:b/>
          <w:color w:val="000000"/>
          <w:sz w:val="20"/>
        </w:rPr>
        <w:t>versioned clinical rules dependency</w:t>
      </w:r>
      <w:r>
        <w:rPr>
          <w:rFonts w:ascii="Calibri" w:hAnsi="Calibri"/>
          <w:color w:val="000000"/>
          <w:sz w:val="20"/>
        </w:rPr>
        <w:t>.</w:t>
      </w:r>
    </w:p>
    <w:p>
      <w:pPr>
        <w:pStyle w:val="Normal"/>
        <w:spacing w:before="0" w:after="50" w:line="250" w:lineRule="auto"/>
        <w:rPr/>
      </w:pPr>
      <w:r>
        <w:rPr>
          <w:rFonts w:ascii="Calibri" w:hAnsi="Calibri"/>
          <w:color w:val="000000"/>
          <w:sz w:val="20"/>
        </w:rPr>
        <w:t>The system should never simply contain code like:</w:t>
      </w:r>
    </w:p>
    <w:p>
      <w:pPr>
        <w:pStyle w:val="Normal"/>
        <w:spacing w:before="0" w:after="50" w:line="250" w:lineRule="auto"/>
        <w:rPr/>
      </w:pPr>
      <w:r>
        <w:rPr>
          <w:rFonts w:ascii="Calibri" w:hAnsi="Calibri"/>
          <w:color w:val="000000"/>
          <w:sz w:val="20"/>
        </w:rPr>
        <w:t>if zone &gt;= 22:</w:t>
        <w:br/>
        <w:t xml:space="preserve">    susceptible</w:t>
        <w:br/>
      </w:r>
    </w:p>
    <w:p>
      <w:pPr>
        <w:pStyle w:val="Normal"/>
        <w:spacing w:before="0" w:after="50" w:line="250" w:lineRule="auto"/>
        <w:rPr/>
      </w:pPr>
      <w:r>
        <w:rPr>
          <w:rFonts w:ascii="Calibri" w:hAnsi="Calibri"/>
          <w:color w:val="000000"/>
          <w:sz w:val="20"/>
        </w:rPr>
        <w:t>without retaining the full provenance of why 22 exists.</w:t>
      </w:r>
    </w:p>
    <w:p>
      <w:pPr>
        <w:pStyle w:val="Normal"/>
        <w:spacing w:before="0" w:after="50" w:line="250" w:lineRule="auto"/>
        <w:rPr/>
      </w:pPr>
      <w:r>
        <w:rPr>
          <w:rFonts w:ascii="Calibri" w:hAnsi="Calibri"/>
          <w:color w:val="000000"/>
          <w:sz w:val="20"/>
        </w:rPr>
        <w:t>Every result should capture something equivalent to:</w:t>
      </w:r>
    </w:p>
    <w:p>
      <w:pPr>
        <w:pStyle w:val="Normal"/>
        <w:spacing w:before="0" w:after="50" w:line="250" w:lineRule="auto"/>
        <w:rPr/>
      </w:pPr>
      <w:r>
        <w:rPr>
          <w:rFonts w:ascii="Calibri" w:hAnsi="Calibri"/>
          <w:color w:val="000000"/>
          <w:sz w:val="20"/>
        </w:rPr>
        <w:t>organism + antimicrobial + disc potency + method + medium + incubation time + atmosphere + reading time + standard + edition/version + breakpoint-rule ID + measured diameter + automated interpretation + QC status + reviewer action</w:t>
      </w:r>
    </w:p>
    <w:p>
      <w:pPr>
        <w:pStyle w:val="Normal"/>
        <w:spacing w:before="0" w:after="50" w:line="250" w:lineRule="auto"/>
        <w:rPr/>
      </w:pPr>
      <w:r>
        <w:rPr>
          <w:rFonts w:ascii="Calibri" w:hAnsi="Calibri"/>
          <w:color w:val="000000"/>
          <w:sz w:val="20"/>
        </w:rPr>
        <w:t>And the standards engine should be separately updatable from the vision model.</w:t>
      </w:r>
    </w:p>
    <w:p>
      <w:pPr>
        <w:pStyle w:val="Normal"/>
        <w:spacing w:before="0" w:after="50" w:line="250" w:lineRule="auto"/>
        <w:rPr/>
      </w:pPr>
      <w:r>
        <w:rPr>
          <w:rFonts w:ascii="Calibri" w:hAnsi="Calibri"/>
          <w:color w:val="000000"/>
          <w:sz w:val="20"/>
        </w:rPr>
        <w:t xml:space="preserve">A newer model should </w:t>
      </w:r>
      <w:r>
        <w:rPr>
          <w:rFonts w:ascii="Calibri" w:hAnsi="Calibri"/>
          <w:b/>
          <w:color w:val="000000"/>
          <w:sz w:val="20"/>
        </w:rPr>
        <w:t>not</w:t>
      </w:r>
      <w:r>
        <w:rPr>
          <w:rFonts w:ascii="Calibri" w:hAnsi="Calibri"/>
          <w:color w:val="000000"/>
          <w:sz w:val="20"/>
        </w:rPr>
        <w:t xml:space="preserve"> silently change breakpoint logic, and a breakpoint update should </w:t>
      </w:r>
      <w:r>
        <w:rPr>
          <w:rFonts w:ascii="Calibri" w:hAnsi="Calibri"/>
          <w:b/>
          <w:color w:val="000000"/>
          <w:sz w:val="20"/>
        </w:rPr>
        <w:t>not</w:t>
      </w:r>
      <w:r>
        <w:rPr>
          <w:rFonts w:ascii="Calibri" w:hAnsi="Calibri"/>
          <w:color w:val="000000"/>
          <w:sz w:val="20"/>
        </w:rPr>
        <w:t xml:space="preserve"> require retraining the vision model.</w:t>
      </w:r>
    </w:p>
    <w:p>
      <w:pPr>
        <w:pStyle w:val="Heading3"/>
        <w:keepNext/>
        <w:keepLines/>
        <w:spacing w:before="240" w:after="120" w:line="269" w:lineRule="auto"/>
      </w:pPr>
      <w:r>
        <w:rPr>
          <w:color w:val="000000"/>
        </w:rPr>
        <w:t>India has a much clearer validation route than the old AMR-Eye documents implied</w:t>
      </w:r>
    </w:p>
    <w:p>
      <w:pPr>
        <w:pStyle w:val="Normal"/>
        <w:spacing w:before="0" w:after="50" w:line="250" w:lineRule="auto"/>
        <w:rPr/>
      </w:pPr>
      <w:r>
        <w:rPr>
          <w:rFonts w:ascii="Calibri" w:hAnsi="Calibri"/>
          <w:color w:val="000000"/>
          <w:sz w:val="20"/>
        </w:rPr>
        <w:t>ICMR's guidance for rapid pathogen-identification/AST diagnostics lays out analytical/clinical performance concepts and connects them to India's Medical Devices Rules/CDSCO pathway. It emphasises reference methods, performance evaluation and appropriately controlled laboratory studies rather than simply “having an AI model”. [EA-25]</w:t>
      </w:r>
    </w:p>
    <w:p>
      <w:pPr>
        <w:pStyle w:val="Normal"/>
        <w:spacing w:before="0" w:after="50" w:line="250" w:lineRule="auto"/>
        <w:rPr/>
      </w:pPr>
      <w:r>
        <w:rPr>
          <w:rFonts w:ascii="Calibri" w:hAnsi="Calibri"/>
          <w:color w:val="000000"/>
          <w:sz w:val="20"/>
        </w:rPr>
        <w:t xml:space="preserve">For AST in particular, the guidance recommends approximately </w:t>
      </w:r>
      <w:r>
        <w:rPr>
          <w:rFonts w:ascii="Calibri" w:hAnsi="Calibri"/>
          <w:b/>
          <w:color w:val="000000"/>
          <w:sz w:val="20"/>
        </w:rPr>
        <w:t>100 clinical isolates for each microorganism group</w:t>
      </w:r>
      <w:r>
        <w:rPr>
          <w:rFonts w:ascii="Calibri" w:hAnsi="Calibri"/>
          <w:color w:val="000000"/>
          <w:sz w:val="20"/>
        </w:rPr>
        <w:t xml:space="preserve"> in the relevant evaluation context, with representation across susceptible/intermediate/resistant categories and an organism-drug profile appropriate to the intended use. [EA-25]</w:t>
      </w:r>
    </w:p>
    <w:p>
      <w:pPr>
        <w:pStyle w:val="Normal"/>
        <w:spacing w:before="0" w:after="50" w:line="250" w:lineRule="auto"/>
        <w:rPr/>
      </w:pPr>
      <w:r>
        <w:rPr>
          <w:rFonts w:ascii="Calibri" w:hAnsi="Calibri"/>
          <w:color w:val="000000"/>
          <w:sz w:val="20"/>
        </w:rPr>
        <w:t>It identifies broth microdilution as the preferred AST reference in relevant contexts, with recognised alternatives under specified circumstances. [EA-25]</w:t>
      </w:r>
    </w:p>
    <w:p>
      <w:pPr>
        <w:pStyle w:val="Normal"/>
        <w:spacing w:before="0" w:after="50" w:line="250" w:lineRule="auto"/>
        <w:rPr/>
      </w:pPr>
      <w:r>
        <w:rPr>
          <w:rFonts w:ascii="Calibri" w:hAnsi="Calibri"/>
          <w:color w:val="000000"/>
          <w:sz w:val="20"/>
        </w:rPr>
        <w:t>The guidance also describes clinically meaningful agreement/error metrics rather than computer-vision metrics alone, with thresholds around categorical/essential agreement and major/very-major-error analysis, while reproducibility is separately important. [EA-25]</w:t>
      </w:r>
    </w:p>
    <w:p>
      <w:pPr>
        <w:pStyle w:val="Normal"/>
        <w:spacing w:before="0" w:after="50" w:line="250" w:lineRule="auto"/>
        <w:rPr/>
      </w:pPr>
      <w:r>
        <w:rPr>
          <w:rFonts w:ascii="Calibri" w:hAnsi="Calibri"/>
          <w:color w:val="000000"/>
          <w:sz w:val="20"/>
        </w:rPr>
        <w:t>For a serious AMR-Eye validation programme, that means:</w:t>
      </w:r>
    </w:p>
    <w:p>
      <w:pPr>
        <w:pStyle w:val="Normal"/>
        <w:keepNext/>
        <w:spacing w:before="0" w:after="50" w:line="250" w:lineRule="auto"/>
        <w:rPr/>
      </w:pPr>
      <w:r>
        <w:rPr>
          <w:rFonts w:ascii="Calibri" w:hAnsi="Calibri"/>
          <w:b/>
          <w:color w:val="000000"/>
          <w:sz w:val="20"/>
        </w:rPr>
        <w:t>“</w:t>
      </w:r>
      <w:r>
        <w:rPr>
          <w:rFonts w:ascii="Calibri" w:hAnsi="Calibri"/>
          <w:b/>
          <w:color w:val="000000"/>
          <w:sz w:val="20"/>
        </w:rPr>
        <w:t>AI accuracy” is not the primary endpoint.</w:t>
      </w:r>
    </w:p>
    <w:p>
      <w:pPr>
        <w:pStyle w:val="Normal"/>
        <w:spacing w:before="0" w:after="50" w:line="250" w:lineRule="auto"/>
        <w:rPr/>
      </w:pPr>
      <w:r>
        <w:rPr>
          <w:rFonts w:ascii="Calibri" w:hAnsi="Calibri"/>
          <w:color w:val="000000"/>
          <w:sz w:val="20"/>
        </w:rPr>
        <w:t>The endpoint is agreement with the appropriate microbiological reference under a precisely defined intended use.</w:t>
      </w:r>
    </w:p>
    <w:p>
      <w:pPr>
        <w:pStyle w:val="Normal"/>
        <w:spacing w:before="0" w:after="50" w:line="250" w:lineRule="auto"/>
        <w:rPr/>
      </w:pPr>
      <w:r>
        <w:rPr>
          <w:rFonts w:ascii="Calibri" w:hAnsi="Calibri"/>
          <w:color w:val="000000"/>
          <w:sz w:val="20"/>
        </w:rPr>
        <w:t>India's ICMR and CDSCO are also actively developing more standardised IVD performance-evaluation protocols. A July 2026 draft released for comment; although specific to scrub typhus rather than AST; illustrates the direction: predefined evaluation panels, accredited/reference laboratories, blinding, lot/operator/day/platform reproducibility and quantitative acceptance criteria. [EA-26][EA-27]</w:t>
      </w:r>
    </w:p>
    <w:p>
      <w:pPr>
        <w:pStyle w:val="Normal"/>
        <w:spacing w:before="0" w:after="50" w:line="250" w:lineRule="auto"/>
        <w:rPr/>
      </w:pPr>
      <w:r>
        <w:rPr>
          <w:rFonts w:ascii="Calibri" w:hAnsi="Calibri"/>
          <w:color w:val="000000"/>
          <w:sz w:val="20"/>
        </w:rPr>
        <w:t xml:space="preserve">India's current national policy anchor is </w:t>
      </w:r>
      <w:r>
        <w:rPr>
          <w:rFonts w:ascii="Calibri" w:hAnsi="Calibri"/>
          <w:b/>
          <w:color w:val="000000"/>
          <w:sz w:val="20"/>
        </w:rPr>
        <w:t>NAP-AMR 2025-2029</w:t>
      </w:r>
      <w:r>
        <w:rPr>
          <w:rFonts w:ascii="Calibri" w:hAnsi="Calibri"/>
          <w:color w:val="000000"/>
          <w:sz w:val="20"/>
        </w:rPr>
        <w:t>, not an older NAP version. [EA-28]</w:t>
      </w:r>
    </w:p>
    <w:p>
      <w:pPr>
        <w:pStyle w:val="Heading3"/>
        <w:keepNext/>
        <w:keepLines/>
        <w:spacing w:before="240" w:after="120" w:line="269" w:lineRule="auto"/>
      </w:pPr>
      <w:r>
        <w:rPr>
          <w:color w:val="000000"/>
        </w:rPr>
        <w:t>The competitor landscape forces a better moat</w:t>
      </w:r>
    </w:p>
    <w:p>
      <w:pPr>
        <w:pStyle w:val="Normal"/>
        <w:spacing w:before="0" w:after="50" w:line="250" w:lineRule="auto"/>
        <w:rPr/>
      </w:pPr>
      <w:r>
        <w:rPr>
          <w:rFonts w:ascii="Calibri" w:hAnsi="Calibri"/>
          <w:color w:val="000000"/>
          <w:sz w:val="20"/>
        </w:rPr>
        <w:t>The current market can be thought of in three classes.</w:t>
      </w:r>
    </w:p>
    <w:p>
      <w:pPr>
        <w:spacing w:before="0" w:after="50" w:line="250" w:lineRule="auto"/>
      </w:pPr>
      <w:r>
        <w:rPr>
          <w:rFonts w:ascii="Calibri" w:hAnsi="Calibri"/>
          <w:color w:val="000000"/>
          <w:sz w:val="20"/>
        </w:rPr>
        <w:t xml:space="preserve">Class: Total-lab / plate automation</w:t>
      </w:r>
    </w:p>
    <w:p>
      <w:pPr>
        <w:spacing w:before="0" w:after="50" w:line="250" w:lineRule="auto"/>
      </w:pPr>
      <w:r>
        <w:rPr>
          <w:rFonts w:ascii="Calibri" w:hAnsi="Calibri"/>
          <w:color w:val="000000"/>
          <w:sz w:val="20"/>
        </w:rPr>
        <w:t xml:space="preserve">Examples: COPAN WASPLab/Radian, BD Kiestra</w:t>
      </w:r>
    </w:p>
    <w:p>
      <w:pPr>
        <w:spacing w:before="0" w:after="50" w:line="250" w:lineRule="auto"/>
      </w:pPr>
      <w:r>
        <w:rPr>
          <w:rFonts w:ascii="Calibri" w:hAnsi="Calibri"/>
          <w:color w:val="000000"/>
          <w:sz w:val="20"/>
        </w:rPr>
        <w:t xml:space="preserve">Strategic implication for AMR-Eye: Proves digital plate imaging/automation is real, but sets a high integration bar</w:t>
      </w:r>
    </w:p>
    <w:p>
      <w:pPr>
        <w:spacing w:before="0" w:after="50" w:line="250" w:lineRule="auto"/>
      </w:pPr>
      <w:r>
        <w:rPr>
          <w:rFonts w:ascii="Calibri" w:hAnsi="Calibri"/>
          <w:color w:val="000000"/>
          <w:sz w:val="20"/>
        </w:rPr>
        <w:t xml:space="preserve">Class: Closed automated ID/AST</w:t>
      </w:r>
    </w:p>
    <w:p>
      <w:pPr>
        <w:spacing w:before="0" w:after="50" w:line="250" w:lineRule="auto"/>
      </w:pPr>
      <w:r>
        <w:rPr>
          <w:rFonts w:ascii="Calibri" w:hAnsi="Calibri"/>
          <w:color w:val="000000"/>
          <w:sz w:val="20"/>
        </w:rPr>
        <w:t xml:space="preserve">Examples: VITEK 2, BD Phoenix</w:t>
      </w:r>
    </w:p>
    <w:p>
      <w:pPr>
        <w:spacing w:before="0" w:after="50" w:line="250" w:lineRule="auto"/>
      </w:pPr>
      <w:r>
        <w:rPr>
          <w:rFonts w:ascii="Calibri" w:hAnsi="Calibri"/>
          <w:color w:val="000000"/>
          <w:sz w:val="20"/>
        </w:rPr>
        <w:t xml:space="preserve">Strategic implication for AMR-Eye: Excellent clinical workflow, but different consumable/economic model</w:t>
      </w:r>
    </w:p>
    <w:p>
      <w:pPr>
        <w:spacing w:before="0" w:after="50" w:line="250" w:lineRule="auto"/>
      </w:pPr>
      <w:r>
        <w:rPr>
          <w:rFonts w:ascii="Calibri" w:hAnsi="Calibri"/>
          <w:color w:val="000000"/>
          <w:sz w:val="20"/>
        </w:rPr>
        <w:t xml:space="preserve">Class: Reference-style automated MIC</w:t>
      </w:r>
    </w:p>
    <w:p>
      <w:pPr>
        <w:spacing w:before="0" w:after="50" w:line="250" w:lineRule="auto"/>
      </w:pPr>
      <w:r>
        <w:rPr>
          <w:rFonts w:ascii="Calibri" w:hAnsi="Calibri"/>
          <w:color w:val="000000"/>
          <w:sz w:val="20"/>
        </w:rPr>
        <w:t xml:space="preserve">Examples: Sensititre ARIS</w:t>
      </w:r>
    </w:p>
    <w:p>
      <w:pPr>
        <w:spacing w:before="0" w:after="50" w:line="250" w:lineRule="auto"/>
      </w:pPr>
      <w:r>
        <w:rPr>
          <w:rFonts w:ascii="Calibri" w:hAnsi="Calibri"/>
          <w:color w:val="000000"/>
          <w:sz w:val="20"/>
        </w:rPr>
        <w:t xml:space="preserve">Strategic implication for AMR-Eye: Competes around quantitative MIC/BMD workflows rather than disk-reader simplicity</w:t>
      </w:r>
    </w:p>
    <w:p>
      <w:pPr>
        <w:pStyle w:val="Normal"/>
        <w:spacing w:before="0" w:after="50" w:line="250" w:lineRule="auto"/>
        <w:rPr/>
      </w:pPr>
      <w:r>
        <w:rPr>
          <w:rFonts w:ascii="Calibri" w:hAnsi="Calibri"/>
          <w:color w:val="000000"/>
          <w:sz w:val="20"/>
        </w:rPr>
        <w:t>COPAN's Radian is especially important because it covers automated disk diffusion, including imaging, zone measurement and interpretation. [EA-4]</w:t>
      </w:r>
    </w:p>
    <w:p>
      <w:pPr>
        <w:pStyle w:val="Normal"/>
        <w:spacing w:before="0" w:after="50" w:line="250" w:lineRule="auto"/>
        <w:rPr/>
      </w:pPr>
      <w:r>
        <w:rPr>
          <w:rFonts w:ascii="Calibri" w:hAnsi="Calibri"/>
          <w:color w:val="000000"/>
          <w:sz w:val="20"/>
        </w:rPr>
        <w:t>BD Phoenix and bioMérieux VITEK occupy automated ID/AST territory with mature laboratory workflows and susceptibility interpretation, while Thermo Fisher's Sensititre systems automate broth-microdilution-based susceptibility workflows. [EA-7][EA-8][EA-9]</w:t>
      </w:r>
    </w:p>
    <w:p>
      <w:pPr>
        <w:pStyle w:val="Normal"/>
        <w:spacing w:before="0" w:after="50" w:line="250" w:lineRule="auto"/>
        <w:rPr/>
      </w:pPr>
      <w:r>
        <w:rPr>
          <w:rFonts w:ascii="Calibri" w:hAnsi="Calibri"/>
          <w:color w:val="000000"/>
          <w:sz w:val="20"/>
        </w:rPr>
        <w:t xml:space="preserve">Therefore these are </w:t>
      </w:r>
      <w:r>
        <w:rPr>
          <w:rFonts w:ascii="Calibri" w:hAnsi="Calibri"/>
          <w:b/>
          <w:color w:val="000000"/>
          <w:sz w:val="20"/>
        </w:rPr>
        <w:t>bad differentiation claims</w:t>
      </w:r>
      <w:r>
        <w:rPr>
          <w:rFonts w:ascii="Calibri" w:hAnsi="Calibri"/>
          <w:color w:val="000000"/>
          <w:sz w:val="20"/>
        </w:rPr>
        <w:t>:</w:t>
      </w:r>
    </w:p>
    <w:p>
      <w:pPr>
        <w:pStyle w:val="Normal"/>
        <w:spacing w:before="0" w:after="50" w:line="250" w:lineRule="auto"/>
        <w:rPr/>
      </w:pPr>
      <w:r>
        <w:rPr>
          <w:rFonts w:ascii="Calibri" w:hAnsi="Calibri"/>
          <w:color w:val="000000"/>
          <w:sz w:val="20"/>
        </w:rPr>
        <w:t>“</w:t>
      </w:r>
      <w:r>
        <w:rPr>
          <w:rFonts w:ascii="Calibri" w:hAnsi="Calibri"/>
          <w:color w:val="000000"/>
          <w:sz w:val="20"/>
        </w:rPr>
        <w:t>We are the first AI AST platform.”</w:t>
      </w:r>
    </w:p>
    <w:p>
      <w:pPr>
        <w:pStyle w:val="Normal"/>
        <w:spacing w:before="0" w:after="50" w:line="250" w:lineRule="auto"/>
        <w:rPr/>
      </w:pPr>
      <w:r>
        <w:rPr>
          <w:rFonts w:ascii="Calibri" w:hAnsi="Calibri"/>
          <w:color w:val="000000"/>
          <w:sz w:val="20"/>
        </w:rPr>
        <w:t>“</w:t>
      </w:r>
      <w:r>
        <w:rPr>
          <w:rFonts w:ascii="Calibri" w:hAnsi="Calibri"/>
          <w:color w:val="000000"/>
          <w:sz w:val="20"/>
        </w:rPr>
        <w:t>We uniquely automate zone measurement.”</w:t>
      </w:r>
    </w:p>
    <w:p>
      <w:pPr>
        <w:pStyle w:val="Normal"/>
        <w:spacing w:before="0" w:after="50" w:line="250" w:lineRule="auto"/>
        <w:rPr/>
      </w:pPr>
      <w:r>
        <w:rPr>
          <w:rFonts w:ascii="Calibri" w:hAnsi="Calibri"/>
          <w:color w:val="000000"/>
          <w:sz w:val="20"/>
        </w:rPr>
        <w:t>“</w:t>
      </w:r>
      <w:r>
        <w:rPr>
          <w:rFonts w:ascii="Calibri" w:hAnsi="Calibri"/>
          <w:color w:val="000000"/>
          <w:sz w:val="20"/>
        </w:rPr>
        <w:t>Telecentric imaging is our moat.”</w:t>
      </w:r>
    </w:p>
    <w:p>
      <w:pPr>
        <w:pStyle w:val="Normal"/>
        <w:spacing w:before="0" w:after="50" w:line="250" w:lineRule="auto"/>
        <w:rPr/>
      </w:pPr>
      <w:r>
        <w:rPr>
          <w:rFonts w:ascii="Calibri" w:hAnsi="Calibri"/>
          <w:color w:val="000000"/>
          <w:sz w:val="20"/>
        </w:rPr>
        <w:t>“</w:t>
      </w:r>
      <w:r>
        <w:rPr>
          <w:rFonts w:ascii="Calibri" w:hAnsi="Calibri"/>
          <w:color w:val="000000"/>
          <w:sz w:val="20"/>
        </w:rPr>
        <w:t>Existing systems cannot digitally read AST plates.”</w:t>
      </w:r>
    </w:p>
    <w:p>
      <w:pPr>
        <w:pStyle w:val="Normal"/>
        <w:spacing w:before="0" w:after="50" w:line="250" w:lineRule="auto"/>
        <w:rPr/>
      </w:pPr>
      <w:r>
        <w:rPr>
          <w:rFonts w:ascii="Calibri" w:hAnsi="Calibri"/>
          <w:color w:val="000000"/>
          <w:sz w:val="20"/>
        </w:rPr>
        <w:t>Instead, the investable hypothesis is:</w:t>
      </w:r>
    </w:p>
    <w:p>
      <w:pPr>
        <w:pStyle w:val="Normal"/>
        <w:keepNext/>
        <w:spacing w:before="0" w:after="50" w:line="250" w:lineRule="auto"/>
        <w:rPr/>
      </w:pPr>
      <w:r>
        <w:rPr>
          <w:rFonts w:ascii="Calibri" w:hAnsi="Calibri"/>
          <w:b/>
          <w:color w:val="000000"/>
          <w:sz w:val="20"/>
        </w:rPr>
        <w:t>“</w:t>
      </w:r>
      <w:r>
        <w:rPr>
          <w:rFonts w:ascii="Calibri" w:hAnsi="Calibri"/>
          <w:b/>
          <w:color w:val="000000"/>
          <w:sz w:val="20"/>
        </w:rPr>
        <w:t>AMR-Eye brings traceable, standards-controlled digital AST to laboratories for which conventional total-lab automation or closed automated AST economics are unsuitable.”</w:t>
      </w:r>
    </w:p>
    <w:p>
      <w:pPr>
        <w:pStyle w:val="Normal"/>
        <w:spacing w:before="0" w:after="50" w:line="250" w:lineRule="auto"/>
        <w:rPr/>
      </w:pPr>
      <w:r>
        <w:rPr>
          <w:rFonts w:ascii="Calibri" w:hAnsi="Calibri"/>
          <w:color w:val="000000"/>
          <w:sz w:val="20"/>
        </w:rPr>
        <w:t>That still needs real price/TCO/customer evidence, but it is strategically coherent.</w:t>
      </w:r>
    </w:p>
    <w:p>
      <w:pPr>
        <w:pStyle w:val="Heading3"/>
        <w:keepNext/>
        <w:keepLines/>
        <w:spacing w:before="240" w:after="120" w:line="269" w:lineRule="auto"/>
      </w:pPr>
      <w:r>
        <w:rPr>
          <w:color w:val="000000"/>
        </w:rPr>
        <w:t>There is already relevant patent prior art</w:t>
      </w:r>
    </w:p>
    <w:p>
      <w:pPr>
        <w:pStyle w:val="Normal"/>
        <w:spacing w:before="0" w:after="50" w:line="250" w:lineRule="auto"/>
        <w:rPr/>
      </w:pPr>
      <w:r>
        <w:rPr>
          <w:rFonts w:ascii="Calibri" w:hAnsi="Calibri"/>
          <w:color w:val="000000"/>
          <w:sz w:val="20"/>
        </w:rPr>
        <w:t>A preliminary patent-landscape pass found Copan patent families around automated culture-plate processing with telecentric optics and around automated dispensing of impregnated supports/discs for antibiotic susceptibility testing. BD/Kiestra also has patent material relating to automated susceptibility assessment using time-separated plate imaging and growth detection. [EA-29][EA-30][EA-31]</w:t>
      </w:r>
    </w:p>
    <w:p>
      <w:pPr>
        <w:pStyle w:val="Normal"/>
        <w:spacing w:before="0" w:after="50" w:line="250" w:lineRule="auto"/>
        <w:rPr/>
      </w:pPr>
      <w:r>
        <w:rPr>
          <w:rFonts w:ascii="Calibri" w:hAnsi="Calibri"/>
          <w:color w:val="000000"/>
          <w:sz w:val="20"/>
        </w:rPr>
        <w:t xml:space="preserve">This does </w:t>
      </w:r>
      <w:r>
        <w:rPr>
          <w:rFonts w:ascii="Calibri" w:hAnsi="Calibri"/>
          <w:b/>
          <w:color w:val="000000"/>
          <w:sz w:val="20"/>
        </w:rPr>
        <w:t>not</w:t>
      </w:r>
      <w:r>
        <w:rPr>
          <w:rFonts w:ascii="Calibri" w:hAnsi="Calibri"/>
          <w:color w:val="000000"/>
          <w:sz w:val="20"/>
        </w:rPr>
        <w:t xml:space="preserve"> mean AMR-Eye infringes those patents.</w:t>
      </w:r>
    </w:p>
    <w:p>
      <w:pPr>
        <w:pStyle w:val="Normal"/>
        <w:spacing w:before="0" w:after="50" w:line="250" w:lineRule="auto"/>
        <w:rPr/>
      </w:pPr>
      <w:r>
        <w:rPr>
          <w:rFonts w:ascii="Calibri" w:hAnsi="Calibri"/>
          <w:color w:val="000000"/>
          <w:sz w:val="20"/>
        </w:rPr>
        <w:t>It means that “camera + telecentric lens + automated plate handling + discs + temporal imaging” is a technically crowded area, so any serious IP filing should be preceded by a professional claim-level prior-art and freedom-to-operate review.</w:t>
      </w:r>
    </w:p>
    <w:p>
      <w:pPr>
        <w:pStyle w:val="Normal"/>
        <w:spacing w:before="0" w:after="50" w:line="250" w:lineRule="auto"/>
        <w:rPr/>
      </w:pPr>
      <w:r>
        <w:rPr>
          <w:rFonts w:ascii="Calibri" w:hAnsi="Calibri"/>
          <w:color w:val="000000"/>
          <w:sz w:val="20"/>
        </w:rPr>
        <w:t>The most promising patentable AMR-Eye intellectual property may ultimately lie in a narrower combination such as its calibration/QC architecture, low-cost mechanical implementation, timepoint-aware decision layer, multimodal assay configuration or another genuinely novel subsystem; not the broad idea of automatically imaging AST plates.</w:t>
      </w:r>
    </w:p>
    <w:p>
      <w:pPr>
        <w:pStyle w:val="Heading3"/>
        <w:keepNext/>
        <w:keepLines/>
        <w:spacing w:before="240" w:after="120" w:line="269" w:lineRule="auto"/>
      </w:pPr>
      <w:r>
        <w:rPr>
          <w:color w:val="000000"/>
        </w:rPr>
        <w:t>Product architecture to build next</w:t>
      </w:r>
    </w:p>
    <w:p>
      <w:pPr>
        <w:pStyle w:val="Heading3"/>
        <w:keepNext/>
        <w:keepLines/>
        <w:spacing w:before="240" w:after="120" w:line="269" w:lineRule="auto"/>
      </w:pPr>
      <w:r>
        <w:rPr>
          <w:color w:val="000000"/>
        </w:rPr>
        <w:t>Freeze the first intended use before building more hardware</w:t>
      </w:r>
    </w:p>
    <w:p>
      <w:pPr>
        <w:pStyle w:val="Normal"/>
        <w:spacing w:before="0" w:after="50" w:line="250" w:lineRule="auto"/>
        <w:rPr/>
      </w:pPr>
      <w:r>
        <w:rPr>
          <w:rFonts w:ascii="Calibri" w:hAnsi="Calibri"/>
          <w:color w:val="000000"/>
          <w:sz w:val="20"/>
        </w:rPr>
        <w:t>My strongest recommendation is to define V1 approximately as:</w:t>
      </w:r>
    </w:p>
    <w:p>
      <w:pPr>
        <w:pStyle w:val="Normal"/>
        <w:spacing w:before="0" w:after="50" w:line="250" w:lineRule="auto"/>
        <w:rPr/>
      </w:pPr>
      <w:r>
        <w:rPr>
          <w:rFonts w:ascii="Calibri" w:hAnsi="Calibri"/>
          <w:b/>
          <w:color w:val="000000"/>
          <w:sz w:val="20"/>
        </w:rPr>
        <w:t>AMR-Eye Reader is a research-stage digital disk-diffusion AST measurement platform designed to capture standardised plate images, automatically measure inhibition-zone diameters, apply a version-controlled interpretation rule set, identify unreadable/ambiguous tests and present all outputs for qualified human review.</w:t>
      </w:r>
    </w:p>
    <w:p>
      <w:pPr>
        <w:pStyle w:val="Normal"/>
        <w:spacing w:before="0" w:after="50" w:line="250" w:lineRule="auto"/>
        <w:rPr/>
      </w:pPr>
      <w:r>
        <w:rPr>
          <w:rFonts w:ascii="Calibri" w:hAnsi="Calibri"/>
          <w:color w:val="000000"/>
          <w:sz w:val="20"/>
        </w:rPr>
        <w:t>That gives you one problem that can actually be validated.</w:t>
      </w:r>
    </w:p>
    <w:p>
      <w:pPr>
        <w:pStyle w:val="Normal"/>
        <w:spacing w:before="0" w:after="50" w:line="250" w:lineRule="auto"/>
        <w:rPr/>
      </w:pPr>
      <w:r>
        <w:rPr>
          <w:rFonts w:ascii="Calibri" w:hAnsi="Calibri"/>
          <w:color w:val="000000"/>
          <w:sz w:val="20"/>
        </w:rPr>
        <w:t xml:space="preserve">Do </w:t>
      </w:r>
      <w:r>
        <w:rPr>
          <w:rFonts w:ascii="Calibri" w:hAnsi="Calibri"/>
          <w:b/>
          <w:color w:val="000000"/>
          <w:sz w:val="20"/>
        </w:rPr>
        <w:t>not</w:t>
      </w:r>
      <w:r>
        <w:rPr>
          <w:rFonts w:ascii="Calibri" w:hAnsi="Calibri"/>
          <w:color w:val="000000"/>
          <w:sz w:val="20"/>
        </w:rPr>
        <w:t xml:space="preserve"> make V1 simultaneously responsible for:</w:t>
      </w:r>
    </w:p>
    <w:p>
      <w:pPr>
        <w:pStyle w:val="Normal"/>
        <w:spacing w:before="0" w:after="50" w:line="250" w:lineRule="auto"/>
        <w:rPr/>
      </w:pPr>
      <w:r>
        <w:rPr>
          <w:rFonts w:ascii="Calibri" w:hAnsi="Calibri"/>
          <w:color w:val="000000"/>
          <w:sz w:val="20"/>
        </w:rPr>
        <w:t>species ID, VOC diagnosis, automated genotyping, exact MIC prediction, antibiotic-residue testing, water testing, counterfeit-drug testing, national surveillance, advanced colony morphology, rapid blood-culture AST, full robotic loading and complete incubation automation.</w:t>
      </w:r>
    </w:p>
    <w:p>
      <w:pPr>
        <w:pStyle w:val="Normal"/>
        <w:spacing w:before="0" w:after="50" w:line="250" w:lineRule="auto"/>
        <w:rPr/>
      </w:pPr>
      <w:r>
        <w:rPr>
          <w:rFonts w:ascii="Calibri" w:hAnsi="Calibri"/>
          <w:color w:val="000000"/>
          <w:sz w:val="20"/>
        </w:rPr>
        <w:t>Those can all remain under the platform roadmap.</w:t>
      </w:r>
    </w:p>
    <w:p>
      <w:pPr>
        <w:pStyle w:val="Heading3"/>
        <w:keepNext/>
        <w:keepLines/>
        <w:spacing w:before="240" w:after="120" w:line="269" w:lineRule="auto"/>
      </w:pPr>
      <w:r>
        <w:rPr>
          <w:color w:val="000000"/>
        </w:rPr>
        <w:t>Make “measurement first, diagnosis second” the engineering philosophy</w:t>
      </w:r>
    </w:p>
    <w:p>
      <w:pPr>
        <w:pStyle w:val="Normal"/>
        <w:spacing w:before="0" w:after="50" w:line="250" w:lineRule="auto"/>
        <w:rPr/>
      </w:pPr>
      <w:r>
        <w:rPr>
          <w:rFonts w:ascii="Calibri" w:hAnsi="Calibri"/>
          <w:color w:val="000000"/>
          <w:sz w:val="20"/>
        </w:rPr>
        <w:t>A future result should preserve the entire chain:</w:t>
      </w:r>
    </w:p>
    <w:p>
      <w:pPr>
        <w:pStyle w:val="Normal"/>
        <w:keepNext/>
        <w:spacing w:before="0" w:after="50" w:line="250" w:lineRule="auto"/>
        <w:rPr/>
      </w:pPr>
      <w:r>
        <w:rPr>
          <w:rFonts w:ascii="Calibri" w:hAnsi="Calibri"/>
          <w:b/>
          <w:color w:val="000000"/>
          <w:sz w:val="20"/>
        </w:rPr>
        <w:t>raw image</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image metadata and device calibration</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readability QC</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disc localisation</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zone boundary</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pixel-to-mm conversion</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measurement uncertainty</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standard/version selection</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provisional S/I/R or RAST classification</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warning / ATU / abstention state</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human approval/edit/reject</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immutable report/audit record</w:t>
      </w:r>
    </w:p>
    <w:p>
      <w:pPr>
        <w:pStyle w:val="Normal"/>
        <w:spacing w:before="0" w:after="50" w:line="250" w:lineRule="auto"/>
        <w:rPr/>
      </w:pPr>
      <w:r>
        <w:rPr>
          <w:rFonts w:ascii="Calibri" w:hAnsi="Calibri"/>
          <w:color w:val="000000"/>
          <w:sz w:val="20"/>
        </w:rPr>
        <w:t>This architecture is aligned with the validation direction already reflected in the validation requirements and with current published automated-AST work. [EA-21][EA-10]</w:t>
      </w:r>
    </w:p>
    <w:p>
      <w:pPr>
        <w:pStyle w:val="Heading3"/>
        <w:keepNext/>
        <w:keepLines/>
        <w:spacing w:before="240" w:after="120" w:line="269" w:lineRule="auto"/>
      </w:pPr>
      <w:r>
        <w:rPr>
          <w:color w:val="000000"/>
        </w:rPr>
        <w:t>Build abstention as a product feature</w:t>
      </w:r>
    </w:p>
    <w:p>
      <w:pPr>
        <w:pStyle w:val="Normal"/>
        <w:spacing w:before="0" w:after="50" w:line="250" w:lineRule="auto"/>
        <w:rPr/>
      </w:pPr>
      <w:r>
        <w:rPr>
          <w:rFonts w:ascii="Calibri" w:hAnsi="Calibri"/>
          <w:color w:val="000000"/>
          <w:sz w:val="20"/>
        </w:rPr>
        <w:t>The system must be allowed to say:</w:t>
      </w:r>
    </w:p>
    <w:p>
      <w:pPr>
        <w:pStyle w:val="Normal"/>
        <w:keepNext/>
        <w:spacing w:before="0" w:after="50" w:line="250" w:lineRule="auto"/>
        <w:rPr/>
      </w:pPr>
      <w:r>
        <w:rPr>
          <w:rFonts w:ascii="Calibri" w:hAnsi="Calibri"/>
          <w:b/>
          <w:color w:val="000000"/>
          <w:sz w:val="20"/>
        </w:rPr>
        <w:t>NOT READABLE</w:t>
      </w:r>
    </w:p>
    <w:p>
      <w:pPr>
        <w:pStyle w:val="Normal"/>
        <w:keepNext/>
        <w:spacing w:before="0" w:after="50" w:line="250" w:lineRule="auto"/>
        <w:rPr/>
      </w:pPr>
      <w:r>
        <w:rPr>
          <w:rFonts w:ascii="Calibri" w:hAnsi="Calibri"/>
          <w:b/>
          <w:color w:val="000000"/>
          <w:sz w:val="20"/>
        </w:rPr>
        <w:t>RECAPTURE IMAGE</w:t>
      </w:r>
    </w:p>
    <w:p>
      <w:pPr>
        <w:pStyle w:val="Normal"/>
        <w:keepNext/>
        <w:spacing w:before="0" w:after="50" w:line="250" w:lineRule="auto"/>
        <w:rPr/>
      </w:pPr>
      <w:r>
        <w:rPr>
          <w:rFonts w:ascii="Calibri" w:hAnsi="Calibri"/>
          <w:b/>
          <w:color w:val="000000"/>
          <w:sz w:val="20"/>
        </w:rPr>
        <w:t>REVIEW ZONE MANUALLY</w:t>
      </w:r>
    </w:p>
    <w:p>
      <w:pPr>
        <w:pStyle w:val="Normal"/>
        <w:keepNext/>
        <w:spacing w:before="0" w:after="50" w:line="250" w:lineRule="auto"/>
        <w:rPr/>
      </w:pPr>
      <w:r>
        <w:rPr>
          <w:rFonts w:ascii="Calibri" w:hAnsi="Calibri"/>
          <w:b/>
          <w:color w:val="000000"/>
          <w:sz w:val="20"/>
        </w:rPr>
        <w:t>INVALID GROWTH</w:t>
      </w:r>
    </w:p>
    <w:p>
      <w:pPr>
        <w:pStyle w:val="Normal"/>
        <w:keepNext/>
        <w:spacing w:before="0" w:after="50" w:line="250" w:lineRule="auto"/>
        <w:rPr/>
      </w:pPr>
      <w:r>
        <w:rPr>
          <w:rFonts w:ascii="Calibri" w:hAnsi="Calibri"/>
          <w:b/>
          <w:color w:val="000000"/>
          <w:sz w:val="20"/>
        </w:rPr>
        <w:t>OVERLAPPING ZONES</w:t>
      </w:r>
    </w:p>
    <w:p>
      <w:pPr>
        <w:pStyle w:val="Normal"/>
        <w:keepNext/>
        <w:spacing w:before="0" w:after="50" w:line="250" w:lineRule="auto"/>
        <w:rPr/>
      </w:pPr>
      <w:r>
        <w:rPr>
          <w:rFonts w:ascii="Calibri" w:hAnsi="Calibri"/>
          <w:b/>
          <w:color w:val="000000"/>
          <w:sz w:val="20"/>
        </w:rPr>
        <w:t>INSUFFICIENT CONFLUENT GROWTH</w:t>
      </w:r>
    </w:p>
    <w:p>
      <w:pPr>
        <w:pStyle w:val="Normal"/>
        <w:keepNext/>
        <w:spacing w:before="0" w:after="50" w:line="250" w:lineRule="auto"/>
        <w:rPr/>
      </w:pPr>
      <w:r>
        <w:rPr>
          <w:rFonts w:ascii="Calibri" w:hAnsi="Calibri"/>
          <w:b/>
          <w:color w:val="000000"/>
          <w:sz w:val="20"/>
        </w:rPr>
        <w:t>ATU / TECHNICAL UNCERTAINTY</w:t>
      </w:r>
    </w:p>
    <w:p>
      <w:pPr>
        <w:pStyle w:val="Normal"/>
        <w:keepNext/>
        <w:spacing w:before="0" w:after="50" w:line="250" w:lineRule="auto"/>
        <w:rPr/>
      </w:pPr>
      <w:r>
        <w:rPr>
          <w:rFonts w:ascii="Calibri" w:hAnsi="Calibri"/>
          <w:b/>
          <w:color w:val="000000"/>
          <w:sz w:val="20"/>
        </w:rPr>
        <w:t>STANDARD/METHOD MISMATCH</w:t>
      </w:r>
    </w:p>
    <w:p>
      <w:pPr>
        <w:pStyle w:val="Normal"/>
        <w:spacing w:before="0" w:after="50" w:line="250" w:lineRule="auto"/>
        <w:rPr/>
      </w:pPr>
      <w:r>
        <w:rPr>
          <w:rFonts w:ascii="Calibri" w:hAnsi="Calibri"/>
          <w:color w:val="000000"/>
          <w:sz w:val="20"/>
        </w:rPr>
        <w:t>A model that refuses 4% of plates and is safe on the remaining 96% can be much more valuable than a model that produces a confident answer for 100% of plates and silently creates very-major errors.</w:t>
      </w:r>
    </w:p>
    <w:p>
      <w:pPr>
        <w:pStyle w:val="Normal"/>
        <w:spacing w:before="0" w:after="50" w:line="250" w:lineRule="auto"/>
        <w:rPr/>
      </w:pPr>
      <w:r>
        <w:rPr>
          <w:rFonts w:ascii="Calibri" w:hAnsi="Calibri"/>
          <w:color w:val="000000"/>
          <w:sz w:val="20"/>
        </w:rPr>
        <w:t>For rapid AST in particular, abstention is not failure; early readability itself is time dependent. [EA-10][EA-11]</w:t>
      </w:r>
    </w:p>
    <w:p>
      <w:pPr>
        <w:pStyle w:val="Heading3"/>
        <w:keepNext/>
        <w:keepLines/>
        <w:spacing w:before="240" w:after="120" w:line="269" w:lineRule="auto"/>
      </w:pPr>
      <w:r>
        <w:rPr>
          <w:color w:val="000000"/>
        </w:rPr>
        <w:t>Use two vision pathways, not one black box</w:t>
      </w:r>
    </w:p>
    <w:p>
      <w:pPr>
        <w:pStyle w:val="Normal"/>
        <w:spacing w:before="0" w:after="50" w:line="250" w:lineRule="auto"/>
        <w:rPr/>
      </w:pPr>
      <w:r>
        <w:rPr>
          <w:rFonts w:ascii="Calibri" w:hAnsi="Calibri"/>
          <w:color w:val="000000"/>
          <w:sz w:val="20"/>
        </w:rPr>
        <w:t>I would build:</w:t>
      </w:r>
    </w:p>
    <w:p>
      <w:pPr>
        <w:pStyle w:val="Normal"/>
        <w:spacing w:before="0" w:after="50" w:line="250" w:lineRule="auto"/>
        <w:rPr/>
      </w:pPr>
      <w:r>
        <w:rPr>
          <w:rFonts w:ascii="Calibri" w:hAnsi="Calibri"/>
          <w:b/>
          <w:color w:val="000000"/>
          <w:sz w:val="20"/>
        </w:rPr>
        <w:t>Deterministic/classical CV baseline:</w:t>
      </w:r>
      <w:r>
        <w:rPr>
          <w:rFonts w:ascii="Calibri" w:hAnsi="Calibri"/>
          <w:color w:val="000000"/>
          <w:sz w:val="20"/>
        </w:rPr>
        <w:t xml:space="preserve"> illumination correction, plate detection, known disc geometry, edge/gradient/radial analysis and geometric fitting.</w:t>
      </w:r>
    </w:p>
    <w:p>
      <w:pPr>
        <w:pStyle w:val="Normal"/>
        <w:spacing w:before="0" w:after="50" w:line="250" w:lineRule="auto"/>
        <w:rPr/>
      </w:pPr>
      <w:r>
        <w:rPr>
          <w:rFonts w:ascii="Calibri" w:hAnsi="Calibri"/>
          <w:b/>
          <w:color w:val="000000"/>
          <w:sz w:val="20"/>
        </w:rPr>
        <w:t>Learned model:</w:t>
      </w:r>
      <w:r>
        <w:rPr>
          <w:rFonts w:ascii="Calibri" w:hAnsi="Calibri"/>
          <w:color w:val="000000"/>
          <w:sz w:val="20"/>
        </w:rPr>
        <w:t xml:space="preserve"> segmentation/detection network for difficult zones, artefacts and morphology.</w:t>
      </w:r>
    </w:p>
    <w:p>
      <w:pPr>
        <w:pStyle w:val="Normal"/>
        <w:spacing w:before="0" w:after="50" w:line="250" w:lineRule="auto"/>
        <w:rPr/>
      </w:pPr>
      <w:r>
        <w:rPr>
          <w:rFonts w:ascii="Calibri" w:hAnsi="Calibri"/>
          <w:color w:val="000000"/>
          <w:sz w:val="20"/>
        </w:rPr>
        <w:t>Then compare their outputs.</w:t>
      </w:r>
    </w:p>
    <w:p>
      <w:pPr>
        <w:pStyle w:val="Normal"/>
        <w:spacing w:before="0" w:after="50" w:line="250" w:lineRule="auto"/>
        <w:rPr/>
      </w:pPr>
      <w:r>
        <w:rPr>
          <w:rFonts w:ascii="Calibri" w:hAnsi="Calibri"/>
          <w:color w:val="000000"/>
          <w:sz w:val="20"/>
        </w:rPr>
        <w:t>When they disagree materially:</w:t>
      </w:r>
    </w:p>
    <w:p>
      <w:pPr>
        <w:pStyle w:val="Normal"/>
        <w:spacing w:before="0" w:after="50" w:line="250" w:lineRule="auto"/>
        <w:rPr/>
      </w:pPr>
      <w:r>
        <w:rPr>
          <w:rFonts w:ascii="Calibri" w:hAnsi="Calibri"/>
          <w:color w:val="000000"/>
          <w:sz w:val="20"/>
        </w:rPr>
        <w:t>REVIEW REQUIRED.</w:t>
      </w:r>
    </w:p>
    <w:p>
      <w:pPr>
        <w:pStyle w:val="Normal"/>
        <w:spacing w:before="0" w:after="50" w:line="250" w:lineRule="auto"/>
        <w:rPr/>
      </w:pPr>
      <w:r>
        <w:rPr>
          <w:rFonts w:ascii="Calibri" w:hAnsi="Calibri"/>
          <w:color w:val="000000"/>
          <w:sz w:val="20"/>
        </w:rPr>
        <w:t>This gives you easier troubleshooting, interpretable failure analysis and a valuable fallback when the neural model encounters an unfamiliar image.</w:t>
      </w:r>
    </w:p>
    <w:p>
      <w:pPr>
        <w:pStyle w:val="Heading3"/>
        <w:keepNext/>
        <w:keepLines/>
        <w:spacing w:before="240" w:after="120" w:line="269" w:lineRule="auto"/>
      </w:pPr>
      <w:r>
        <w:rPr>
          <w:color w:val="000000"/>
        </w:rPr>
        <w:t>Treat the optical system as a measurement instrument</w:t>
      </w:r>
    </w:p>
    <w:p>
      <w:pPr>
        <w:pStyle w:val="Normal"/>
        <w:spacing w:before="0" w:after="50" w:line="250" w:lineRule="auto"/>
        <w:rPr/>
      </w:pPr>
      <w:r>
        <w:rPr>
          <w:rFonts w:ascii="Calibri" w:hAnsi="Calibri"/>
          <w:color w:val="000000"/>
          <w:sz w:val="20"/>
        </w:rPr>
        <w:t xml:space="preserve">Telecentric optics remain a good design choice, but the claim must shift from “sub-micron accuracy” to </w:t>
      </w:r>
      <w:r>
        <w:rPr>
          <w:rFonts w:ascii="Calibri" w:hAnsi="Calibri"/>
          <w:b/>
          <w:color w:val="000000"/>
          <w:sz w:val="20"/>
        </w:rPr>
        <w:t>traceable dimensional metrology</w:t>
      </w:r>
      <w:r>
        <w:rPr>
          <w:rFonts w:ascii="Calibri" w:hAnsi="Calibri"/>
          <w:color w:val="000000"/>
          <w:sz w:val="20"/>
        </w:rPr>
        <w:t>.</w:t>
      </w:r>
    </w:p>
    <w:p>
      <w:pPr>
        <w:pStyle w:val="Normal"/>
        <w:spacing w:before="0" w:after="50" w:line="250" w:lineRule="auto"/>
        <w:rPr/>
      </w:pPr>
      <w:r>
        <w:rPr>
          <w:rFonts w:ascii="Calibri" w:hAnsi="Calibri"/>
          <w:color w:val="000000"/>
          <w:sz w:val="20"/>
        </w:rPr>
        <w:t>For every device, establish:</w:t>
      </w:r>
    </w:p>
    <w:p>
      <w:pPr>
        <w:pStyle w:val="Normal"/>
        <w:spacing w:before="0" w:after="50" w:line="250" w:lineRule="auto"/>
        <w:rPr/>
      </w:pPr>
      <w:r>
        <w:rPr>
          <w:rFonts w:ascii="Calibri" w:hAnsi="Calibri"/>
          <w:color w:val="000000"/>
          <w:sz w:val="20"/>
        </w:rPr>
        <w:t>calibration artefact with traceable dimensions;</w:t>
      </w:r>
    </w:p>
    <w:p>
      <w:pPr>
        <w:pStyle w:val="Normal"/>
        <w:spacing w:before="0" w:after="50" w:line="250" w:lineRule="auto"/>
        <w:rPr/>
      </w:pPr>
      <w:r>
        <w:rPr>
          <w:rFonts w:ascii="Calibri" w:hAnsi="Calibri"/>
          <w:color w:val="000000"/>
          <w:sz w:val="20"/>
        </w:rPr>
        <w:t>pixels/mm calibration;</w:t>
      </w:r>
    </w:p>
    <w:p>
      <w:pPr>
        <w:pStyle w:val="Normal"/>
        <w:spacing w:before="0" w:after="50" w:line="250" w:lineRule="auto"/>
        <w:rPr/>
      </w:pPr>
      <w:r>
        <w:rPr>
          <w:rFonts w:ascii="Calibri" w:hAnsi="Calibri"/>
          <w:color w:val="000000"/>
          <w:sz w:val="20"/>
        </w:rPr>
        <w:t>field-position error map;</w:t>
      </w:r>
    </w:p>
    <w:p>
      <w:pPr>
        <w:pStyle w:val="Normal"/>
        <w:spacing w:before="0" w:after="50" w:line="250" w:lineRule="auto"/>
        <w:rPr/>
      </w:pPr>
      <w:r>
        <w:rPr>
          <w:rFonts w:ascii="Calibri" w:hAnsi="Calibri"/>
          <w:color w:val="000000"/>
          <w:sz w:val="20"/>
        </w:rPr>
        <w:t>working-distance tolerance;</w:t>
      </w:r>
    </w:p>
    <w:p>
      <w:pPr>
        <w:pStyle w:val="Normal"/>
        <w:spacing w:before="0" w:after="50" w:line="250" w:lineRule="auto"/>
        <w:rPr/>
      </w:pPr>
      <w:r>
        <w:rPr>
          <w:rFonts w:ascii="Calibri" w:hAnsi="Calibri"/>
          <w:color w:val="000000"/>
          <w:sz w:val="20"/>
        </w:rPr>
        <w:t>focus/depth tolerance;</w:t>
      </w:r>
    </w:p>
    <w:p>
      <w:pPr>
        <w:pStyle w:val="Normal"/>
        <w:spacing w:before="0" w:after="50" w:line="250" w:lineRule="auto"/>
        <w:rPr/>
      </w:pPr>
      <w:r>
        <w:rPr>
          <w:rFonts w:ascii="Calibri" w:hAnsi="Calibri"/>
          <w:color w:val="000000"/>
          <w:sz w:val="20"/>
        </w:rPr>
        <w:t>illumination uniformity;</w:t>
      </w:r>
    </w:p>
    <w:p>
      <w:pPr>
        <w:pStyle w:val="Normal"/>
        <w:spacing w:before="0" w:after="50" w:line="250" w:lineRule="auto"/>
        <w:rPr/>
      </w:pPr>
      <w:r>
        <w:rPr>
          <w:rFonts w:ascii="Calibri" w:hAnsi="Calibri"/>
          <w:color w:val="000000"/>
          <w:sz w:val="20"/>
        </w:rPr>
        <w:t>repeatability;</w:t>
      </w:r>
    </w:p>
    <w:p>
      <w:pPr>
        <w:pStyle w:val="Normal"/>
        <w:spacing w:before="0" w:after="50" w:line="250" w:lineRule="auto"/>
        <w:rPr/>
      </w:pPr>
      <w:r>
        <w:rPr>
          <w:rFonts w:ascii="Calibri" w:hAnsi="Calibri"/>
          <w:color w:val="000000"/>
          <w:sz w:val="20"/>
        </w:rPr>
        <w:t>device-to-device reproducibility;</w:t>
      </w:r>
    </w:p>
    <w:p>
      <w:pPr>
        <w:pStyle w:val="Normal"/>
        <w:spacing w:before="0" w:after="50" w:line="250" w:lineRule="auto"/>
        <w:rPr/>
      </w:pPr>
      <w:r>
        <w:rPr>
          <w:rFonts w:ascii="Calibri" w:hAnsi="Calibri"/>
          <w:color w:val="000000"/>
          <w:sz w:val="20"/>
        </w:rPr>
        <w:t>environmental drift;</w:t>
      </w:r>
    </w:p>
    <w:p>
      <w:pPr>
        <w:pStyle w:val="Normal"/>
        <w:spacing w:before="0" w:after="50" w:line="250" w:lineRule="auto"/>
        <w:rPr/>
      </w:pPr>
      <w:r>
        <w:rPr>
          <w:rFonts w:ascii="Calibri" w:hAnsi="Calibri"/>
          <w:color w:val="000000"/>
          <w:sz w:val="20"/>
        </w:rPr>
        <w:t>residual distortion;</w:t>
      </w:r>
    </w:p>
    <w:p>
      <w:pPr>
        <w:pStyle w:val="Normal"/>
        <w:spacing w:before="0" w:after="50" w:line="250" w:lineRule="auto"/>
        <w:rPr/>
      </w:pPr>
      <w:r>
        <w:rPr>
          <w:rFonts w:ascii="Calibri" w:hAnsi="Calibri"/>
          <w:color w:val="000000"/>
          <w:sz w:val="20"/>
        </w:rPr>
        <w:t>total measurement uncertainty.</w:t>
      </w:r>
    </w:p>
    <w:p>
      <w:pPr>
        <w:pStyle w:val="Normal"/>
        <w:spacing w:before="0" w:after="50" w:line="250" w:lineRule="auto"/>
        <w:rPr/>
      </w:pPr>
      <w:r>
        <w:rPr>
          <w:rFonts w:ascii="Calibri" w:hAnsi="Calibri"/>
          <w:color w:val="000000"/>
          <w:sz w:val="20"/>
        </w:rPr>
        <w:t>A known antibiotic-disc diameter can be an ongoing sanity/QC feature, but it should not be the entire calibration method.</w:t>
      </w:r>
    </w:p>
    <w:p>
      <w:pPr>
        <w:pStyle w:val="Heading3"/>
        <w:keepNext/>
        <w:keepLines/>
        <w:spacing w:before="240" w:after="120" w:line="269" w:lineRule="auto"/>
      </w:pPr>
      <w:r>
        <w:rPr>
          <w:color w:val="000000"/>
        </w:rPr>
        <w:t>Design the dataset around failure, not around pretty plates</w:t>
      </w:r>
    </w:p>
    <w:p>
      <w:pPr>
        <w:pStyle w:val="Normal"/>
        <w:spacing w:before="0" w:after="50" w:line="250" w:lineRule="auto"/>
        <w:rPr/>
      </w:pPr>
      <w:r>
        <w:rPr>
          <w:rFonts w:ascii="Calibri" w:hAnsi="Calibri"/>
          <w:color w:val="000000"/>
          <w:sz w:val="20"/>
        </w:rPr>
        <w:t>A useful AST image dataset must deliberately contain ugly clinical reality:</w:t>
      </w:r>
    </w:p>
    <w:p>
      <w:pPr>
        <w:pStyle w:val="Normal"/>
        <w:spacing w:before="0" w:after="50" w:line="250" w:lineRule="auto"/>
        <w:rPr/>
      </w:pPr>
      <w:r>
        <w:rPr>
          <w:rFonts w:ascii="Calibri" w:hAnsi="Calibri"/>
          <w:color w:val="000000"/>
          <w:sz w:val="20"/>
        </w:rPr>
        <w:t>Proteus swarming; hazy or indistinct zones; double zones; colonies inside zones; irregular zones; overlapping inhibition areas; off-centre discs; edge-of-plate discs; mixed growth; insufficient lawn; overgrowth; contaminated plates; condensation; scratches; glare; plate markings; varying agar depths; different media lots; different disc manufacturers/lots; pigmentation; variable incubation; multiple cameras; multiple devices; multiple laboratories.</w:t>
      </w:r>
    </w:p>
    <w:p>
      <w:pPr>
        <w:pStyle w:val="Normal"/>
        <w:spacing w:before="0" w:after="50" w:line="250" w:lineRule="auto"/>
        <w:rPr/>
      </w:pPr>
      <w:r>
        <w:rPr>
          <w:rFonts w:ascii="Calibri" w:hAnsi="Calibri"/>
          <w:color w:val="000000"/>
          <w:sz w:val="20"/>
        </w:rPr>
        <w:t xml:space="preserve">The test set should be split by </w:t>
      </w:r>
      <w:r>
        <w:rPr>
          <w:rFonts w:ascii="Calibri" w:hAnsi="Calibri"/>
          <w:b/>
          <w:color w:val="000000"/>
          <w:sz w:val="20"/>
        </w:rPr>
        <w:t>site/device/time</w:t>
      </w:r>
      <w:r>
        <w:rPr>
          <w:rFonts w:ascii="Calibri" w:hAnsi="Calibri"/>
          <w:color w:val="000000"/>
          <w:sz w:val="20"/>
        </w:rPr>
        <w:t>, not just random images.</w:t>
      </w:r>
    </w:p>
    <w:p>
      <w:pPr>
        <w:pStyle w:val="Normal"/>
        <w:spacing w:before="0" w:after="50" w:line="250" w:lineRule="auto"/>
        <w:rPr/>
      </w:pPr>
      <w:r>
        <w:rPr>
          <w:rFonts w:ascii="Calibri" w:hAnsi="Calibri"/>
          <w:color w:val="000000"/>
          <w:sz w:val="20"/>
        </w:rPr>
        <w:t>Otherwise thousands of near-duplicate images from the same setup can produce an impressive validation score without proving generalisability.</w:t>
      </w:r>
    </w:p>
    <w:p>
      <w:pPr>
        <w:pStyle w:val="Heading3"/>
        <w:keepNext/>
        <w:keepLines/>
        <w:spacing w:before="240" w:after="120" w:line="269" w:lineRule="auto"/>
      </w:pPr>
      <w:r>
        <w:rPr>
          <w:color w:val="000000"/>
        </w:rPr>
        <w:t>Make clinical risk proportional to breakpoint distance</w:t>
      </w:r>
    </w:p>
    <w:p>
      <w:pPr>
        <w:pStyle w:val="Normal"/>
        <w:spacing w:before="0" w:after="50" w:line="250" w:lineRule="auto"/>
        <w:rPr/>
      </w:pPr>
      <w:r>
        <w:rPr>
          <w:rFonts w:ascii="Calibri" w:hAnsi="Calibri"/>
          <w:color w:val="000000"/>
          <w:sz w:val="20"/>
        </w:rPr>
        <w:t>A useful new metric for AMR-Eye would be:</w:t>
      </w:r>
    </w:p>
    <w:p>
      <w:pPr>
        <w:pStyle w:val="Normal"/>
        <w:keepNext/>
        <w:spacing w:before="0" w:after="50" w:line="250" w:lineRule="auto"/>
        <w:rPr/>
      </w:pPr>
      <w:r>
        <w:rPr>
          <w:rFonts w:ascii="Calibri" w:hAnsi="Calibri"/>
          <w:b/>
          <w:color w:val="000000"/>
          <w:sz w:val="20"/>
        </w:rPr>
        <w:t>Breakpoint Distance Margin</w:t>
      </w:r>
    </w:p>
    <w:p>
      <w:pPr>
        <w:pStyle w:val="Normal"/>
        <w:spacing w:before="0" w:after="50" w:line="250" w:lineRule="auto"/>
        <w:rPr/>
      </w:pPr>
      <w:r>
        <w:rPr>
          <w:rFonts w:ascii="Calibri" w:hAnsi="Calibri"/>
          <w:color w:val="000000"/>
          <w:sz w:val="20"/>
        </w:rPr>
        <w:t>A 1 mm measurement error when the true diameter is 20 mm and the breakpoint is 20 mm can change treatment interpretation.</w:t>
      </w:r>
    </w:p>
    <w:p>
      <w:pPr>
        <w:pStyle w:val="Normal"/>
        <w:spacing w:before="0" w:after="50" w:line="250" w:lineRule="auto"/>
        <w:rPr/>
      </w:pPr>
      <w:r>
        <w:rPr>
          <w:rFonts w:ascii="Calibri" w:hAnsi="Calibri"/>
          <w:color w:val="000000"/>
          <w:sz w:val="20"/>
        </w:rPr>
        <w:t>A 1 mm error when the true diameter is 35 mm and the breakpoint is 20 mm usually will not.</w:t>
      </w:r>
    </w:p>
    <w:p>
      <w:pPr>
        <w:pStyle w:val="Normal"/>
        <w:spacing w:before="0" w:after="50" w:line="250" w:lineRule="auto"/>
        <w:rPr/>
      </w:pPr>
      <w:r>
        <w:rPr>
          <w:rFonts w:ascii="Calibri" w:hAnsi="Calibri"/>
          <w:color w:val="000000"/>
          <w:sz w:val="20"/>
        </w:rPr>
        <w:t>Therefore model analysis should stratify performance by distance from the decision boundary, not only report aggregate MAE.</w:t>
      </w:r>
    </w:p>
    <w:p>
      <w:pPr>
        <w:pStyle w:val="Normal"/>
        <w:spacing w:before="0" w:after="50" w:line="250" w:lineRule="auto"/>
        <w:rPr/>
      </w:pPr>
      <w:r>
        <w:rPr>
          <w:rFonts w:ascii="Calibri" w:hAnsi="Calibri"/>
          <w:color w:val="000000"/>
          <w:sz w:val="20"/>
        </w:rPr>
        <w:t>This can become one of AMR-Eye's strongest scientific contributions.</w:t>
      </w:r>
    </w:p>
    <w:p>
      <w:pPr>
        <w:pStyle w:val="Heading3"/>
        <w:keepNext/>
        <w:keepLines/>
        <w:spacing w:before="240" w:after="120" w:line="269" w:lineRule="auto"/>
      </w:pPr>
      <w:r>
        <w:rPr>
          <w:color w:val="000000"/>
        </w:rPr>
        <w:t>De-scope the exotic sensors from the clinical critical path</w:t>
      </w:r>
    </w:p>
    <w:p>
      <w:pPr>
        <w:pStyle w:val="Normal"/>
        <w:spacing w:before="0" w:after="50" w:line="250" w:lineRule="auto"/>
        <w:rPr/>
      </w:pPr>
      <w:r>
        <w:rPr>
          <w:rFonts w:ascii="Calibri" w:hAnsi="Calibri"/>
          <w:color w:val="000000"/>
          <w:sz w:val="20"/>
        </w:rPr>
        <w:t>For now:</w:t>
      </w:r>
    </w:p>
    <w:p>
      <w:pPr>
        <w:pStyle w:val="Normal"/>
        <w:spacing w:before="0" w:after="50" w:line="250" w:lineRule="auto"/>
        <w:rPr/>
      </w:pPr>
      <w:r>
        <w:rPr>
          <w:rFonts w:ascii="Calibri" w:hAnsi="Calibri"/>
          <w:b/>
          <w:color w:val="000000"/>
          <w:sz w:val="20"/>
        </w:rPr>
        <w:t>Keep:</w:t>
      </w:r>
      <w:r>
        <w:rPr>
          <w:rFonts w:ascii="Calibri" w:hAnsi="Calibri"/>
          <w:color w:val="000000"/>
          <w:sz w:val="20"/>
        </w:rPr>
        <w:t xml:space="preserve"> controlled visible illumination, telecentric/appropriate calibrated optics, reliable camera, temperature sensing if incubation is integrated, barcode/QR, basic environmental monitoring.</w:t>
      </w:r>
    </w:p>
    <w:p>
      <w:pPr>
        <w:pStyle w:val="Normal"/>
        <w:spacing w:before="0" w:after="50" w:line="250" w:lineRule="auto"/>
        <w:rPr/>
      </w:pPr>
      <w:r>
        <w:rPr>
          <w:rFonts w:ascii="Calibri" w:hAnsi="Calibri"/>
          <w:b/>
          <w:color w:val="000000"/>
          <w:sz w:val="20"/>
        </w:rPr>
        <w:t>Experimental side-channel:</w:t>
      </w:r>
      <w:r>
        <w:rPr>
          <w:rFonts w:ascii="Calibri" w:hAnsi="Calibri"/>
          <w:color w:val="000000"/>
          <w:sz w:val="20"/>
        </w:rPr>
        <w:t xml:space="preserve"> NIR.</w:t>
      </w:r>
    </w:p>
    <w:p>
      <w:pPr>
        <w:pStyle w:val="Normal"/>
        <w:spacing w:before="0" w:after="50" w:line="250" w:lineRule="auto"/>
        <w:rPr/>
      </w:pPr>
      <w:r>
        <w:rPr>
          <w:rFonts w:ascii="Calibri" w:hAnsi="Calibri"/>
          <w:b/>
          <w:color w:val="000000"/>
          <w:sz w:val="20"/>
        </w:rPr>
        <w:t>Research backlog:</w:t>
      </w:r>
      <w:r>
        <w:rPr>
          <w:rFonts w:ascii="Calibri" w:hAnsi="Calibri"/>
          <w:color w:val="000000"/>
          <w:sz w:val="20"/>
        </w:rPr>
        <w:t xml:space="preserve"> BME688 VOC, 8×8 ToF colony topography, load-cell biomass.</w:t>
      </w:r>
    </w:p>
    <w:p>
      <w:pPr>
        <w:pStyle w:val="Normal"/>
        <w:spacing w:before="0" w:after="50" w:line="250" w:lineRule="auto"/>
        <w:rPr/>
      </w:pPr>
      <w:r>
        <w:rPr>
          <w:rFonts w:ascii="Calibri" w:hAnsi="Calibri"/>
          <w:color w:val="000000"/>
          <w:sz w:val="20"/>
        </w:rPr>
        <w:t>This avoids turning a validation project into a sensor demonstration.</w:t>
      </w:r>
    </w:p>
    <w:p>
      <w:pPr>
        <w:pStyle w:val="Normal"/>
        <w:spacing w:before="0" w:after="50" w:line="250" w:lineRule="auto"/>
        <w:rPr/>
      </w:pPr>
      <w:r>
        <w:rPr>
          <w:rFonts w:ascii="Calibri" w:hAnsi="Calibri"/>
          <w:color w:val="000000"/>
          <w:sz w:val="20"/>
        </w:rPr>
        <w:t>Similarly, Jetson Orin NX should remain a candidate, not a sacred architectural requirement. Benchmark the actual model first. If the validated inference stack runs acceptably on cheaper hardware, the cost, power, heat and BOM advantages may outweigh unused TOPS.</w:t>
      </w:r>
    </w:p>
    <w:p>
      <w:pPr>
        <w:pStyle w:val="Heading3"/>
        <w:keepNext/>
        <w:keepLines/>
        <w:spacing w:before="240" w:after="120" w:line="269" w:lineRule="auto"/>
      </w:pPr>
      <w:r>
        <w:rPr>
          <w:color w:val="000000"/>
        </w:rPr>
        <w:t>Consider decoupling the reader from the incubator for the first validation</w:t>
      </w:r>
    </w:p>
    <w:p>
      <w:pPr>
        <w:pStyle w:val="Normal"/>
        <w:spacing w:before="0" w:after="50" w:line="250" w:lineRule="auto"/>
        <w:rPr/>
      </w:pPr>
      <w:r>
        <w:rPr>
          <w:rFonts w:ascii="Calibri" w:hAnsi="Calibri"/>
          <w:color w:val="000000"/>
          <w:sz w:val="20"/>
        </w:rPr>
        <w:t>A strategically important simplification would be:</w:t>
      </w:r>
    </w:p>
    <w:p>
      <w:pPr>
        <w:pStyle w:val="Normal"/>
        <w:keepNext/>
        <w:spacing w:before="0" w:after="50" w:line="250" w:lineRule="auto"/>
        <w:rPr/>
      </w:pPr>
      <w:r>
        <w:rPr>
          <w:rFonts w:ascii="Calibri" w:hAnsi="Calibri"/>
          <w:b/>
          <w:color w:val="000000"/>
          <w:sz w:val="20"/>
        </w:rPr>
        <w:t>AMR-Eye Reader V1 = imaging + analysis + standards + review</w:t>
      </w:r>
    </w:p>
    <w:p>
      <w:pPr>
        <w:pStyle w:val="Normal"/>
        <w:spacing w:before="0" w:after="50" w:line="250" w:lineRule="auto"/>
        <w:rPr/>
      </w:pPr>
      <w:r>
        <w:rPr>
          <w:rFonts w:ascii="Calibri" w:hAnsi="Calibri"/>
          <w:color w:val="000000"/>
          <w:sz w:val="20"/>
        </w:rPr>
        <w:t>using the laboratory's existing validated incubator.</w:t>
      </w:r>
    </w:p>
    <w:p>
      <w:pPr>
        <w:pStyle w:val="Normal"/>
        <w:spacing w:before="0" w:after="50" w:line="250" w:lineRule="auto"/>
        <w:rPr/>
      </w:pPr>
      <w:r>
        <w:rPr>
          <w:rFonts w:ascii="Calibri" w:hAnsi="Calibri"/>
          <w:color w:val="000000"/>
          <w:sz w:val="20"/>
        </w:rPr>
        <w:t>Then:</w:t>
      </w:r>
    </w:p>
    <w:p>
      <w:pPr>
        <w:pStyle w:val="Normal"/>
        <w:keepNext/>
        <w:spacing w:before="0" w:after="50" w:line="250" w:lineRule="auto"/>
        <w:rPr/>
      </w:pPr>
      <w:r>
        <w:rPr>
          <w:rFonts w:ascii="Calibri" w:hAnsi="Calibri"/>
          <w:b/>
          <w:color w:val="000000"/>
          <w:sz w:val="20"/>
        </w:rPr>
        <w:t>AMR-Eye Bio-Vault V2 = validated integrated incubation + imaging</w:t>
      </w:r>
    </w:p>
    <w:p>
      <w:pPr>
        <w:pStyle w:val="Normal"/>
        <w:spacing w:before="0" w:after="50" w:line="250" w:lineRule="auto"/>
        <w:rPr/>
      </w:pPr>
      <w:r>
        <w:rPr>
          <w:rFonts w:ascii="Calibri" w:hAnsi="Calibri"/>
          <w:color w:val="000000"/>
          <w:sz w:val="20"/>
        </w:rPr>
        <w:t>This removes thermal chamber qualification from the earliest optical/clinical study.</w:t>
      </w:r>
    </w:p>
    <w:p>
      <w:pPr>
        <w:pStyle w:val="Normal"/>
        <w:spacing w:before="0" w:after="50" w:line="250" w:lineRule="auto"/>
        <w:rPr/>
      </w:pPr>
      <w:r>
        <w:rPr>
          <w:rFonts w:ascii="Calibri" w:hAnsi="Calibri"/>
          <w:color w:val="000000"/>
          <w:sz w:val="20"/>
        </w:rPr>
        <w:t>The Bio-Vault remains part of the platform vision, but it no longer blocks the shortest path to credible evidence.</w:t>
      </w:r>
    </w:p>
    <w:p>
      <w:pPr>
        <w:pStyle w:val="Heading3"/>
        <w:keepNext/>
        <w:keepLines/>
        <w:spacing w:before="240" w:after="120" w:line="269" w:lineRule="auto"/>
      </w:pPr>
      <w:r>
        <w:rPr>
          <w:color w:val="000000"/>
        </w:rPr>
        <w:t>Validation and regulatory pathway</w:t>
      </w:r>
    </w:p>
    <w:p>
      <w:pPr>
        <w:pStyle w:val="Heading3"/>
        <w:keepNext/>
        <w:keepLines/>
        <w:spacing w:before="240" w:after="120" w:line="269" w:lineRule="auto"/>
      </w:pPr>
      <w:r>
        <w:rPr>
          <w:color w:val="000000"/>
        </w:rPr>
        <w:t>Recommended evidence ladder</w:t>
      </w:r>
    </w:p>
    <w:p>
      <w:pPr>
        <w:pStyle w:val="Heading3"/>
        <w:keepNext/>
        <w:keepLines/>
        <w:spacing w:before="240" w:after="120" w:line="269" w:lineRule="auto"/>
      </w:pPr>
      <w:r>
        <w:rPr>
          <w:color w:val="000000"/>
        </w:rPr>
        <w:t>Metrology verification</w:t>
      </w:r>
    </w:p>
    <w:p>
      <w:pPr>
        <w:pStyle w:val="Normal"/>
        <w:spacing w:before="0" w:after="50" w:line="250" w:lineRule="auto"/>
        <w:rPr/>
      </w:pPr>
      <w:r>
        <w:rPr>
          <w:rFonts w:ascii="Calibri" w:hAnsi="Calibri"/>
          <w:color w:val="000000"/>
          <w:sz w:val="20"/>
        </w:rPr>
        <w:t>Before clinical interpretation, prove that the instrument measures geometry correctly.</w:t>
      </w:r>
    </w:p>
    <w:p>
      <w:pPr>
        <w:pStyle w:val="Normal"/>
        <w:spacing w:before="0" w:after="50" w:line="250" w:lineRule="auto"/>
        <w:rPr/>
      </w:pPr>
      <w:r>
        <w:rPr>
          <w:rFonts w:ascii="Calibri" w:hAnsi="Calibri"/>
          <w:color w:val="000000"/>
          <w:sz w:val="20"/>
        </w:rPr>
        <w:t>Create a dimensional target covering the whole image plane and evaluate repeated measurements across:</w:t>
      </w:r>
    </w:p>
    <w:p>
      <w:pPr>
        <w:pStyle w:val="Normal"/>
        <w:spacing w:before="0" w:after="50" w:line="250" w:lineRule="auto"/>
        <w:rPr/>
      </w:pPr>
      <w:r>
        <w:rPr>
          <w:rFonts w:ascii="Calibri" w:hAnsi="Calibri"/>
          <w:color w:val="000000"/>
          <w:sz w:val="20"/>
        </w:rPr>
        <w:t>device × operator × day × position × working distance × lighting × temperature.</w:t>
      </w:r>
    </w:p>
    <w:p>
      <w:pPr>
        <w:pStyle w:val="Normal"/>
        <w:spacing w:before="0" w:after="50" w:line="250" w:lineRule="auto"/>
        <w:rPr/>
      </w:pPr>
      <w:r>
        <w:rPr>
          <w:rFonts w:ascii="Calibri" w:hAnsi="Calibri"/>
          <w:color w:val="000000"/>
          <w:sz w:val="20"/>
        </w:rPr>
        <w:t>Report:</w:t>
      </w:r>
    </w:p>
    <w:p>
      <w:pPr>
        <w:pStyle w:val="Normal"/>
        <w:spacing w:before="0" w:after="50" w:line="250" w:lineRule="auto"/>
        <w:rPr/>
      </w:pPr>
      <w:r>
        <w:rPr>
          <w:rFonts w:ascii="Calibri" w:hAnsi="Calibri"/>
          <w:color w:val="000000"/>
          <w:sz w:val="20"/>
        </w:rPr>
        <w:t>bias, MAE, RMSE, 95% limits of agreement, repeatability SD, reproducibility and proportion within ±0.5/±1/±2 mm.</w:t>
      </w:r>
    </w:p>
    <w:p>
      <w:pPr>
        <w:pStyle w:val="Normal"/>
        <w:spacing w:before="0" w:after="50" w:line="250" w:lineRule="auto"/>
        <w:rPr/>
      </w:pPr>
      <w:r>
        <w:rPr>
          <w:rFonts w:ascii="Calibri" w:hAnsi="Calibri"/>
          <w:color w:val="000000"/>
          <w:sz w:val="20"/>
        </w:rPr>
        <w:t>A useful internal research target; </w:t>
      </w:r>
      <w:r>
        <w:rPr>
          <w:rFonts w:ascii="Calibri" w:hAnsi="Calibri"/>
          <w:b/>
          <w:color w:val="000000"/>
          <w:sz w:val="20"/>
        </w:rPr>
        <w:t>not a regulatory requirement</w:t>
      </w:r>
      <w:r>
        <w:rPr>
          <w:rFonts w:ascii="Calibri" w:hAnsi="Calibri"/>
          <w:color w:val="000000"/>
          <w:sz w:val="20"/>
        </w:rPr>
        <w:t>; would be to work towards around 0.5 mm mean absolute zone error because contemporary published work has demonstrated roughly that scale under controlled conditions. [EA-21]</w:t>
      </w:r>
    </w:p>
    <w:p>
      <w:pPr>
        <w:pStyle w:val="Heading3"/>
        <w:keepNext/>
        <w:keepLines/>
        <w:spacing w:before="240" w:after="120" w:line="269" w:lineRule="auto"/>
      </w:pPr>
      <w:r>
        <w:rPr>
          <w:color w:val="000000"/>
        </w:rPr>
        <w:t>Plate-reading verification</w:t>
      </w:r>
    </w:p>
    <w:p>
      <w:pPr>
        <w:pStyle w:val="Normal"/>
        <w:spacing w:before="0" w:after="50" w:line="250" w:lineRule="auto"/>
        <w:rPr/>
      </w:pPr>
      <w:r>
        <w:rPr>
          <w:rFonts w:ascii="Calibri" w:hAnsi="Calibri"/>
          <w:color w:val="000000"/>
          <w:sz w:val="20"/>
        </w:rPr>
        <w:t>Use blinded disk-diffusion plates and compare AMR-Eye measurements with reference/manual measurements.</w:t>
      </w:r>
    </w:p>
    <w:p>
      <w:pPr>
        <w:pStyle w:val="Normal"/>
        <w:spacing w:before="0" w:after="50" w:line="250" w:lineRule="auto"/>
        <w:rPr/>
      </w:pPr>
      <w:r>
        <w:rPr>
          <w:rFonts w:ascii="Calibri" w:hAnsi="Calibri"/>
          <w:color w:val="000000"/>
          <w:sz w:val="20"/>
        </w:rPr>
        <w:t>Do not ask initially whether AMR-Eye predicts resistance.</w:t>
      </w:r>
    </w:p>
    <w:p>
      <w:pPr>
        <w:pStyle w:val="Normal"/>
        <w:spacing w:before="0" w:after="50" w:line="250" w:lineRule="auto"/>
        <w:rPr/>
      </w:pPr>
      <w:r>
        <w:rPr>
          <w:rFonts w:ascii="Calibri" w:hAnsi="Calibri"/>
          <w:color w:val="000000"/>
          <w:sz w:val="20"/>
        </w:rPr>
        <w:t>Ask:</w:t>
      </w:r>
    </w:p>
    <w:p>
      <w:pPr>
        <w:pStyle w:val="Normal"/>
        <w:spacing w:before="0" w:after="50" w:line="250" w:lineRule="auto"/>
        <w:rPr/>
      </w:pPr>
      <w:r>
        <w:rPr>
          <w:rFonts w:ascii="Calibri" w:hAnsi="Calibri"/>
          <w:color w:val="000000"/>
          <w:sz w:val="20"/>
        </w:rPr>
        <w:t>“</w:t>
      </w:r>
      <w:r>
        <w:rPr>
          <w:rFonts w:ascii="Calibri" w:hAnsi="Calibri"/>
          <w:color w:val="000000"/>
          <w:sz w:val="20"/>
        </w:rPr>
        <w:t>Does it measure the inhibition zone correctly?”</w:t>
      </w:r>
    </w:p>
    <w:p>
      <w:pPr>
        <w:pStyle w:val="Normal"/>
        <w:spacing w:before="0" w:after="50" w:line="250" w:lineRule="auto"/>
        <w:rPr/>
      </w:pPr>
      <w:r>
        <w:rPr>
          <w:rFonts w:ascii="Calibri" w:hAnsi="Calibri"/>
          <w:color w:val="000000"/>
          <w:sz w:val="20"/>
        </w:rPr>
        <w:t>This isolates the vision/metrology problem from breakpoint interpretation.</w:t>
      </w:r>
    </w:p>
    <w:p>
      <w:pPr>
        <w:pStyle w:val="Heading3"/>
        <w:keepNext/>
        <w:keepLines/>
        <w:spacing w:before="240" w:after="120" w:line="269" w:lineRule="auto"/>
      </w:pPr>
      <w:r>
        <w:rPr>
          <w:color w:val="000000"/>
        </w:rPr>
        <w:t>Analytical AST validation</w:t>
      </w:r>
    </w:p>
    <w:p>
      <w:pPr>
        <w:pStyle w:val="Normal"/>
        <w:spacing w:before="0" w:after="50" w:line="250" w:lineRule="auto"/>
        <w:rPr/>
      </w:pPr>
      <w:r>
        <w:rPr>
          <w:rFonts w:ascii="Calibri" w:hAnsi="Calibri"/>
          <w:color w:val="000000"/>
          <w:sz w:val="20"/>
        </w:rPr>
        <w:t>Then compare full susceptibility outputs against the appropriate reference method.</w:t>
      </w:r>
    </w:p>
    <w:p>
      <w:pPr>
        <w:pStyle w:val="Normal"/>
        <w:spacing w:before="0" w:after="50" w:line="250" w:lineRule="auto"/>
        <w:rPr/>
      </w:pPr>
      <w:r>
        <w:rPr>
          <w:rFonts w:ascii="Calibri" w:hAnsi="Calibri"/>
          <w:color w:val="000000"/>
          <w:sz w:val="20"/>
        </w:rPr>
        <w:t>ICMR's rapid-diagnostic AST guidance provides a practical framework around sufficiently large organism groups, reference methods and categorical/error analysis. [EA-25]</w:t>
      </w:r>
    </w:p>
    <w:p>
      <w:pPr>
        <w:pStyle w:val="Normal"/>
        <w:spacing w:before="0" w:after="50" w:line="250" w:lineRule="auto"/>
        <w:rPr/>
      </w:pPr>
      <w:r>
        <w:rPr>
          <w:rFonts w:ascii="Calibri" w:hAnsi="Calibri"/>
          <w:color w:val="000000"/>
          <w:sz w:val="20"/>
        </w:rPr>
        <w:t>Use:</w:t>
      </w:r>
    </w:p>
    <w:p>
      <w:pPr>
        <w:pStyle w:val="Normal"/>
        <w:spacing w:before="0" w:after="50" w:line="250" w:lineRule="auto"/>
        <w:rPr/>
      </w:pPr>
      <w:r>
        <w:rPr>
          <w:rFonts w:ascii="Calibri" w:hAnsi="Calibri"/>
          <w:color w:val="000000"/>
          <w:sz w:val="20"/>
        </w:rPr>
        <w:t>reference/QC strains;</w:t>
      </w:r>
    </w:p>
    <w:p>
      <w:pPr>
        <w:pStyle w:val="Normal"/>
        <w:spacing w:before="0" w:after="50" w:line="250" w:lineRule="auto"/>
        <w:rPr/>
      </w:pPr>
      <w:r>
        <w:rPr>
          <w:rFonts w:ascii="Calibri" w:hAnsi="Calibri"/>
          <w:color w:val="000000"/>
          <w:sz w:val="20"/>
        </w:rPr>
        <w:t>representative resistant clinical isolates;</w:t>
      </w:r>
    </w:p>
    <w:p>
      <w:pPr>
        <w:pStyle w:val="Normal"/>
        <w:spacing w:before="0" w:after="50" w:line="250" w:lineRule="auto"/>
        <w:rPr/>
      </w:pPr>
      <w:r>
        <w:rPr>
          <w:rFonts w:ascii="Calibri" w:hAnsi="Calibri"/>
          <w:color w:val="000000"/>
          <w:sz w:val="20"/>
        </w:rPr>
        <w:t>breakpoint-adjacent isolates;</w:t>
      </w:r>
    </w:p>
    <w:p>
      <w:pPr>
        <w:pStyle w:val="Normal"/>
        <w:spacing w:before="0" w:after="50" w:line="250" w:lineRule="auto"/>
        <w:rPr/>
      </w:pPr>
      <w:r>
        <w:rPr>
          <w:rFonts w:ascii="Calibri" w:hAnsi="Calibri"/>
          <w:color w:val="000000"/>
          <w:sz w:val="20"/>
        </w:rPr>
        <w:t>clinically important resistance phenotypes;</w:t>
      </w:r>
    </w:p>
    <w:p>
      <w:pPr>
        <w:pStyle w:val="Normal"/>
        <w:spacing w:before="0" w:after="50" w:line="250" w:lineRule="auto"/>
        <w:rPr/>
      </w:pPr>
      <w:r>
        <w:rPr>
          <w:rFonts w:ascii="Calibri" w:hAnsi="Calibri"/>
          <w:color w:val="000000"/>
          <w:sz w:val="20"/>
        </w:rPr>
        <w:t>adequate S/I/R representation;</w:t>
      </w:r>
    </w:p>
    <w:p>
      <w:pPr>
        <w:pStyle w:val="Normal"/>
        <w:spacing w:before="0" w:after="50" w:line="250" w:lineRule="auto"/>
        <w:rPr/>
      </w:pPr>
      <w:r>
        <w:rPr>
          <w:rFonts w:ascii="Calibri" w:hAnsi="Calibri"/>
          <w:color w:val="000000"/>
          <w:sz w:val="20"/>
        </w:rPr>
        <w:t>locked model and test set;</w:t>
      </w:r>
    </w:p>
    <w:p>
      <w:pPr>
        <w:pStyle w:val="Normal"/>
        <w:spacing w:before="0" w:after="50" w:line="250" w:lineRule="auto"/>
        <w:rPr/>
      </w:pPr>
      <w:r>
        <w:rPr>
          <w:rFonts w:ascii="Calibri" w:hAnsi="Calibri"/>
          <w:color w:val="000000"/>
          <w:sz w:val="20"/>
        </w:rPr>
        <w:t>blinded reads.</w:t>
      </w:r>
    </w:p>
    <w:p>
      <w:pPr>
        <w:pStyle w:val="Heading3"/>
        <w:keepNext/>
        <w:keepLines/>
        <w:spacing w:before="240" w:after="120" w:line="269" w:lineRule="auto"/>
      </w:pPr>
      <w:r>
        <w:rPr>
          <w:color w:val="000000"/>
        </w:rPr>
        <w:t>Independent multisite validation</w:t>
      </w:r>
    </w:p>
    <w:p>
      <w:pPr>
        <w:pStyle w:val="Normal"/>
        <w:spacing w:before="0" w:after="50" w:line="250" w:lineRule="auto"/>
        <w:rPr/>
      </w:pPr>
      <w:r>
        <w:rPr>
          <w:rFonts w:ascii="Calibri" w:hAnsi="Calibri"/>
          <w:color w:val="000000"/>
          <w:sz w:val="20"/>
        </w:rPr>
        <w:t>Do not let all project data come from the same laboratory bench.</w:t>
      </w:r>
    </w:p>
    <w:p>
      <w:pPr>
        <w:pStyle w:val="Normal"/>
        <w:spacing w:before="0" w:after="50" w:line="250" w:lineRule="auto"/>
        <w:rPr/>
      </w:pPr>
      <w:r>
        <w:rPr>
          <w:rFonts w:ascii="Calibri" w:hAnsi="Calibri"/>
          <w:color w:val="000000"/>
          <w:sz w:val="20"/>
        </w:rPr>
        <w:t>Use at least two independent laboratory environments if feasible and ensure an entire site is absent from model training.</w:t>
      </w:r>
    </w:p>
    <w:p>
      <w:pPr>
        <w:pStyle w:val="Normal"/>
        <w:spacing w:before="0" w:after="50" w:line="250" w:lineRule="auto"/>
        <w:rPr/>
      </w:pPr>
      <w:r>
        <w:rPr>
          <w:rFonts w:ascii="Calibri" w:hAnsi="Calibri"/>
          <w:color w:val="000000"/>
          <w:sz w:val="20"/>
        </w:rPr>
        <w:t>The purpose is not only regulatory credibility. It is to discover whether the system learned the camera, plate brand, agar appearance or local laboratory habits instead of learning the measurement problem.</w:t>
      </w:r>
    </w:p>
    <w:p>
      <w:pPr>
        <w:pStyle w:val="Heading3"/>
        <w:keepNext/>
        <w:keepLines/>
        <w:spacing w:before="240" w:after="120" w:line="269" w:lineRule="auto"/>
      </w:pPr>
      <w:r>
        <w:rPr>
          <w:color w:val="000000"/>
        </w:rPr>
        <w:t>Rapid-AST validation</w:t>
      </w:r>
    </w:p>
    <w:p>
      <w:pPr>
        <w:pStyle w:val="Normal"/>
        <w:spacing w:before="0" w:after="50" w:line="250" w:lineRule="auto"/>
        <w:rPr/>
      </w:pPr>
      <w:r>
        <w:rPr>
          <w:rFonts w:ascii="Calibri" w:hAnsi="Calibri"/>
          <w:color w:val="000000"/>
          <w:sz w:val="20"/>
        </w:rPr>
        <w:t>Only after endpoint reading works.</w:t>
      </w:r>
    </w:p>
    <w:p>
      <w:pPr>
        <w:pStyle w:val="Normal"/>
        <w:spacing w:before="0" w:after="50" w:line="250" w:lineRule="auto"/>
        <w:rPr/>
      </w:pPr>
      <w:r>
        <w:rPr>
          <w:rFonts w:ascii="Calibri" w:hAnsi="Calibri"/>
          <w:color w:val="000000"/>
          <w:sz w:val="20"/>
        </w:rPr>
        <w:t>Treat every combination as:</w:t>
      </w:r>
    </w:p>
    <w:p>
      <w:pPr>
        <w:pStyle w:val="Normal"/>
        <w:spacing w:before="0" w:after="50" w:line="250" w:lineRule="auto"/>
        <w:rPr/>
      </w:pPr>
      <w:r>
        <w:rPr>
          <w:rFonts w:ascii="Calibri" w:hAnsi="Calibri"/>
          <w:color w:val="000000"/>
          <w:sz w:val="20"/>
        </w:rPr>
        <w:t>organism × antimicrobial × disc potency × method × read-time</w:t>
      </w:r>
    </w:p>
    <w:p>
      <w:pPr>
        <w:pStyle w:val="Normal"/>
        <w:spacing w:before="0" w:after="50" w:line="250" w:lineRule="auto"/>
        <w:rPr/>
      </w:pPr>
      <w:r>
        <w:rPr>
          <w:rFonts w:ascii="Calibri" w:hAnsi="Calibri"/>
          <w:color w:val="000000"/>
          <w:sz w:val="20"/>
        </w:rPr>
        <w:t>and validate it independently.</w:t>
      </w:r>
    </w:p>
    <w:p>
      <w:pPr>
        <w:pStyle w:val="Normal"/>
        <w:spacing w:before="0" w:after="50" w:line="250" w:lineRule="auto"/>
        <w:rPr/>
      </w:pPr>
      <w:r>
        <w:rPr>
          <w:rFonts w:ascii="Calibri" w:hAnsi="Calibri"/>
          <w:color w:val="000000"/>
          <w:sz w:val="20"/>
        </w:rPr>
        <w:t xml:space="preserve">The system should calculate </w:t>
      </w:r>
      <w:r>
        <w:rPr>
          <w:rFonts w:ascii="Calibri" w:hAnsi="Calibri"/>
          <w:b/>
          <w:color w:val="000000"/>
          <w:sz w:val="20"/>
        </w:rPr>
        <w:t>time to first actionable result</w:t>
      </w:r>
      <w:r>
        <w:rPr>
          <w:rFonts w:ascii="Calibri" w:hAnsi="Calibri"/>
          <w:color w:val="000000"/>
          <w:sz w:val="20"/>
        </w:rPr>
        <w:t>, not simply “time until a model outputs something”.</w:t>
      </w:r>
    </w:p>
    <w:p>
      <w:pPr>
        <w:pStyle w:val="Heading3"/>
        <w:keepNext/>
        <w:keepLines/>
        <w:spacing w:before="240" w:after="120" w:line="269" w:lineRule="auto"/>
      </w:pPr>
      <w:r>
        <w:rPr>
          <w:color w:val="000000"/>
        </w:rPr>
        <w:t>Metrics AMR-Eye should publish</w:t>
      </w:r>
    </w:p>
    <w:p>
      <w:pPr>
        <w:pStyle w:val="Normal"/>
        <w:spacing w:before="0" w:after="50" w:line="250" w:lineRule="auto"/>
        <w:rPr/>
      </w:pPr>
      <w:r>
        <w:rPr>
          <w:rFonts w:ascii="Calibri" w:hAnsi="Calibri"/>
          <w:color w:val="000000"/>
          <w:sz w:val="20"/>
        </w:rPr>
        <w:t>A future validation paper should report at least:</w:t>
      </w:r>
    </w:p>
    <w:p>
      <w:pPr>
        <w:keepNext/>
        <w:spacing w:before="0" w:after="50" w:line="250" w:lineRule="auto"/>
      </w:pPr>
      <w:r>
        <w:rPr>
          <w:rFonts w:ascii="Calibri" w:hAnsi="Calibri"/>
          <w:color w:val="000000"/>
          <w:sz w:val="20"/>
        </w:rPr>
        <w:t xml:space="preserve">Layer: Image QC</w:t>
      </w:r>
    </w:p>
    <w:p>
      <w:pPr>
        <w:spacing w:before="0" w:after="50" w:line="250" w:lineRule="auto"/>
      </w:pPr>
      <w:r>
        <w:rPr>
          <w:rFonts w:ascii="Calibri" w:hAnsi="Calibri"/>
          <w:color w:val="000000"/>
          <w:sz w:val="20"/>
        </w:rPr>
        <w:t xml:space="preserve">Metrics: readable %, recapture %, failure/abstention %</w:t>
      </w:r>
    </w:p>
    <w:p>
      <w:pPr>
        <w:keepNext/>
        <w:spacing w:before="0" w:after="50" w:line="250" w:lineRule="auto"/>
      </w:pPr>
      <w:r>
        <w:rPr>
          <w:rFonts w:ascii="Calibri" w:hAnsi="Calibri"/>
          <w:color w:val="000000"/>
          <w:sz w:val="20"/>
        </w:rPr>
        <w:t xml:space="preserve">Layer: Zone metrology</w:t>
      </w:r>
    </w:p>
    <w:p>
      <w:pPr>
        <w:spacing w:before="0" w:after="50" w:line="250" w:lineRule="auto"/>
      </w:pPr>
      <w:r>
        <w:rPr>
          <w:rFonts w:ascii="Calibri" w:hAnsi="Calibri"/>
          <w:color w:val="000000"/>
          <w:sz w:val="20"/>
        </w:rPr>
        <w:t xml:space="preserve">Metrics: bias, MAE, LoA, ±1 mm and ±2 mm agreement</w:t>
      </w:r>
    </w:p>
    <w:p>
      <w:pPr>
        <w:keepNext/>
        <w:spacing w:before="0" w:after="50" w:line="250" w:lineRule="auto"/>
      </w:pPr>
      <w:r>
        <w:rPr>
          <w:rFonts w:ascii="Calibri" w:hAnsi="Calibri"/>
          <w:color w:val="000000"/>
          <w:sz w:val="20"/>
        </w:rPr>
        <w:t xml:space="preserve">Layer: Repeatability</w:t>
      </w:r>
    </w:p>
    <w:p>
      <w:pPr>
        <w:spacing w:before="0" w:after="50" w:line="250" w:lineRule="auto"/>
      </w:pPr>
      <w:r>
        <w:rPr>
          <w:rFonts w:ascii="Calibri" w:hAnsi="Calibri"/>
          <w:color w:val="000000"/>
          <w:sz w:val="20"/>
        </w:rPr>
        <w:t xml:space="preserve">Metrics: within-run/device/operator/day</w:t>
      </w:r>
    </w:p>
    <w:p>
      <w:pPr>
        <w:keepNext/>
        <w:spacing w:before="0" w:after="50" w:line="250" w:lineRule="auto"/>
      </w:pPr>
      <w:r>
        <w:rPr>
          <w:rFonts w:ascii="Calibri" w:hAnsi="Calibri"/>
          <w:color w:val="000000"/>
          <w:sz w:val="20"/>
        </w:rPr>
        <w:t xml:space="preserve">Layer: Reproducibility</w:t>
      </w:r>
    </w:p>
    <w:p>
      <w:pPr>
        <w:spacing w:before="0" w:after="50" w:line="250" w:lineRule="auto"/>
      </w:pPr>
      <w:r>
        <w:rPr>
          <w:rFonts w:ascii="Calibri" w:hAnsi="Calibri"/>
          <w:color w:val="000000"/>
          <w:sz w:val="20"/>
        </w:rPr>
        <w:t xml:space="preserve">Metrics: device/site/operator</w:t>
      </w:r>
    </w:p>
    <w:p>
      <w:pPr>
        <w:keepNext/>
        <w:spacing w:before="0" w:after="50" w:line="250" w:lineRule="auto"/>
      </w:pPr>
      <w:r>
        <w:rPr>
          <w:rFonts w:ascii="Calibri" w:hAnsi="Calibri"/>
          <w:color w:val="000000"/>
          <w:sz w:val="20"/>
        </w:rPr>
        <w:t xml:space="preserve">Layer: AST</w:t>
      </w:r>
    </w:p>
    <w:p>
      <w:pPr>
        <w:spacing w:before="0" w:after="50" w:line="250" w:lineRule="auto"/>
      </w:pPr>
      <w:r>
        <w:rPr>
          <w:rFonts w:ascii="Calibri" w:hAnsi="Calibri"/>
          <w:color w:val="000000"/>
          <w:sz w:val="20"/>
        </w:rPr>
        <w:t xml:space="preserve">Metrics: categorical agreement</w:t>
      </w:r>
    </w:p>
    <w:p>
      <w:pPr>
        <w:keepNext/>
        <w:spacing w:before="0" w:after="50" w:line="250" w:lineRule="auto"/>
      </w:pPr>
      <w:r>
        <w:rPr>
          <w:rFonts w:ascii="Calibri" w:hAnsi="Calibri"/>
          <w:color w:val="000000"/>
          <w:sz w:val="20"/>
        </w:rPr>
        <w:t xml:space="preserve">Layer: Safety</w:t>
      </w:r>
    </w:p>
    <w:p>
      <w:pPr>
        <w:spacing w:before="0" w:after="50" w:line="250" w:lineRule="auto"/>
      </w:pPr>
      <w:r>
        <w:rPr>
          <w:rFonts w:ascii="Calibri" w:hAnsi="Calibri"/>
          <w:color w:val="000000"/>
          <w:sz w:val="20"/>
        </w:rPr>
        <w:t xml:space="preserve">Metrics: VME, ME, minor error where applicable</w:t>
      </w:r>
    </w:p>
    <w:p>
      <w:pPr>
        <w:keepNext/>
        <w:spacing w:before="0" w:after="50" w:line="250" w:lineRule="auto"/>
      </w:pPr>
      <w:r>
        <w:rPr>
          <w:rFonts w:ascii="Calibri" w:hAnsi="Calibri"/>
          <w:color w:val="000000"/>
          <w:sz w:val="20"/>
        </w:rPr>
        <w:t xml:space="preserve">Layer: Rapid AST</w:t>
      </w:r>
    </w:p>
    <w:p>
      <w:pPr>
        <w:spacing w:before="0" w:after="50" w:line="250" w:lineRule="auto"/>
      </w:pPr>
      <w:r>
        <w:rPr>
          <w:rFonts w:ascii="Calibri" w:hAnsi="Calibri"/>
          <w:color w:val="000000"/>
          <w:sz w:val="20"/>
        </w:rPr>
        <w:t xml:space="preserve">Metrics: actionable result by 4/6/8 h; ATU/readability</w:t>
      </w:r>
    </w:p>
    <w:p>
      <w:pPr>
        <w:keepNext/>
        <w:spacing w:before="0" w:after="50" w:line="250" w:lineRule="auto"/>
      </w:pPr>
      <w:r>
        <w:rPr>
          <w:rFonts w:ascii="Calibri" w:hAnsi="Calibri"/>
          <w:color w:val="000000"/>
          <w:sz w:val="20"/>
        </w:rPr>
        <w:t xml:space="preserve">Layer: Human factors</w:t>
      </w:r>
    </w:p>
    <w:p>
      <w:pPr>
        <w:spacing w:before="0" w:after="50" w:line="250" w:lineRule="auto"/>
      </w:pPr>
      <w:r>
        <w:rPr>
          <w:rFonts w:ascii="Calibri" w:hAnsi="Calibri"/>
          <w:color w:val="000000"/>
          <w:sz w:val="20"/>
        </w:rPr>
        <w:t xml:space="preserve">Metrics: intervention %, correction %, review time</w:t>
      </w:r>
    </w:p>
    <w:p>
      <w:pPr>
        <w:keepNext/>
        <w:spacing w:before="0" w:after="50" w:line="250" w:lineRule="auto"/>
      </w:pPr>
      <w:r>
        <w:rPr>
          <w:rFonts w:ascii="Calibri" w:hAnsi="Calibri"/>
          <w:color w:val="000000"/>
          <w:sz w:val="20"/>
        </w:rPr>
        <w:t xml:space="preserve">Layer: Model</w:t>
      </w:r>
    </w:p>
    <w:p>
      <w:pPr>
        <w:spacing w:before="0" w:after="50" w:line="250" w:lineRule="auto"/>
      </w:pPr>
      <w:r>
        <w:rPr>
          <w:rFonts w:ascii="Calibri" w:hAnsi="Calibri"/>
          <w:color w:val="000000"/>
          <w:sz w:val="20"/>
        </w:rPr>
        <w:t xml:space="preserve">Metrics: sensitivity by failure mode and site</w:t>
      </w:r>
    </w:p>
    <w:p>
      <w:pPr>
        <w:keepNext/>
        <w:spacing w:before="0" w:after="50" w:line="250" w:lineRule="auto"/>
      </w:pPr>
      <w:r>
        <w:rPr>
          <w:rFonts w:ascii="Calibri" w:hAnsi="Calibri"/>
          <w:color w:val="000000"/>
          <w:sz w:val="20"/>
        </w:rPr>
        <w:t xml:space="preserve">Layer: Operations</w:t>
      </w:r>
    </w:p>
    <w:p>
      <w:pPr>
        <w:spacing w:before="0" w:after="50" w:line="250" w:lineRule="auto"/>
      </w:pPr>
      <w:r>
        <w:rPr>
          <w:rFonts w:ascii="Calibri" w:hAnsi="Calibri"/>
          <w:color w:val="000000"/>
          <w:sz w:val="20"/>
        </w:rPr>
        <w:t xml:space="preserve">Metrics: capture-to-report time</w:t>
      </w:r>
    </w:p>
    <w:p>
      <w:pPr>
        <w:keepNext/>
        <w:spacing w:before="0" w:after="50" w:line="250" w:lineRule="auto"/>
      </w:pPr>
      <w:r>
        <w:rPr>
          <w:rFonts w:ascii="Calibri" w:hAnsi="Calibri"/>
          <w:color w:val="000000"/>
          <w:sz w:val="20"/>
        </w:rPr>
        <w:t xml:space="preserve">Layer: Calibration</w:t>
      </w:r>
    </w:p>
    <w:p>
      <w:pPr>
        <w:spacing w:before="0" w:after="50" w:line="250" w:lineRule="auto"/>
      </w:pPr>
      <w:r>
        <w:rPr>
          <w:rFonts w:ascii="Calibri" w:hAnsi="Calibri"/>
          <w:color w:val="000000"/>
          <w:sz w:val="20"/>
        </w:rPr>
        <w:t xml:space="preserve">Metrics: drift/failure frequency</w:t>
      </w:r>
    </w:p>
    <w:p>
      <w:pPr>
        <w:pStyle w:val="Normal"/>
        <w:spacing w:before="0" w:after="50" w:line="250" w:lineRule="auto"/>
        <w:rPr/>
      </w:pPr>
      <w:r>
        <w:rPr>
          <w:rFonts w:ascii="Calibri" w:hAnsi="Calibri"/>
          <w:color w:val="000000"/>
          <w:sz w:val="20"/>
        </w:rPr>
        <w:t>Computer-vision mAP/IoU should appear as secondary engineering information, not the headline clinical evidence.</w:t>
      </w:r>
    </w:p>
    <w:p>
      <w:pPr>
        <w:pStyle w:val="Heading3"/>
        <w:keepNext/>
        <w:keepLines/>
        <w:spacing w:before="240" w:after="120" w:line="269" w:lineRule="auto"/>
      </w:pPr>
      <w:r>
        <w:rPr>
          <w:color w:val="000000"/>
        </w:rPr>
        <w:t>Regulatory strategy in India</w:t>
      </w:r>
    </w:p>
    <w:p>
      <w:pPr>
        <w:pStyle w:val="Normal"/>
        <w:spacing w:before="0" w:after="50" w:line="250" w:lineRule="auto"/>
        <w:rPr/>
      </w:pPr>
      <w:r>
        <w:rPr>
          <w:rFonts w:ascii="Calibri" w:hAnsi="Calibri"/>
          <w:color w:val="000000"/>
          <w:sz w:val="20"/>
        </w:rPr>
        <w:t xml:space="preserve">Do </w:t>
      </w:r>
      <w:r>
        <w:rPr>
          <w:rFonts w:ascii="Calibri" w:hAnsi="Calibri"/>
          <w:b/>
          <w:color w:val="000000"/>
          <w:sz w:val="20"/>
        </w:rPr>
        <w:t>not</w:t>
      </w:r>
      <w:r>
        <w:rPr>
          <w:rFonts w:ascii="Calibri" w:hAnsi="Calibri"/>
          <w:color w:val="000000"/>
          <w:sz w:val="20"/>
        </w:rPr>
        <w:t xml:space="preserve"> call AMR-Eye “CDSCO Class B” or any other fixed class yet.</w:t>
      </w:r>
    </w:p>
    <w:p>
      <w:pPr>
        <w:pStyle w:val="Normal"/>
        <w:spacing w:before="0" w:after="50" w:line="250" w:lineRule="auto"/>
        <w:rPr/>
      </w:pPr>
      <w:r>
        <w:rPr>
          <w:rFonts w:ascii="Calibri" w:hAnsi="Calibri"/>
          <w:color w:val="000000"/>
          <w:sz w:val="20"/>
        </w:rPr>
        <w:t>Classification depends on final intended use, claims, configuration and applicable rules. ICMR's validation guidance describes the regulatory pathway and performance-evaluation context but does not establish AMR-Eye's classification merely because similar products appear in example tables. [EA-25]</w:t>
      </w:r>
    </w:p>
    <w:p>
      <w:pPr>
        <w:pStyle w:val="Normal"/>
        <w:spacing w:before="0" w:after="50" w:line="250" w:lineRule="auto"/>
        <w:rPr/>
      </w:pPr>
      <w:r>
        <w:rPr>
          <w:rFonts w:ascii="Calibri" w:hAnsi="Calibri"/>
          <w:color w:val="000000"/>
          <w:sz w:val="20"/>
        </w:rPr>
        <w:t>The correct sequence is:</w:t>
      </w:r>
    </w:p>
    <w:p>
      <w:pPr>
        <w:pStyle w:val="Normal"/>
        <w:spacing w:before="0" w:after="50" w:line="250" w:lineRule="auto"/>
        <w:rPr/>
      </w:pPr>
      <w:r>
        <w:rPr>
          <w:rFonts w:ascii="Calibri" w:hAnsi="Calibri"/>
          <w:b/>
          <w:color w:val="000000"/>
          <w:sz w:val="20"/>
        </w:rPr>
        <w:t>freeze intended use → regulatory classification consultation → predicate assessment → determine required performance/clinical evaluation → construct design/validation dossier → pursue applicable CDSCO permissions/licensing.</w:t>
      </w:r>
    </w:p>
    <w:p>
      <w:pPr>
        <w:pStyle w:val="Normal"/>
        <w:spacing w:before="0" w:after="50" w:line="250" w:lineRule="auto"/>
        <w:rPr/>
      </w:pPr>
      <w:r>
        <w:rPr>
          <w:rFonts w:ascii="Calibri" w:hAnsi="Calibri"/>
          <w:color w:val="000000"/>
          <w:sz w:val="20"/>
        </w:rPr>
        <w:t>The project should engage CDSCO/MedTech-support pathways early rather than waiting until the prototype is “finished”.</w:t>
      </w:r>
    </w:p>
    <w:p>
      <w:pPr>
        <w:pStyle w:val="Normal"/>
        <w:spacing w:before="0" w:after="50" w:line="250" w:lineRule="auto"/>
        <w:rPr/>
      </w:pPr>
      <w:r>
        <w:rPr>
          <w:rFonts w:ascii="Calibri" w:hAnsi="Calibri"/>
          <w:color w:val="000000"/>
          <w:sz w:val="20"/>
        </w:rPr>
        <w:t>In parallel, start behaving like a regulated-device company before claiming to be one:</w:t>
      </w:r>
    </w:p>
    <w:p>
      <w:pPr>
        <w:pStyle w:val="Normal"/>
        <w:spacing w:before="0" w:after="50" w:line="250" w:lineRule="auto"/>
        <w:rPr/>
      </w:pPr>
      <w:r>
        <w:rPr>
          <w:rFonts w:ascii="Calibri" w:hAnsi="Calibri"/>
          <w:color w:val="000000"/>
          <w:sz w:val="20"/>
        </w:rPr>
        <w:t>design inputs, design outputs, requirements traceability, version control, risk register, software verification, cybersecurity, calibration, complaint/failure logging, CAPA concepts and controlled releases.</w:t>
      </w:r>
    </w:p>
    <w:p>
      <w:pPr>
        <w:pStyle w:val="Normal"/>
        <w:spacing w:before="0" w:after="50" w:line="250" w:lineRule="auto"/>
        <w:rPr/>
      </w:pPr>
      <w:r>
        <w:rPr>
          <w:rFonts w:ascii="Calibri" w:hAnsi="Calibri"/>
          <w:color w:val="000000"/>
          <w:sz w:val="20"/>
        </w:rPr>
        <w:t>Potentially relevant international quality/safety/software standards should be assessed formally once intended use and classification are clearer; their applicability should not be claimed merely because the names appear in a document.</w:t>
      </w:r>
    </w:p>
    <w:p>
      <w:pPr>
        <w:pStyle w:val="Heading3"/>
        <w:keepNext/>
        <w:keepLines/>
        <w:spacing w:before="240" w:after="120" w:line="269" w:lineRule="auto"/>
      </w:pPr>
      <w:r>
        <w:rPr>
          <w:color w:val="000000"/>
        </w:rPr>
        <w:t>A practical first study</w:t>
      </w:r>
    </w:p>
    <w:p>
      <w:pPr>
        <w:pStyle w:val="Normal"/>
        <w:spacing w:before="0" w:after="50" w:line="250" w:lineRule="auto"/>
        <w:rPr/>
      </w:pPr>
      <w:r>
        <w:rPr>
          <w:rFonts w:ascii="Calibri" w:hAnsi="Calibri"/>
          <w:color w:val="000000"/>
          <w:sz w:val="20"/>
        </w:rPr>
        <w:t>A realistic initial AMR-Eye publication could be titled something like:</w:t>
      </w:r>
    </w:p>
    <w:p>
      <w:pPr>
        <w:pStyle w:val="Normal"/>
        <w:keepNext/>
        <w:spacing w:before="0" w:after="50" w:line="250" w:lineRule="auto"/>
        <w:rPr/>
      </w:pPr>
      <w:r>
        <w:rPr>
          <w:rFonts w:ascii="Calibri" w:hAnsi="Calibri"/>
          <w:b/>
          <w:color w:val="000000"/>
          <w:sz w:val="20"/>
        </w:rPr>
        <w:t>“</w:t>
      </w:r>
      <w:r>
        <w:rPr>
          <w:rFonts w:ascii="Calibri" w:hAnsi="Calibri"/>
          <w:b/>
          <w:color w:val="000000"/>
          <w:sz w:val="20"/>
        </w:rPr>
        <w:t>Analytical validation of a low-cost AI-assisted digital reader for disk-diffusion antimicrobial susceptibility testing.”</w:t>
      </w:r>
    </w:p>
    <w:p>
      <w:pPr>
        <w:pStyle w:val="Normal"/>
        <w:spacing w:before="0" w:after="50" w:line="250" w:lineRule="auto"/>
        <w:rPr/>
      </w:pPr>
      <w:r>
        <w:rPr>
          <w:rFonts w:ascii="Calibri" w:hAnsi="Calibri"/>
          <w:color w:val="000000"/>
          <w:sz w:val="20"/>
        </w:rPr>
        <w:t>A useful design would compare:</w:t>
      </w:r>
    </w:p>
    <w:p>
      <w:pPr>
        <w:pStyle w:val="Normal"/>
        <w:keepNext/>
        <w:spacing w:before="0" w:after="50" w:line="250" w:lineRule="auto"/>
        <w:rPr/>
      </w:pPr>
      <w:r>
        <w:rPr>
          <w:rFonts w:ascii="Calibri" w:hAnsi="Calibri"/>
          <w:b/>
          <w:color w:val="000000"/>
          <w:sz w:val="20"/>
        </w:rPr>
        <w:t>manual reader A</w:t>
      </w:r>
    </w:p>
    <w:p>
      <w:pPr>
        <w:pStyle w:val="Normal"/>
        <w:keepNext/>
        <w:spacing w:before="0" w:after="50" w:line="250" w:lineRule="auto"/>
        <w:rPr/>
      </w:pPr>
      <w:r>
        <w:rPr>
          <w:rFonts w:ascii="Calibri" w:hAnsi="Calibri"/>
          <w:b/>
          <w:color w:val="000000"/>
          <w:sz w:val="20"/>
        </w:rPr>
        <w:t>manual reader B</w:t>
      </w:r>
    </w:p>
    <w:p>
      <w:pPr>
        <w:pStyle w:val="Normal"/>
        <w:keepNext/>
        <w:spacing w:before="0" w:after="50" w:line="250" w:lineRule="auto"/>
        <w:rPr/>
      </w:pPr>
      <w:r>
        <w:rPr>
          <w:rFonts w:ascii="Calibri" w:hAnsi="Calibri"/>
          <w:b/>
          <w:color w:val="000000"/>
          <w:sz w:val="20"/>
        </w:rPr>
        <w:t>AMR-Eye automated measurement</w:t>
      </w:r>
    </w:p>
    <w:p>
      <w:pPr>
        <w:pStyle w:val="Normal"/>
        <w:keepNext/>
        <w:spacing w:before="0" w:after="50" w:line="250" w:lineRule="auto"/>
        <w:rPr/>
      </w:pPr>
      <w:r>
        <w:rPr>
          <w:rFonts w:ascii="Calibri" w:hAnsi="Calibri"/>
          <w:b/>
          <w:color w:val="000000"/>
          <w:sz w:val="20"/>
        </w:rPr>
        <w:t>adjudicated/reference result</w:t>
      </w:r>
    </w:p>
    <w:p>
      <w:pPr>
        <w:pStyle w:val="Normal"/>
        <w:spacing w:before="0" w:after="50" w:line="250" w:lineRule="auto"/>
        <w:rPr/>
      </w:pPr>
      <w:r>
        <w:rPr>
          <w:rFonts w:ascii="Calibri" w:hAnsi="Calibri"/>
          <w:color w:val="000000"/>
          <w:sz w:val="20"/>
        </w:rPr>
        <w:t>across multiple organisms, antibiotics, labs, devices and difficult-zone morphologies.</w:t>
      </w:r>
    </w:p>
    <w:p>
      <w:pPr>
        <w:pStyle w:val="Normal"/>
        <w:spacing w:before="0" w:after="50" w:line="250" w:lineRule="auto"/>
        <w:rPr/>
      </w:pPr>
      <w:r>
        <w:rPr>
          <w:rFonts w:ascii="Calibri" w:hAnsi="Calibri"/>
          <w:color w:val="000000"/>
          <w:sz w:val="20"/>
        </w:rPr>
        <w:t>That study is much more valuable to the startup than trying to publish “AI predicts mecA from plate images” before the core reader works.</w:t>
      </w:r>
    </w:p>
    <w:p>
      <w:pPr>
        <w:pStyle w:val="Heading3"/>
        <w:keepNext/>
        <w:keepLines/>
        <w:spacing w:before="240" w:after="120" w:line="269" w:lineRule="auto"/>
      </w:pPr>
      <w:r>
        <w:rPr>
          <w:color w:val="000000"/>
        </w:rPr>
        <w:t>Competition, moat and business model</w:t>
      </w:r>
    </w:p>
    <w:p>
      <w:pPr>
        <w:pStyle w:val="Heading3"/>
        <w:keepNext/>
        <w:keepLines/>
        <w:spacing w:before="240" w:after="120" w:line="269" w:lineRule="auto"/>
      </w:pPr>
      <w:r>
        <w:rPr>
          <w:color w:val="000000"/>
        </w:rPr>
        <w:t>AMR-Eye's best market position</w:t>
      </w:r>
    </w:p>
    <w:p>
      <w:pPr>
        <w:pStyle w:val="Normal"/>
        <w:spacing w:before="0" w:after="50" w:line="250" w:lineRule="auto"/>
        <w:rPr/>
      </w:pPr>
      <w:r>
        <w:rPr>
          <w:rFonts w:ascii="Calibri" w:hAnsi="Calibri"/>
          <w:color w:val="000000"/>
          <w:sz w:val="20"/>
        </w:rPr>
        <w:t>Do not pitch AMR-Eye as replacing VITEK, Phoenix, Sensititre, WASPLab and every microbiology instrument.</w:t>
      </w:r>
    </w:p>
    <w:p>
      <w:pPr>
        <w:pStyle w:val="Normal"/>
        <w:spacing w:before="0" w:after="50" w:line="250" w:lineRule="auto"/>
        <w:rPr/>
      </w:pPr>
      <w:r>
        <w:rPr>
          <w:rFonts w:ascii="Calibri" w:hAnsi="Calibri"/>
          <w:color w:val="000000"/>
          <w:sz w:val="20"/>
        </w:rPr>
        <w:t>Instead:</w:t>
      </w:r>
    </w:p>
    <w:p>
      <w:pPr>
        <w:pStyle w:val="Normal"/>
        <w:keepNext/>
        <w:spacing w:before="0" w:after="50" w:line="250" w:lineRule="auto"/>
        <w:rPr/>
      </w:pPr>
      <w:r>
        <w:rPr>
          <w:rFonts w:ascii="Calibri" w:hAnsi="Calibri"/>
          <w:b/>
          <w:color w:val="000000"/>
          <w:sz w:val="20"/>
        </w:rPr>
        <w:t>AMR-Eye digitises the disk-diffusion workflow that laboratories already know and already use.</w:t>
      </w:r>
    </w:p>
    <w:p>
      <w:pPr>
        <w:pStyle w:val="Normal"/>
        <w:spacing w:before="0" w:after="50" w:line="250" w:lineRule="auto"/>
        <w:rPr/>
      </w:pPr>
      <w:r>
        <w:rPr>
          <w:rFonts w:ascii="Calibri" w:hAnsi="Calibri"/>
          <w:color w:val="000000"/>
          <w:sz w:val="20"/>
        </w:rPr>
        <w:t>That opens several potential initial use cases:</w:t>
      </w:r>
    </w:p>
    <w:p>
      <w:pPr>
        <w:pStyle w:val="Normal"/>
        <w:spacing w:before="0" w:after="50" w:line="250" w:lineRule="auto"/>
        <w:rPr/>
      </w:pPr>
      <w:r>
        <w:rPr>
          <w:rFonts w:ascii="Calibri" w:hAnsi="Calibri"/>
          <w:b/>
          <w:color w:val="000000"/>
          <w:sz w:val="20"/>
        </w:rPr>
        <w:t>manual-Kirby-Bauer laboratories</w:t>
      </w:r>
      <w:r>
        <w:rPr>
          <w:rFonts w:ascii="Calibri" w:hAnsi="Calibri"/>
          <w:color w:val="000000"/>
          <w:sz w:val="20"/>
        </w:rPr>
        <w:t xml:space="preserve"> that need standardisation but cannot justify total automation;</w:t>
      </w:r>
    </w:p>
    <w:p>
      <w:pPr>
        <w:pStyle w:val="Normal"/>
        <w:spacing w:before="0" w:after="50" w:line="250" w:lineRule="auto"/>
        <w:rPr/>
      </w:pPr>
      <w:r>
        <w:rPr>
          <w:rFonts w:ascii="Calibri" w:hAnsi="Calibri"/>
          <w:b/>
          <w:color w:val="000000"/>
          <w:sz w:val="20"/>
        </w:rPr>
        <w:t>teaching hospitals and university laboratories</w:t>
      </w:r>
      <w:r>
        <w:rPr>
          <w:rFonts w:ascii="Calibri" w:hAnsi="Calibri"/>
          <w:color w:val="000000"/>
          <w:sz w:val="20"/>
        </w:rPr>
        <w:t xml:space="preserve"> needing auditability and training;</w:t>
      </w:r>
    </w:p>
    <w:p>
      <w:pPr>
        <w:pStyle w:val="Normal"/>
        <w:spacing w:before="0" w:after="50" w:line="250" w:lineRule="auto"/>
        <w:rPr/>
      </w:pPr>
      <w:r>
        <w:rPr>
          <w:rFonts w:ascii="Calibri" w:hAnsi="Calibri"/>
          <w:b/>
          <w:color w:val="000000"/>
          <w:sz w:val="20"/>
        </w:rPr>
        <w:t>overflow/backup AST</w:t>
      </w:r>
      <w:r>
        <w:rPr>
          <w:rFonts w:ascii="Calibri" w:hAnsi="Calibri"/>
          <w:color w:val="000000"/>
          <w:sz w:val="20"/>
        </w:rPr>
        <w:t xml:space="preserve"> when closed automated systems are unavailable;</w:t>
      </w:r>
    </w:p>
    <w:p>
      <w:pPr>
        <w:pStyle w:val="Normal"/>
        <w:spacing w:before="0" w:after="50" w:line="250" w:lineRule="auto"/>
        <w:rPr/>
      </w:pPr>
      <w:r>
        <w:rPr>
          <w:rFonts w:ascii="Calibri" w:hAnsi="Calibri"/>
          <w:b/>
          <w:color w:val="000000"/>
          <w:sz w:val="20"/>
        </w:rPr>
        <w:t>regional/public-health laboratories</w:t>
      </w:r>
      <w:r>
        <w:rPr>
          <w:rFonts w:ascii="Calibri" w:hAnsi="Calibri"/>
          <w:color w:val="000000"/>
          <w:sz w:val="20"/>
        </w:rPr>
        <w:t xml:space="preserve"> that benefit from structured digital records;</w:t>
      </w:r>
    </w:p>
    <w:p>
      <w:pPr>
        <w:pStyle w:val="Normal"/>
        <w:spacing w:before="0" w:after="50" w:line="250" w:lineRule="auto"/>
        <w:rPr/>
      </w:pPr>
      <w:r>
        <w:rPr>
          <w:rFonts w:ascii="Calibri" w:hAnsi="Calibri"/>
          <w:color w:val="000000"/>
          <w:sz w:val="20"/>
        </w:rPr>
        <w:t xml:space="preserve">and eventually </w:t>
      </w:r>
      <w:r>
        <w:rPr>
          <w:rFonts w:ascii="Calibri" w:hAnsi="Calibri"/>
          <w:b/>
          <w:color w:val="000000"/>
          <w:sz w:val="20"/>
        </w:rPr>
        <w:t>validated rapid-AST workflows</w:t>
      </w:r>
      <w:r>
        <w:rPr>
          <w:rFonts w:ascii="Calibri" w:hAnsi="Calibri"/>
          <w:color w:val="000000"/>
          <w:sz w:val="20"/>
        </w:rPr>
        <w:t>.</w:t>
      </w:r>
    </w:p>
    <w:p>
      <w:pPr>
        <w:pStyle w:val="Normal"/>
        <w:spacing w:before="0" w:after="50" w:line="250" w:lineRule="auto"/>
        <w:rPr/>
      </w:pPr>
      <w:r>
        <w:rPr>
          <w:rFonts w:ascii="Calibri" w:hAnsi="Calibri"/>
          <w:color w:val="000000"/>
          <w:sz w:val="20"/>
        </w:rPr>
        <w:t>This gives you a wedge instead of a war against billion-dollar diagnostics companies.</w:t>
      </w:r>
    </w:p>
    <w:p>
      <w:pPr>
        <w:pStyle w:val="Heading3"/>
        <w:keepNext/>
        <w:keepLines/>
        <w:spacing w:before="240" w:after="120" w:line="269" w:lineRule="auto"/>
      </w:pPr>
      <w:r>
        <w:rPr>
          <w:color w:val="000000"/>
        </w:rPr>
        <w:t>Differentiation and evidence requirements</w:t>
      </w:r>
    </w:p>
    <w:p>
      <w:pPr>
        <w:pStyle w:val="Normal"/>
        <w:spacing w:before="0" w:after="50" w:line="250" w:lineRule="auto"/>
        <w:rPr/>
      </w:pPr>
      <w:r>
        <w:rPr>
          <w:rFonts w:ascii="Calibri" w:hAnsi="Calibri"/>
          <w:color w:val="000000"/>
          <w:sz w:val="20"/>
        </w:rPr>
        <w:t>The strongest defensibility stack is likely:</w:t>
      </w:r>
    </w:p>
    <w:p>
      <w:pPr>
        <w:pStyle w:val="Normal"/>
        <w:keepNext/>
        <w:spacing w:before="0" w:after="50" w:line="250" w:lineRule="auto"/>
        <w:rPr/>
      </w:pPr>
      <w:r>
        <w:rPr>
          <w:rFonts w:ascii="Calibri" w:hAnsi="Calibri"/>
          <w:b/>
          <w:color w:val="000000"/>
          <w:sz w:val="20"/>
        </w:rPr>
        <w:t>Validated India-diverse AST dataset</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calibrated image/metrology system</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failure/abstention engine</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version-controlled standards engine</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human-review/audit workflow</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low-cost hardware/service network</w:t>
      </w:r>
    </w:p>
    <w:p>
      <w:pPr>
        <w:pStyle w:val="Normal"/>
        <w:spacing w:before="0" w:after="50" w:line="250" w:lineRule="auto"/>
        <w:rPr/>
      </w:pPr>
      <w:r>
        <w:rPr>
          <w:rFonts w:ascii="Calibri" w:hAnsi="Calibri"/>
          <w:color w:val="000000"/>
          <w:sz w:val="20"/>
        </w:rPr>
        <w:t>+</w:t>
      </w:r>
    </w:p>
    <w:p>
      <w:pPr>
        <w:pStyle w:val="Normal"/>
        <w:keepNext/>
        <w:spacing w:before="0" w:after="50" w:line="250" w:lineRule="auto"/>
        <w:rPr/>
      </w:pPr>
      <w:r>
        <w:rPr>
          <w:rFonts w:ascii="Calibri" w:hAnsi="Calibri"/>
          <w:b/>
          <w:color w:val="000000"/>
          <w:sz w:val="20"/>
        </w:rPr>
        <w:t>laboratory integration and deployment know-how</w:t>
      </w:r>
    </w:p>
    <w:p>
      <w:pPr>
        <w:pStyle w:val="Normal"/>
        <w:spacing w:before="0" w:after="50" w:line="250" w:lineRule="auto"/>
        <w:rPr/>
      </w:pPr>
      <w:r>
        <w:rPr>
          <w:rFonts w:ascii="Calibri" w:hAnsi="Calibri"/>
          <w:color w:val="000000"/>
          <w:sz w:val="20"/>
        </w:rPr>
        <w:t>No one of those is an enormous moat.</w:t>
      </w:r>
    </w:p>
    <w:p>
      <w:pPr>
        <w:pStyle w:val="Normal"/>
        <w:spacing w:before="0" w:after="50" w:line="250" w:lineRule="auto"/>
        <w:rPr/>
      </w:pPr>
      <w:r>
        <w:rPr>
          <w:rFonts w:ascii="Calibri" w:hAnsi="Calibri"/>
          <w:color w:val="000000"/>
          <w:sz w:val="20"/>
        </w:rPr>
        <w:t>Together they can become one.</w:t>
      </w:r>
    </w:p>
    <w:p>
      <w:pPr>
        <w:pStyle w:val="Heading3"/>
        <w:keepNext/>
        <w:keepLines/>
        <w:spacing w:before="240" w:after="120" w:line="269" w:lineRule="auto"/>
      </w:pPr>
      <w:r>
        <w:rPr>
          <w:color w:val="000000"/>
        </w:rPr>
        <w:t>Change the financial model from one forecast to scenarios</w:t>
      </w:r>
    </w:p>
    <w:p>
      <w:pPr>
        <w:pStyle w:val="Normal"/>
        <w:spacing w:before="0" w:after="50" w:line="250" w:lineRule="auto"/>
        <w:rPr/>
      </w:pPr>
      <w:r>
        <w:rPr>
          <w:rFonts w:ascii="Calibri" w:hAnsi="Calibri"/>
          <w:color w:val="000000"/>
          <w:sz w:val="20"/>
        </w:rPr>
        <w:t>The existing workbook should eventually be restructured into:</w:t>
      </w:r>
    </w:p>
    <w:p>
      <w:pPr>
        <w:pStyle w:val="Normal"/>
        <w:keepNext/>
        <w:spacing w:before="0" w:after="50" w:line="250" w:lineRule="auto"/>
        <w:rPr/>
      </w:pPr>
      <w:r>
        <w:rPr>
          <w:rFonts w:ascii="Calibri" w:hAnsi="Calibri"/>
          <w:b/>
          <w:color w:val="000000"/>
          <w:sz w:val="20"/>
        </w:rPr>
        <w:t>Conservative / Base / Upside</w:t>
      </w:r>
    </w:p>
    <w:p>
      <w:pPr>
        <w:pStyle w:val="Normal"/>
        <w:spacing w:before="0" w:after="50" w:line="250" w:lineRule="auto"/>
        <w:rPr/>
      </w:pPr>
      <w:r>
        <w:rPr>
          <w:rFonts w:ascii="Calibri" w:hAnsi="Calibri"/>
          <w:color w:val="000000"/>
          <w:sz w:val="20"/>
        </w:rPr>
        <w:t>with explicit assumptions for:</w:t>
      </w:r>
    </w:p>
    <w:p>
      <w:pPr>
        <w:pStyle w:val="Normal"/>
        <w:spacing w:before="0" w:after="50" w:line="250" w:lineRule="auto"/>
        <w:rPr/>
      </w:pPr>
      <w:r>
        <w:rPr>
          <w:rFonts w:ascii="Calibri" w:hAnsi="Calibri"/>
          <w:color w:val="000000"/>
          <w:sz w:val="20"/>
        </w:rPr>
        <w:t>units/site, plates/day, hardware price, lease price, subscription conversion, AMC, gross margin, churn, failure replacement rate, service engineer load, customer acquisition cost, installation, calibration, sales cycle, receivable days and certification expenditure.</w:t>
      </w:r>
    </w:p>
    <w:p>
      <w:pPr>
        <w:pStyle w:val="Normal"/>
        <w:spacing w:before="0" w:after="50" w:line="250" w:lineRule="auto"/>
        <w:rPr/>
      </w:pPr>
      <w:r>
        <w:rPr>
          <w:rFonts w:ascii="Calibri" w:hAnsi="Calibri"/>
          <w:color w:val="000000"/>
          <w:sz w:val="20"/>
        </w:rPr>
        <w:t>The most important business experiment now is not another five-year Excel formula.</w:t>
      </w:r>
    </w:p>
    <w:p>
      <w:pPr>
        <w:pStyle w:val="Normal"/>
        <w:spacing w:before="0" w:after="50" w:line="250" w:lineRule="auto"/>
        <w:rPr/>
      </w:pPr>
      <w:r>
        <w:rPr>
          <w:rFonts w:ascii="Calibri" w:hAnsi="Calibri"/>
          <w:color w:val="000000"/>
          <w:sz w:val="20"/>
        </w:rPr>
        <w:t xml:space="preserve">It is </w:t>
      </w:r>
      <w:r>
        <w:rPr>
          <w:rFonts w:ascii="Calibri" w:hAnsi="Calibri"/>
          <w:b/>
          <w:color w:val="000000"/>
          <w:sz w:val="20"/>
        </w:rPr>
        <w:t>20-30 structured customer-discovery interviews</w:t>
      </w:r>
      <w:r>
        <w:rPr>
          <w:rFonts w:ascii="Calibri" w:hAnsi="Calibri"/>
          <w:color w:val="000000"/>
          <w:sz w:val="20"/>
        </w:rPr>
        <w:t xml:space="preserve"> with microbiologists, laboratory owners/managers and hospital diagnostic departments.</w:t>
      </w:r>
    </w:p>
    <w:p>
      <w:pPr>
        <w:pStyle w:val="Normal"/>
        <w:spacing w:before="0" w:after="50" w:line="250" w:lineRule="auto"/>
        <w:rPr/>
      </w:pPr>
      <w:r>
        <w:rPr>
          <w:rFonts w:ascii="Calibri" w:hAnsi="Calibri"/>
          <w:color w:val="000000"/>
          <w:sz w:val="20"/>
        </w:rPr>
        <w:t>For each lab, capture:</w:t>
      </w:r>
    </w:p>
    <w:p>
      <w:pPr>
        <w:pStyle w:val="Normal"/>
        <w:spacing w:before="0" w:after="50" w:line="250" w:lineRule="auto"/>
        <w:rPr/>
      </w:pPr>
      <w:r>
        <w:rPr>
          <w:rFonts w:ascii="Calibri" w:hAnsi="Calibri"/>
          <w:color w:val="000000"/>
          <w:sz w:val="20"/>
        </w:rPr>
        <w:t>AST plates/day;</w:t>
      </w:r>
    </w:p>
    <w:p>
      <w:pPr>
        <w:pStyle w:val="Normal"/>
        <w:spacing w:before="0" w:after="50" w:line="250" w:lineRule="auto"/>
        <w:rPr/>
      </w:pPr>
      <w:r>
        <w:rPr>
          <w:rFonts w:ascii="Calibri" w:hAnsi="Calibri"/>
          <w:color w:val="000000"/>
          <w:sz w:val="20"/>
        </w:rPr>
        <w:t>organisms and antibiotics commonly tested;</w:t>
      </w:r>
    </w:p>
    <w:p>
      <w:pPr>
        <w:pStyle w:val="Normal"/>
        <w:spacing w:before="0" w:after="50" w:line="250" w:lineRule="auto"/>
        <w:rPr/>
      </w:pPr>
      <w:r>
        <w:rPr>
          <w:rFonts w:ascii="Calibri" w:hAnsi="Calibri"/>
          <w:color w:val="000000"/>
          <w:sz w:val="20"/>
        </w:rPr>
        <w:t>current AST method;</w:t>
      </w:r>
    </w:p>
    <w:p>
      <w:pPr>
        <w:pStyle w:val="Normal"/>
        <w:spacing w:before="0" w:after="50" w:line="250" w:lineRule="auto"/>
        <w:rPr/>
      </w:pPr>
      <w:r>
        <w:rPr>
          <w:rFonts w:ascii="Calibri" w:hAnsi="Calibri"/>
          <w:color w:val="000000"/>
          <w:sz w:val="20"/>
        </w:rPr>
        <w:t>number of minutes spent reading/reporting each plate;</w:t>
      </w:r>
    </w:p>
    <w:p>
      <w:pPr>
        <w:pStyle w:val="Normal"/>
        <w:spacing w:before="0" w:after="50" w:line="250" w:lineRule="auto"/>
        <w:rPr/>
      </w:pPr>
      <w:r>
        <w:rPr>
          <w:rFonts w:ascii="Calibri" w:hAnsi="Calibri"/>
          <w:color w:val="000000"/>
          <w:sz w:val="20"/>
        </w:rPr>
        <w:t>repeat/ambiguous-read frequency;</w:t>
      </w:r>
    </w:p>
    <w:p>
      <w:pPr>
        <w:pStyle w:val="Normal"/>
        <w:spacing w:before="0" w:after="50" w:line="250" w:lineRule="auto"/>
        <w:rPr/>
      </w:pPr>
      <w:r>
        <w:rPr>
          <w:rFonts w:ascii="Calibri" w:hAnsi="Calibri"/>
          <w:color w:val="000000"/>
          <w:sz w:val="20"/>
        </w:rPr>
        <w:t>current automated equipment;</w:t>
      </w:r>
    </w:p>
    <w:p>
      <w:pPr>
        <w:pStyle w:val="Normal"/>
        <w:spacing w:before="0" w:after="50" w:line="250" w:lineRule="auto"/>
        <w:rPr/>
      </w:pPr>
      <w:r>
        <w:rPr>
          <w:rFonts w:ascii="Calibri" w:hAnsi="Calibri"/>
          <w:color w:val="000000"/>
          <w:sz w:val="20"/>
        </w:rPr>
        <w:t>LIS/LIMS environment;</w:t>
      </w:r>
    </w:p>
    <w:p>
      <w:pPr>
        <w:pStyle w:val="Normal"/>
        <w:spacing w:before="0" w:after="50" w:line="250" w:lineRule="auto"/>
        <w:rPr/>
      </w:pPr>
      <w:r>
        <w:rPr>
          <w:rFonts w:ascii="Calibri" w:hAnsi="Calibri"/>
          <w:color w:val="000000"/>
          <w:sz w:val="20"/>
        </w:rPr>
        <w:t>downtime and service problems;</w:t>
      </w:r>
    </w:p>
    <w:p>
      <w:pPr>
        <w:pStyle w:val="Normal"/>
        <w:spacing w:before="0" w:after="50" w:line="250" w:lineRule="auto"/>
        <w:rPr/>
      </w:pPr>
      <w:r>
        <w:rPr>
          <w:rFonts w:ascii="Calibri" w:hAnsi="Calibri"/>
          <w:color w:val="000000"/>
          <w:sz w:val="20"/>
        </w:rPr>
        <w:t>breakpoint update process;</w:t>
      </w:r>
    </w:p>
    <w:p>
      <w:pPr>
        <w:pStyle w:val="Normal"/>
        <w:spacing w:before="0" w:after="50" w:line="250" w:lineRule="auto"/>
        <w:rPr/>
      </w:pPr>
      <w:r>
        <w:rPr>
          <w:rFonts w:ascii="Calibri" w:hAnsi="Calibri"/>
          <w:color w:val="000000"/>
          <w:sz w:val="20"/>
        </w:rPr>
        <w:t>procurement model;</w:t>
      </w:r>
    </w:p>
    <w:p>
      <w:pPr>
        <w:pStyle w:val="Normal"/>
        <w:spacing w:before="0" w:after="50" w:line="250" w:lineRule="auto"/>
        <w:rPr/>
      </w:pPr>
      <w:r>
        <w:rPr>
          <w:rFonts w:ascii="Calibri" w:hAnsi="Calibri"/>
          <w:color w:val="000000"/>
          <w:sz w:val="20"/>
        </w:rPr>
        <w:t>capital budget;</w:t>
      </w:r>
    </w:p>
    <w:p>
      <w:pPr>
        <w:pStyle w:val="Normal"/>
        <w:spacing w:before="0" w:after="50" w:line="250" w:lineRule="auto"/>
        <w:rPr/>
      </w:pPr>
      <w:r>
        <w:rPr>
          <w:rFonts w:ascii="Calibri" w:hAnsi="Calibri"/>
          <w:color w:val="000000"/>
          <w:sz w:val="20"/>
        </w:rPr>
        <w:t>acceptable annual maintenance;</w:t>
      </w:r>
    </w:p>
    <w:p>
      <w:pPr>
        <w:pStyle w:val="Normal"/>
        <w:spacing w:before="0" w:after="50" w:line="250" w:lineRule="auto"/>
        <w:rPr/>
      </w:pPr>
      <w:r>
        <w:rPr>
          <w:rFonts w:ascii="Calibri" w:hAnsi="Calibri"/>
          <w:color w:val="000000"/>
          <w:sz w:val="20"/>
        </w:rPr>
        <w:t>willingness to lease rather than buy;</w:t>
      </w:r>
    </w:p>
    <w:p>
      <w:pPr>
        <w:pStyle w:val="Normal"/>
        <w:spacing w:before="0" w:after="50" w:line="250" w:lineRule="auto"/>
        <w:rPr/>
      </w:pPr>
      <w:r>
        <w:rPr>
          <w:rFonts w:ascii="Calibri" w:hAnsi="Calibri"/>
          <w:color w:val="000000"/>
          <w:sz w:val="20"/>
        </w:rPr>
        <w:t>willingness to pay for software;</w:t>
      </w:r>
    </w:p>
    <w:p>
      <w:pPr>
        <w:pStyle w:val="Normal"/>
        <w:spacing w:before="0" w:after="50" w:line="250" w:lineRule="auto"/>
        <w:rPr/>
      </w:pPr>
      <w:r>
        <w:rPr>
          <w:rFonts w:ascii="Calibri" w:hAnsi="Calibri"/>
          <w:color w:val="000000"/>
          <w:sz w:val="20"/>
        </w:rPr>
        <w:t>whether images/audit reports have value;</w:t>
      </w:r>
    </w:p>
    <w:p>
      <w:pPr>
        <w:pStyle w:val="Normal"/>
        <w:spacing w:before="0" w:after="50" w:line="250" w:lineRule="auto"/>
        <w:rPr/>
      </w:pPr>
      <w:r>
        <w:rPr>
          <w:rFonts w:ascii="Calibri" w:hAnsi="Calibri"/>
          <w:color w:val="000000"/>
          <w:sz w:val="20"/>
        </w:rPr>
        <w:t>interest in RAST.</w:t>
      </w:r>
    </w:p>
    <w:p>
      <w:pPr>
        <w:pStyle w:val="Normal"/>
        <w:spacing w:before="0" w:after="50" w:line="250" w:lineRule="auto"/>
        <w:rPr/>
      </w:pPr>
      <w:r>
        <w:rPr>
          <w:rFonts w:ascii="Calibri" w:hAnsi="Calibri"/>
          <w:color w:val="000000"/>
          <w:sz w:val="20"/>
        </w:rPr>
        <w:t>Only after this should the ₹3.5 lakh price and recurring subscription be called a commercial model rather than an internal target.</w:t>
      </w:r>
    </w:p>
    <w:p>
      <w:pPr>
        <w:pStyle w:val="Heading3"/>
        <w:keepNext/>
        <w:keepLines/>
        <w:spacing w:before="240" w:after="120" w:line="269" w:lineRule="auto"/>
      </w:pPr>
      <w:r>
        <w:rPr>
          <w:color w:val="000000"/>
        </w:rPr>
        <w:t>Treat serviceability as a design input</w:t>
      </w:r>
    </w:p>
    <w:p>
      <w:pPr>
        <w:pStyle w:val="Normal"/>
        <w:spacing w:before="0" w:after="50" w:line="250" w:lineRule="auto"/>
        <w:rPr/>
      </w:pPr>
      <w:r>
        <w:rPr>
          <w:rFonts w:ascii="Calibri" w:hAnsi="Calibri"/>
          <w:color w:val="000000"/>
          <w:sz w:val="20"/>
        </w:rPr>
        <w:t>For India-wide deployment, the real product is not only the box.</w:t>
      </w:r>
    </w:p>
    <w:p>
      <w:pPr>
        <w:pStyle w:val="Normal"/>
        <w:spacing w:before="0" w:after="50" w:line="250" w:lineRule="auto"/>
        <w:rPr/>
      </w:pPr>
      <w:r>
        <w:rPr>
          <w:rFonts w:ascii="Calibri" w:hAnsi="Calibri"/>
          <w:color w:val="000000"/>
          <w:sz w:val="20"/>
        </w:rPr>
        <w:t>It is:</w:t>
      </w:r>
    </w:p>
    <w:p>
      <w:pPr>
        <w:pStyle w:val="Normal"/>
        <w:keepNext/>
        <w:spacing w:before="0" w:after="50" w:line="250" w:lineRule="auto"/>
        <w:rPr/>
      </w:pPr>
      <w:r>
        <w:rPr>
          <w:rFonts w:ascii="Calibri" w:hAnsi="Calibri"/>
          <w:b/>
          <w:color w:val="000000"/>
          <w:sz w:val="20"/>
        </w:rPr>
        <w:t>box + calibration + software + standards updates + installation + training + support + replacement logistics + auditability.</w:t>
      </w:r>
    </w:p>
    <w:p>
      <w:pPr>
        <w:pStyle w:val="Normal"/>
        <w:spacing w:before="0" w:after="50" w:line="250" w:lineRule="auto"/>
        <w:rPr/>
      </w:pPr>
      <w:r>
        <w:rPr>
          <w:rFonts w:ascii="Calibri" w:hAnsi="Calibri"/>
          <w:color w:val="000000"/>
          <w:sz w:val="20"/>
        </w:rPr>
        <w:t>A product that has 98% AI accuracy but loses calibration after transport is worse than a slightly less sophisticated product with self-checks and easy field service.</w:t>
      </w:r>
    </w:p>
    <w:p>
      <w:pPr>
        <w:pStyle w:val="Normal"/>
        <w:spacing w:before="0" w:after="50" w:line="250" w:lineRule="auto"/>
        <w:rPr/>
      </w:pPr>
      <w:r>
        <w:rPr>
          <w:rFonts w:ascii="Calibri" w:hAnsi="Calibri"/>
          <w:color w:val="000000"/>
          <w:sz w:val="20"/>
        </w:rPr>
        <w:t>So include:</w:t>
      </w:r>
    </w:p>
    <w:p>
      <w:pPr>
        <w:pStyle w:val="Normal"/>
        <w:spacing w:before="0" w:after="50" w:line="250" w:lineRule="auto"/>
        <w:rPr/>
      </w:pPr>
      <w:r>
        <w:rPr>
          <w:rFonts w:ascii="Calibri" w:hAnsi="Calibri"/>
          <w:color w:val="000000"/>
          <w:sz w:val="20"/>
        </w:rPr>
        <w:t>calibration verification at startup;</w:t>
      </w:r>
    </w:p>
    <w:p>
      <w:pPr>
        <w:pStyle w:val="Normal"/>
        <w:spacing w:before="0" w:after="50" w:line="250" w:lineRule="auto"/>
        <w:rPr/>
      </w:pPr>
      <w:r>
        <w:rPr>
          <w:rFonts w:ascii="Calibri" w:hAnsi="Calibri"/>
          <w:color w:val="000000"/>
          <w:sz w:val="20"/>
        </w:rPr>
        <w:t>removable calibration target;</w:t>
      </w:r>
    </w:p>
    <w:p>
      <w:pPr>
        <w:pStyle w:val="Normal"/>
        <w:spacing w:before="0" w:after="50" w:line="250" w:lineRule="auto"/>
        <w:rPr/>
      </w:pPr>
      <w:r>
        <w:rPr>
          <w:rFonts w:ascii="Calibri" w:hAnsi="Calibri"/>
          <w:color w:val="000000"/>
          <w:sz w:val="20"/>
        </w:rPr>
        <w:t>health diagnostics;</w:t>
      </w:r>
    </w:p>
    <w:p>
      <w:pPr>
        <w:pStyle w:val="Normal"/>
        <w:spacing w:before="0" w:after="50" w:line="250" w:lineRule="auto"/>
        <w:rPr/>
      </w:pPr>
      <w:r>
        <w:rPr>
          <w:rFonts w:ascii="Calibri" w:hAnsi="Calibri"/>
          <w:color w:val="000000"/>
          <w:sz w:val="20"/>
        </w:rPr>
        <w:t>illumination check;</w:t>
      </w:r>
    </w:p>
    <w:p>
      <w:pPr>
        <w:pStyle w:val="Normal"/>
        <w:spacing w:before="0" w:after="50" w:line="250" w:lineRule="auto"/>
        <w:rPr/>
      </w:pPr>
      <w:r>
        <w:rPr>
          <w:rFonts w:ascii="Calibri" w:hAnsi="Calibri"/>
          <w:color w:val="000000"/>
          <w:sz w:val="20"/>
        </w:rPr>
        <w:t>temperature-sensor check;</w:t>
      </w:r>
    </w:p>
    <w:p>
      <w:pPr>
        <w:pStyle w:val="Normal"/>
        <w:spacing w:before="0" w:after="50" w:line="250" w:lineRule="auto"/>
        <w:rPr/>
      </w:pPr>
      <w:r>
        <w:rPr>
          <w:rFonts w:ascii="Calibri" w:hAnsi="Calibri"/>
          <w:color w:val="000000"/>
          <w:sz w:val="20"/>
        </w:rPr>
        <w:t>camera/focus check;</w:t>
      </w:r>
    </w:p>
    <w:p>
      <w:pPr>
        <w:pStyle w:val="Normal"/>
        <w:spacing w:before="0" w:after="50" w:line="250" w:lineRule="auto"/>
        <w:rPr/>
      </w:pPr>
      <w:r>
        <w:rPr>
          <w:rFonts w:ascii="Calibri" w:hAnsi="Calibri"/>
          <w:color w:val="000000"/>
          <w:sz w:val="20"/>
        </w:rPr>
        <w:t>offline logs;</w:t>
      </w:r>
    </w:p>
    <w:p>
      <w:pPr>
        <w:pStyle w:val="Normal"/>
        <w:spacing w:before="0" w:after="50" w:line="250" w:lineRule="auto"/>
        <w:rPr/>
      </w:pPr>
      <w:r>
        <w:rPr>
          <w:rFonts w:ascii="Calibri" w:hAnsi="Calibri"/>
          <w:color w:val="000000"/>
          <w:sz w:val="20"/>
        </w:rPr>
        <w:t>remote support bundle;</w:t>
      </w:r>
    </w:p>
    <w:p>
      <w:pPr>
        <w:pStyle w:val="Normal"/>
        <w:spacing w:before="0" w:after="50" w:line="250" w:lineRule="auto"/>
        <w:rPr/>
      </w:pPr>
      <w:r>
        <w:rPr>
          <w:rFonts w:ascii="Calibri" w:hAnsi="Calibri"/>
          <w:color w:val="000000"/>
          <w:sz w:val="20"/>
        </w:rPr>
        <w:t>easy module replacement;</w:t>
      </w:r>
    </w:p>
    <w:p>
      <w:pPr>
        <w:pStyle w:val="Normal"/>
        <w:spacing w:before="0" w:after="50" w:line="250" w:lineRule="auto"/>
        <w:rPr/>
      </w:pPr>
      <w:r>
        <w:rPr>
          <w:rFonts w:ascii="Calibri" w:hAnsi="Calibri"/>
          <w:color w:val="000000"/>
          <w:sz w:val="20"/>
        </w:rPr>
        <w:t>signed software update/rollback.</w:t>
      </w:r>
    </w:p>
    <w:p>
      <w:pPr>
        <w:pStyle w:val="Heading3"/>
        <w:keepNext/>
        <w:keepLines/>
        <w:spacing w:before="240" w:after="120" w:line="269" w:lineRule="auto"/>
      </w:pPr>
      <w:r>
        <w:rPr>
          <w:color w:val="000000"/>
        </w:rPr>
        <w:t>Keep cloud optional</w:t>
      </w:r>
    </w:p>
    <w:p>
      <w:pPr>
        <w:pStyle w:val="Normal"/>
        <w:spacing w:before="0" w:after="50" w:line="250" w:lineRule="auto"/>
        <w:rPr/>
      </w:pPr>
      <w:r>
        <w:rPr>
          <w:rFonts w:ascii="Calibri" w:hAnsi="Calibri"/>
          <w:color w:val="000000"/>
          <w:sz w:val="20"/>
        </w:rPr>
        <w:t>The current edge-first idea is strategically good.</w:t>
      </w:r>
    </w:p>
    <w:p>
      <w:pPr>
        <w:pStyle w:val="Normal"/>
        <w:spacing w:before="0" w:after="50" w:line="250" w:lineRule="auto"/>
        <w:rPr/>
      </w:pPr>
      <w:r>
        <w:rPr>
          <w:rFonts w:ascii="Calibri" w:hAnsi="Calibri"/>
          <w:color w:val="000000"/>
          <w:sz w:val="20"/>
        </w:rPr>
        <w:t>Clinical measurement should continue working if the internet disappears.</w:t>
      </w:r>
    </w:p>
    <w:p>
      <w:pPr>
        <w:pStyle w:val="Normal"/>
        <w:spacing w:before="0" w:after="50" w:line="250" w:lineRule="auto"/>
        <w:rPr/>
      </w:pPr>
      <w:r>
        <w:rPr>
          <w:rFonts w:ascii="Calibri" w:hAnsi="Calibri"/>
          <w:color w:val="000000"/>
          <w:sz w:val="20"/>
        </w:rPr>
        <w:t>Cloud can provide:</w:t>
      </w:r>
    </w:p>
    <w:p>
      <w:pPr>
        <w:pStyle w:val="Normal"/>
        <w:spacing w:before="0" w:after="50" w:line="250" w:lineRule="auto"/>
        <w:rPr/>
      </w:pPr>
      <w:r>
        <w:rPr>
          <w:rFonts w:ascii="Calibri" w:hAnsi="Calibri"/>
          <w:color w:val="000000"/>
          <w:sz w:val="20"/>
        </w:rPr>
        <w:t>fleet management, backup/synchronisation, analytics, remote support, model distribution and; much later; surveillance interoperability.</w:t>
      </w:r>
    </w:p>
    <w:p>
      <w:pPr>
        <w:pStyle w:val="Normal"/>
        <w:spacing w:before="0" w:after="50" w:line="250" w:lineRule="auto"/>
        <w:rPr/>
      </w:pPr>
      <w:r>
        <w:rPr>
          <w:rFonts w:ascii="Calibri" w:hAnsi="Calibri"/>
          <w:color w:val="000000"/>
          <w:sz w:val="20"/>
        </w:rPr>
        <w:t>But a transient AWS or network failure should never prevent a laboratory from opening a plate, measuring it and reviewing the result.</w:t>
      </w:r>
    </w:p>
    <w:p>
      <w:pPr>
        <w:pStyle w:val="Heading2"/>
        <w:keepNext/>
        <w:keepLines/>
      </w:pPr>
      <w:r>
        <w:rPr>
          <w:color w:val="000000"/>
        </w:rPr>
        <w:t>Technical audit competition and risk assessment</w:t>
      </w:r>
    </w:p>
    <w:p>
      <w:pPr>
        <w:pStyle w:val="Heading3"/>
        <w:keepNext/>
        <w:keepLines/>
        <w:spacing w:before="240" w:after="120" w:line="269" w:lineRule="auto"/>
      </w:pPr>
      <w:r>
        <w:rPr>
          <w:color w:val="000000"/>
        </w:rPr>
        <w:t>Public evidence and primary research corpus</w:t>
      </w:r>
    </w:p>
    <w:p>
      <w:pPr>
        <w:pStyle w:val="Normal"/>
        <w:spacing w:before="0" w:after="50" w:line="250" w:lineRule="auto"/>
        <w:rPr/>
      </w:pPr>
      <w:r>
        <w:rPr>
          <w:rFonts w:ascii="Calibri" w:hAnsi="Calibri"/>
          <w:color w:val="000000"/>
          <w:sz w:val="20"/>
        </w:rPr>
        <w:t>The most useful public sources are not “news about AMR</w:t>
        <w:noBreakHyphen/>
        <w:t>Eye” but the standards, regulatory framework, literature and competitor products against which AMR</w:t>
        <w:noBreakHyphen/>
        <w:t>Eye has to be built.</w:t>
      </w:r>
    </w:p>
    <w:p>
      <w:pPr>
        <w:spacing w:before="0" w:after="50" w:line="250" w:lineRule="auto"/>
      </w:pPr>
      <w:r>
        <w:rPr>
          <w:rFonts w:ascii="Calibri" w:hAnsi="Calibri"/>
          <w:color w:val="000000"/>
          <w:sz w:val="20"/>
        </w:rPr>
        <w:t xml:space="preserve">Public artifact: WHO antimicrobial-resistance fact sheet</w:t>
      </w:r>
    </w:p>
    <w:p>
      <w:pPr>
        <w:spacing w:before="0" w:after="50" w:line="250" w:lineRule="auto"/>
      </w:pPr>
      <w:r>
        <w:rPr>
          <w:rFonts w:ascii="Calibri" w:hAnsi="Calibri"/>
          <w:color w:val="000000"/>
          <w:sz w:val="20"/>
        </w:rPr>
        <w:t xml:space="preserve">Why it matters to AMR-Eye: Current burden framing; use instead of the historical “WHO says 10 million deaths by 2050” shortcut. [TA-3]</w:t>
      </w:r>
    </w:p>
    <w:p>
      <w:pPr>
        <w:spacing w:before="0" w:after="50" w:line="250" w:lineRule="auto"/>
      </w:pPr>
      <w:r>
        <w:rPr>
          <w:rFonts w:ascii="Calibri" w:hAnsi="Calibri"/>
          <w:color w:val="000000"/>
          <w:sz w:val="20"/>
        </w:rPr>
        <w:t xml:space="preserve">Public artifact: India NAP-AMR 2.0 / Ministry of Health launch</w:t>
      </w:r>
    </w:p>
    <w:p>
      <w:pPr>
        <w:spacing w:before="0" w:after="50" w:line="250" w:lineRule="auto"/>
      </w:pPr>
      <w:r>
        <w:rPr>
          <w:rFonts w:ascii="Calibri" w:hAnsi="Calibri"/>
          <w:color w:val="000000"/>
          <w:sz w:val="20"/>
        </w:rPr>
        <w:t xml:space="preserve">Why it matters to AMR-Eye: Establishes current Indian policy context and makes surveillance-quality structured AST data strategically relevant. [TA-4][TA-12]</w:t>
      </w:r>
    </w:p>
    <w:p>
      <w:pPr>
        <w:spacing w:before="0" w:after="50" w:line="250" w:lineRule="auto"/>
      </w:pPr>
      <w:r>
        <w:rPr>
          <w:rFonts w:ascii="Calibri" w:hAnsi="Calibri"/>
          <w:color w:val="000000"/>
          <w:sz w:val="20"/>
        </w:rPr>
        <w:t xml:space="preserve">Public artifact: CLSI M100, 36th ed.</w:t>
      </w:r>
    </w:p>
    <w:p>
      <w:pPr>
        <w:spacing w:before="0" w:after="50" w:line="250" w:lineRule="auto"/>
      </w:pPr>
      <w:r>
        <w:rPr>
          <w:rFonts w:ascii="Calibri" w:hAnsi="Calibri"/>
          <w:color w:val="000000"/>
          <w:sz w:val="20"/>
        </w:rPr>
        <w:t xml:space="preserve">Why it matters to AMR-Eye: Current 2026 reference for antimicrobial susceptibility breakpoints/QC in CLSI workflows. [TA-13]</w:t>
      </w:r>
    </w:p>
    <w:p>
      <w:pPr>
        <w:spacing w:before="0" w:after="50" w:line="250" w:lineRule="auto"/>
      </w:pPr>
      <w:r>
        <w:rPr>
          <w:rFonts w:ascii="Calibri" w:hAnsi="Calibri"/>
          <w:color w:val="000000"/>
          <w:sz w:val="20"/>
        </w:rPr>
        <w:t xml:space="preserve">Public artifact: EUCAST clinical breakpoint tables v16.1</w:t>
      </w:r>
    </w:p>
    <w:p>
      <w:pPr>
        <w:spacing w:before="0" w:after="50" w:line="250" w:lineRule="auto"/>
      </w:pPr>
      <w:r>
        <w:rPr>
          <w:rFonts w:ascii="Calibri" w:hAnsi="Calibri"/>
          <w:color w:val="000000"/>
          <w:sz w:val="20"/>
        </w:rPr>
        <w:t xml:space="preserve">Why it matters to AMR-Eye: Current 2026 European breakpoint framework; reinforces need for independent standards versioning. [TA-14]</w:t>
      </w:r>
    </w:p>
    <w:p>
      <w:pPr>
        <w:spacing w:before="0" w:after="50" w:line="250" w:lineRule="auto"/>
      </w:pPr>
      <w:r>
        <w:rPr>
          <w:rFonts w:ascii="Calibri" w:hAnsi="Calibri"/>
          <w:color w:val="000000"/>
          <w:sz w:val="20"/>
        </w:rPr>
        <w:t xml:space="preserve">Public artifact: CDSCO 2026 Medical Device Software guidance</w:t>
      </w:r>
    </w:p>
    <w:p>
      <w:pPr>
        <w:spacing w:before="0" w:after="50" w:line="250" w:lineRule="auto"/>
      </w:pPr>
      <w:r>
        <w:rPr>
          <w:rFonts w:ascii="Calibri" w:hAnsi="Calibri"/>
          <w:color w:val="000000"/>
          <w:sz w:val="20"/>
        </w:rPr>
        <w:t xml:space="preserve">Why it matters to AMR-Eye: Critical Indian regulatory reference for AMR-Eye software, QMS, lifecycle, risk and cybersecurity planning. [TA-15]</w:t>
      </w:r>
    </w:p>
    <w:p>
      <w:pPr>
        <w:spacing w:before="0" w:after="50" w:line="250" w:lineRule="auto"/>
      </w:pPr>
      <w:r>
        <w:rPr>
          <w:rFonts w:ascii="Calibri" w:hAnsi="Calibri"/>
          <w:color w:val="000000"/>
          <w:sz w:val="20"/>
        </w:rPr>
        <w:t xml:space="preserve">Public artifact: Ciftci et al., Frontiers in Microbiology 2026, DOI 10.3389/fmicb.2026.1810754</w:t>
      </w:r>
    </w:p>
    <w:p>
      <w:pPr>
        <w:spacing w:before="0" w:after="50" w:line="250" w:lineRule="auto"/>
      </w:pPr>
      <w:r>
        <w:rPr>
          <w:rFonts w:ascii="Calibri" w:hAnsi="Calibri"/>
          <w:color w:val="000000"/>
          <w:sz w:val="20"/>
        </w:rPr>
        <w:t xml:space="preserve">Why it matters to AMR-Eye: Direct state-of-the-art benchmark for deep-learning-assisted automated disk-diffusion zone measurement. [TA-16]</w:t>
      </w:r>
    </w:p>
    <w:p>
      <w:pPr>
        <w:spacing w:before="0" w:after="50" w:line="250" w:lineRule="auto"/>
      </w:pPr>
      <w:r>
        <w:rPr>
          <w:rFonts w:ascii="Calibri" w:hAnsi="Calibri"/>
          <w:color w:val="000000"/>
          <w:sz w:val="20"/>
        </w:rPr>
        <w:t xml:space="preserve">Public artifact: J-AST, Gerst et al. / software package, 2026</w:t>
      </w:r>
    </w:p>
    <w:p>
      <w:pPr>
        <w:spacing w:before="0" w:after="50" w:line="250" w:lineRule="auto"/>
      </w:pPr>
      <w:r>
        <w:rPr>
          <w:rFonts w:ascii="Calibri" w:hAnsi="Calibri"/>
          <w:color w:val="000000"/>
          <w:sz w:val="20"/>
        </w:rPr>
        <w:t xml:space="preserve">Why it matters to AMR-Eye: Strong reference architecture for open automated + interactive human-review AST image analysis. [TA-17][TA-18]</w:t>
      </w:r>
    </w:p>
    <w:p>
      <w:pPr>
        <w:spacing w:before="0" w:after="50" w:line="250" w:lineRule="auto"/>
      </w:pPr>
      <w:r>
        <w:rPr>
          <w:rFonts w:ascii="Calibri" w:hAnsi="Calibri"/>
          <w:color w:val="000000"/>
          <w:sz w:val="20"/>
        </w:rPr>
        <w:t xml:space="preserve">Public artifact: FDA/COPAN PhenoMATRIX K251511</w:t>
      </w:r>
    </w:p>
    <w:p>
      <w:pPr>
        <w:spacing w:before="0" w:after="50" w:line="250" w:lineRule="auto"/>
      </w:pPr>
      <w:r>
        <w:rPr>
          <w:rFonts w:ascii="Calibri" w:hAnsi="Calibri"/>
          <w:color w:val="000000"/>
          <w:sz w:val="20"/>
        </w:rPr>
        <w:t xml:space="preserve">Why it matters to AMR-Eye: Regulatory/product precedent for automated culture-image assessment with trained-personnel oversight; adjacent rather than identical to AMR-Eye AST. [TA-19][TA-20]</w:t>
      </w:r>
    </w:p>
    <w:p>
      <w:pPr>
        <w:spacing w:before="0" w:after="50" w:line="250" w:lineRule="auto"/>
      </w:pPr>
      <w:r>
        <w:rPr>
          <w:rFonts w:ascii="Calibri" w:hAnsi="Calibri"/>
          <w:color w:val="000000"/>
          <w:sz w:val="20"/>
        </w:rPr>
        <w:t xml:space="preserve">Public artifact: bioMérieux VITEK COMPACT PRO / VITEK REVEAL</w:t>
      </w:r>
    </w:p>
    <w:p>
      <w:pPr>
        <w:spacing w:before="0" w:after="50" w:line="250" w:lineRule="auto"/>
      </w:pPr>
      <w:r>
        <w:rPr>
          <w:rFonts w:ascii="Calibri" w:hAnsi="Calibri"/>
          <w:color w:val="000000"/>
          <w:sz w:val="20"/>
        </w:rPr>
        <w:t xml:space="preserve">Why it matters to AMR-Eye: Major automated ID/AST competitive context; REVEAL demonstrates rapid positive-blood-culture AST but by a different methodology and workflow. [TA-21][TA-22]</w:t>
      </w:r>
    </w:p>
    <w:p>
      <w:pPr>
        <w:spacing w:before="0" w:after="50" w:line="250" w:lineRule="auto"/>
      </w:pPr>
      <w:r>
        <w:rPr>
          <w:rFonts w:ascii="Calibri" w:hAnsi="Calibri"/>
          <w:color w:val="000000"/>
          <w:sz w:val="20"/>
        </w:rPr>
        <w:t xml:space="preserve">Public artifact: BD Phoenix</w:t>
      </w:r>
    </w:p>
    <w:p>
      <w:pPr>
        <w:spacing w:before="0" w:after="50" w:line="250" w:lineRule="auto"/>
      </w:pPr>
      <w:r>
        <w:rPr>
          <w:rFonts w:ascii="Calibri" w:hAnsi="Calibri"/>
          <w:color w:val="000000"/>
          <w:sz w:val="20"/>
        </w:rPr>
        <w:t xml:space="preserve">Why it matters to AMR-Eye: Established automated ID/AST platform benchmark. [TA-23]</w:t>
      </w:r>
    </w:p>
    <w:p>
      <w:pPr>
        <w:spacing w:before="0" w:after="50" w:line="250" w:lineRule="auto"/>
      </w:pPr>
      <w:r>
        <w:rPr>
          <w:rFonts w:ascii="Calibri" w:hAnsi="Calibri"/>
          <w:color w:val="000000"/>
          <w:sz w:val="20"/>
        </w:rPr>
        <w:t xml:space="preserve">Public artifact: BIOMIC V3</w:t>
      </w:r>
    </w:p>
    <w:p>
      <w:pPr>
        <w:spacing w:before="0" w:after="50" w:line="250" w:lineRule="auto"/>
      </w:pPr>
      <w:r>
        <w:rPr>
          <w:rFonts w:ascii="Calibri" w:hAnsi="Calibri"/>
          <w:color w:val="000000"/>
          <w:sz w:val="20"/>
        </w:rPr>
        <w:t xml:space="preserve">Why it matters to AMR-Eye: Particularly relevant comparator because it digitises disk diffusion and other traditional microbiology methods. [TA-24]</w:t>
      </w:r>
    </w:p>
    <w:p>
      <w:pPr>
        <w:spacing w:before="0" w:after="50" w:line="250" w:lineRule="auto"/>
      </w:pPr>
      <w:r>
        <w:rPr>
          <w:rFonts w:ascii="Calibri" w:hAnsi="Calibri"/>
          <w:color w:val="000000"/>
          <w:sz w:val="20"/>
        </w:rPr>
        <w:t xml:space="preserve">Public artifact: Reshape</w:t>
      </w:r>
    </w:p>
    <w:p>
      <w:pPr>
        <w:spacing w:before="0" w:after="50" w:line="250" w:lineRule="auto"/>
      </w:pPr>
      <w:r>
        <w:rPr>
          <w:rFonts w:ascii="Calibri" w:hAnsi="Calibri"/>
          <w:color w:val="000000"/>
          <w:sz w:val="20"/>
        </w:rPr>
        <w:t xml:space="preserve">Why it matters to AMR-Eye: Adjacent automated imaging/robotics/AI microbiology competitor, strongest in laboratory automation/QC rather than AMR-Eye’s exact proposed pathway. [TA-25]</w:t>
      </w:r>
    </w:p>
    <w:p>
      <w:pPr>
        <w:pStyle w:val="Normal"/>
        <w:spacing w:before="0" w:after="50" w:line="250" w:lineRule="auto"/>
        <w:rPr/>
      </w:pPr>
      <w:r>
        <w:rPr>
          <w:rFonts w:ascii="Calibri" w:hAnsi="Calibri"/>
          <w:color w:val="000000"/>
          <w:sz w:val="20"/>
        </w:rPr>
        <w:t xml:space="preserve">I did </w:t>
      </w:r>
      <w:r>
        <w:rPr>
          <w:rFonts w:ascii="Calibri" w:hAnsi="Calibri"/>
          <w:b/>
          <w:color w:val="000000"/>
          <w:sz w:val="20"/>
        </w:rPr>
        <w:t>not</w:t>
      </w:r>
      <w:r>
        <w:rPr>
          <w:rFonts w:ascii="Calibri" w:hAnsi="Calibri"/>
          <w:color w:val="000000"/>
          <w:sz w:val="20"/>
        </w:rPr>
        <w:t xml:space="preserve"> find a defensible primary-source dataset supporting a current market-share chart for these systems. Generating one would therefore add false precision, so no market-share percentage chart is included.</w:t>
      </w:r>
    </w:p>
    <w:p>
      <w:pPr>
        <w:pStyle w:val="Heading3"/>
        <w:keepNext/>
        <w:keepLines/>
        <w:spacing w:before="240" w:after="120" w:line="269" w:lineRule="auto"/>
      </w:pPr>
      <w:r>
        <w:rPr>
          <w:color w:val="000000"/>
        </w:rPr>
        <w:t>Technical architecture, models, data and validation</w:t>
      </w:r>
    </w:p>
    <w:p>
      <w:pPr>
        <w:pStyle w:val="Heading3"/>
        <w:keepNext/>
        <w:keepLines/>
        <w:spacing w:before="240" w:after="120" w:line="269" w:lineRule="auto"/>
      </w:pPr>
      <w:r>
        <w:rPr>
          <w:color w:val="000000"/>
        </w:rPr>
        <w:t>The architecture that should be retained</w:t>
      </w:r>
    </w:p>
    <w:p>
      <w:pPr>
        <w:pStyle w:val="Normal"/>
        <w:spacing w:before="0" w:after="50" w:line="250" w:lineRule="auto"/>
        <w:rPr/>
      </w:pPr>
      <w:r>
        <w:rPr>
          <w:rFonts w:ascii="Calibri" w:hAnsi="Calibri"/>
          <w:color w:val="000000"/>
          <w:sz w:val="20"/>
        </w:rPr>
        <w:t>The existing four-layer concept is fundamentally sound when stripped of the claims that have not yet been demonstrated. The project already describes REFLEX, INTERFACE/BAHU, CORTEX and HIVE as distinct layers, with APEX/Bio</w:t>
        <w:noBreakHyphen/>
        <w:t>Vault hardware sitting underneath.  </w:t>
      </w:r>
    </w:p>
    <w:p>
      <w:pPr>
        <w:pStyle w:val="Normal"/>
        <w:spacing w:before="0" w:after="50" w:line="250" w:lineRule="auto"/>
        <w:rPr/>
      </w:pPr>
      <w:r>
        <w:rPr>
          <w:rFonts w:ascii="Calibri" w:hAnsi="Calibri"/>
          <w:color w:val="000000"/>
          <w:sz w:val="20"/>
        </w:rPr>
        <w:t xml:space="preserve">That architecture has an important safety property: </w:t>
      </w:r>
      <w:r>
        <w:rPr>
          <w:rFonts w:ascii="Calibri" w:hAnsi="Calibri"/>
          <w:b/>
          <w:color w:val="000000"/>
          <w:sz w:val="20"/>
        </w:rPr>
        <w:t>AI failure must not disable thermal, motion or physical safety controls</w:t>
      </w:r>
      <w:r>
        <w:rPr>
          <w:rFonts w:ascii="Calibri" w:hAnsi="Calibri"/>
          <w:color w:val="000000"/>
          <w:sz w:val="20"/>
        </w:rPr>
        <w:t>. REFLEX should remain deterministic and capable of failing safe independently of CORTEX/BAHU/HIVE. This is more important than using the most fashionable model.</w:t>
      </w:r>
    </w:p>
    <w:p>
      <w:pPr>
        <w:pStyle w:val="Heading3"/>
        <w:keepNext/>
        <w:keepLines/>
        <w:spacing w:before="240" w:after="120" w:line="269" w:lineRule="auto"/>
      </w:pPr>
      <w:r>
        <w:rPr>
          <w:color w:val="000000"/>
        </w:rPr>
        <w:t>Hardware maturity</w:t>
      </w:r>
    </w:p>
    <w:p>
      <w:pPr>
        <w:spacing w:before="0" w:after="50" w:line="250" w:lineRule="auto"/>
      </w:pPr>
      <w:r>
        <w:rPr>
          <w:rFonts w:ascii="Calibri" w:hAnsi="Calibri"/>
          <w:color w:val="000000"/>
          <w:sz w:val="20"/>
        </w:rPr>
        <w:t xml:space="preserve">Component: Incubation/Bio-Vault</w:t>
      </w:r>
    </w:p>
    <w:p>
      <w:pPr>
        <w:spacing w:before="0" w:after="50" w:line="250" w:lineRule="auto"/>
      </w:pPr>
      <w:r>
        <w:rPr>
          <w:rFonts w:ascii="Calibri" w:hAnsi="Calibri"/>
          <w:color w:val="000000"/>
          <w:sz w:val="20"/>
        </w:rPr>
        <w:t xml:space="preserve">Current project concept: Insulated chamber, Peltier control, PT100, humidity control</w:t>
      </w:r>
    </w:p>
    <w:p>
      <w:pPr>
        <w:spacing w:before="0" w:after="50" w:line="250" w:lineRule="auto"/>
      </w:pPr>
      <w:r>
        <w:rPr>
          <w:rFonts w:ascii="Calibri" w:hAnsi="Calibri"/>
          <w:color w:val="000000"/>
          <w:sz w:val="20"/>
        </w:rPr>
        <w:t xml:space="preserve">Evidence status: Proposed / engineering target</w:t>
      </w:r>
    </w:p>
    <w:p>
      <w:pPr>
        <w:spacing w:before="0" w:after="50" w:line="250" w:lineRule="auto"/>
      </w:pPr>
      <w:r>
        <w:rPr>
          <w:rFonts w:ascii="Calibri" w:hAnsi="Calibri"/>
          <w:color w:val="000000"/>
          <w:sz w:val="20"/>
        </w:rPr>
        <w:t xml:space="preserve">Recommendation: Demonstrate temperature uniformity, stability, recovery after door cycles, humidity, condensation and ambient stress before quoting ±0.05°C.</w:t>
      </w:r>
    </w:p>
    <w:p>
      <w:pPr>
        <w:spacing w:before="0" w:after="50" w:line="250" w:lineRule="auto"/>
      </w:pPr>
      <w:r>
        <w:rPr>
          <w:rFonts w:ascii="Calibri" w:hAnsi="Calibri"/>
          <w:color w:val="000000"/>
          <w:sz w:val="20"/>
        </w:rPr>
        <w:t xml:space="preserve">Component: Camera</w:t>
      </w:r>
    </w:p>
    <w:p>
      <w:pPr>
        <w:spacing w:before="0" w:after="50" w:line="250" w:lineRule="auto"/>
      </w:pPr>
      <w:r>
        <w:rPr>
          <w:rFonts w:ascii="Calibri" w:hAnsi="Calibri"/>
          <w:color w:val="000000"/>
          <w:sz w:val="20"/>
        </w:rPr>
        <w:t xml:space="preserve">Current project concept: Sony IMX585-class industrial imaging</w:t>
      </w:r>
    </w:p>
    <w:p>
      <w:pPr>
        <w:spacing w:before="0" w:after="50" w:line="250" w:lineRule="auto"/>
      </w:pPr>
      <w:r>
        <w:rPr>
          <w:rFonts w:ascii="Calibri" w:hAnsi="Calibri"/>
          <w:color w:val="000000"/>
          <w:sz w:val="20"/>
        </w:rPr>
        <w:t xml:space="preserve">Evidence status: Proposed/selected architecture</w:t>
      </w:r>
    </w:p>
    <w:p>
      <w:pPr>
        <w:spacing w:before="0" w:after="50" w:line="250" w:lineRule="auto"/>
      </w:pPr>
      <w:r>
        <w:rPr>
          <w:rFonts w:ascii="Calibri" w:hAnsi="Calibri"/>
          <w:color w:val="000000"/>
          <w:sz w:val="20"/>
        </w:rPr>
        <w:t xml:space="preserve">Recommendation: Freeze one exact camera/module/lens/working-distance combination before model-data collection.</w:t>
      </w:r>
    </w:p>
    <w:p>
      <w:pPr>
        <w:spacing w:before="0" w:after="50" w:line="250" w:lineRule="auto"/>
      </w:pPr>
      <w:r>
        <w:rPr>
          <w:rFonts w:ascii="Calibri" w:hAnsi="Calibri"/>
          <w:color w:val="000000"/>
          <w:sz w:val="20"/>
        </w:rPr>
        <w:t xml:space="preserve">Component: Telecentric optics</w:t>
      </w:r>
    </w:p>
    <w:p>
      <w:pPr>
        <w:spacing w:before="0" w:after="50" w:line="250" w:lineRule="auto"/>
      </w:pPr>
      <w:r>
        <w:rPr>
          <w:rFonts w:ascii="Calibri" w:hAnsi="Calibri"/>
          <w:color w:val="000000"/>
          <w:sz w:val="20"/>
        </w:rPr>
        <w:t xml:space="preserve">Current project concept: Reduce perspective/magnification variation</w:t>
      </w:r>
    </w:p>
    <w:p>
      <w:pPr>
        <w:spacing w:before="0" w:after="50" w:line="250" w:lineRule="auto"/>
      </w:pPr>
      <w:r>
        <w:rPr>
          <w:rFonts w:ascii="Calibri" w:hAnsi="Calibri"/>
          <w:color w:val="000000"/>
          <w:sz w:val="20"/>
        </w:rPr>
        <w:t xml:space="preserve">Evidence status: Scientifically sensible but performance unvalidated</w:t>
      </w:r>
    </w:p>
    <w:p>
      <w:pPr>
        <w:spacing w:before="0" w:after="50" w:line="250" w:lineRule="auto"/>
      </w:pPr>
      <w:r>
        <w:rPr>
          <w:rFonts w:ascii="Calibri" w:hAnsi="Calibri"/>
          <w:color w:val="000000"/>
          <w:sz w:val="20"/>
        </w:rPr>
        <w:t xml:space="preserve">Recommendation: Keep; this can become a genuine metrology moat if validated. Do not use “&lt;1 µm accuracy” language.</w:t>
      </w:r>
    </w:p>
    <w:p>
      <w:pPr>
        <w:spacing w:before="0" w:after="50" w:line="250" w:lineRule="auto"/>
      </w:pPr>
      <w:r>
        <w:rPr>
          <w:rFonts w:ascii="Calibri" w:hAnsi="Calibri"/>
          <w:color w:val="000000"/>
          <w:sz w:val="20"/>
        </w:rPr>
        <w:t xml:space="preserve">Component: Visible illumination</w:t>
      </w:r>
    </w:p>
    <w:p>
      <w:pPr>
        <w:spacing w:before="0" w:after="50" w:line="250" w:lineRule="auto"/>
      </w:pPr>
      <w:r>
        <w:rPr>
          <w:rFonts w:ascii="Calibri" w:hAnsi="Calibri"/>
          <w:color w:val="000000"/>
          <w:sz w:val="20"/>
        </w:rPr>
        <w:t xml:space="preserve">Current project concept: Plate/zone imaging</w:t>
      </w:r>
    </w:p>
    <w:p>
      <w:pPr>
        <w:spacing w:before="0" w:after="50" w:line="250" w:lineRule="auto"/>
      </w:pPr>
      <w:r>
        <w:rPr>
          <w:rFonts w:ascii="Calibri" w:hAnsi="Calibri"/>
          <w:color w:val="000000"/>
          <w:sz w:val="20"/>
        </w:rPr>
        <w:t xml:space="preserve">Evidence status: Core MVP</w:t>
      </w:r>
    </w:p>
    <w:p>
      <w:pPr>
        <w:spacing w:before="0" w:after="50" w:line="250" w:lineRule="auto"/>
      </w:pPr>
      <w:r>
        <w:rPr>
          <w:rFonts w:ascii="Calibri" w:hAnsi="Calibri"/>
          <w:color w:val="000000"/>
          <w:sz w:val="20"/>
        </w:rPr>
        <w:t xml:space="preserve">Recommendation: Standardise first. Use multiple controlled illumination geometries before adding exotic sensors.</w:t>
      </w:r>
    </w:p>
    <w:p>
      <w:pPr>
        <w:spacing w:before="0" w:after="50" w:line="250" w:lineRule="auto"/>
      </w:pPr>
      <w:r>
        <w:rPr>
          <w:rFonts w:ascii="Calibri" w:hAnsi="Calibri"/>
          <w:color w:val="000000"/>
          <w:sz w:val="20"/>
        </w:rPr>
        <w:t xml:space="preserve">Component: 940 nm NIR</w:t>
      </w:r>
    </w:p>
    <w:p>
      <w:pPr>
        <w:spacing w:before="0" w:after="50" w:line="250" w:lineRule="auto"/>
      </w:pPr>
      <w:r>
        <w:rPr>
          <w:rFonts w:ascii="Calibri" w:hAnsi="Calibri"/>
          <w:color w:val="000000"/>
          <w:sz w:val="20"/>
        </w:rPr>
        <w:t xml:space="preserve">Current project concept: “Fog Vision”</w:t>
      </w:r>
    </w:p>
    <w:p>
      <w:pPr>
        <w:spacing w:before="0" w:after="50" w:line="250" w:lineRule="auto"/>
      </w:pPr>
      <w:r>
        <w:rPr>
          <w:rFonts w:ascii="Calibri" w:hAnsi="Calibri"/>
          <w:color w:val="000000"/>
          <w:sz w:val="20"/>
        </w:rPr>
        <w:t xml:space="preserve">Evidence status: Future experimental R&amp;D</w:t>
      </w:r>
    </w:p>
    <w:p>
      <w:pPr>
        <w:spacing w:before="0" w:after="50" w:line="250" w:lineRule="auto"/>
      </w:pPr>
      <w:r>
        <w:rPr>
          <w:rFonts w:ascii="Calibri" w:hAnsi="Calibri"/>
          <w:color w:val="000000"/>
          <w:sz w:val="20"/>
        </w:rPr>
        <w:t xml:space="preserve">Recommendation: Benchmark visible vs NIR under defined condensation; do not assume NIR makes droplets transparent.</w:t>
      </w:r>
    </w:p>
    <w:p>
      <w:pPr>
        <w:spacing w:before="0" w:after="50" w:line="250" w:lineRule="auto"/>
      </w:pPr>
      <w:r>
        <w:rPr>
          <w:rFonts w:ascii="Calibri" w:hAnsi="Calibri"/>
          <w:color w:val="000000"/>
          <w:sz w:val="20"/>
        </w:rPr>
        <w:t xml:space="preserve">Component: BME688 VOC channel</w:t>
      </w:r>
    </w:p>
    <w:p>
      <w:pPr>
        <w:spacing w:before="0" w:after="50" w:line="250" w:lineRule="auto"/>
      </w:pPr>
      <w:r>
        <w:rPr>
          <w:rFonts w:ascii="Calibri" w:hAnsi="Calibri"/>
          <w:color w:val="000000"/>
          <w:sz w:val="20"/>
        </w:rPr>
        <w:t xml:space="preserve">Current project concept: Headspace/e-nose</w:t>
      </w:r>
    </w:p>
    <w:p>
      <w:pPr>
        <w:spacing w:before="0" w:after="50" w:line="250" w:lineRule="auto"/>
      </w:pPr>
      <w:r>
        <w:rPr>
          <w:rFonts w:ascii="Calibri" w:hAnsi="Calibri"/>
          <w:color w:val="000000"/>
          <w:sz w:val="20"/>
        </w:rPr>
        <w:t xml:space="preserve">Evidence status: Future R&amp;D</w:t>
      </w:r>
    </w:p>
    <w:p>
      <w:pPr>
        <w:spacing w:before="0" w:after="50" w:line="250" w:lineRule="auto"/>
      </w:pPr>
      <w:r>
        <w:rPr>
          <w:rFonts w:ascii="Calibri" w:hAnsi="Calibri"/>
          <w:color w:val="000000"/>
          <w:sz w:val="20"/>
        </w:rPr>
        <w:t xml:space="preserve">Recommendation: Remove from clinical MVP BOM. Create a separate research protocol if retained.</w:t>
      </w:r>
    </w:p>
    <w:p>
      <w:pPr>
        <w:spacing w:before="0" w:after="50" w:line="250" w:lineRule="auto"/>
      </w:pPr>
      <w:r>
        <w:rPr>
          <w:rFonts w:ascii="Calibri" w:hAnsi="Calibri"/>
          <w:color w:val="000000"/>
          <w:sz w:val="20"/>
        </w:rPr>
        <w:t xml:space="preserve">Component: VL53L8CX 8×8 ToF</w:t>
      </w:r>
    </w:p>
    <w:p>
      <w:pPr>
        <w:spacing w:before="0" w:after="50" w:line="250" w:lineRule="auto"/>
      </w:pPr>
      <w:r>
        <w:rPr>
          <w:rFonts w:ascii="Calibri" w:hAnsi="Calibri"/>
          <w:color w:val="000000"/>
          <w:sz w:val="20"/>
        </w:rPr>
        <w:t xml:space="preserve">Current project concept: Distance/topography/gesture</w:t>
      </w:r>
    </w:p>
    <w:p>
      <w:pPr>
        <w:spacing w:before="0" w:after="50" w:line="250" w:lineRule="auto"/>
      </w:pPr>
      <w:r>
        <w:rPr>
          <w:rFonts w:ascii="Calibri" w:hAnsi="Calibri"/>
          <w:color w:val="000000"/>
          <w:sz w:val="20"/>
        </w:rPr>
        <w:t xml:space="preserve">Evidence status: Very low-value for AST core</w:t>
      </w:r>
    </w:p>
    <w:p>
      <w:pPr>
        <w:spacing w:before="0" w:after="50" w:line="250" w:lineRule="auto"/>
      </w:pPr>
      <w:r>
        <w:rPr>
          <w:rFonts w:ascii="Calibri" w:hAnsi="Calibri"/>
          <w:color w:val="000000"/>
          <w:sz w:val="20"/>
        </w:rPr>
        <w:t xml:space="preserve">Recommendation: Remove from clinical MVP; 8×8 geometry is not a credible fine-colony metrology system without extraordinary validation.</w:t>
      </w:r>
    </w:p>
    <w:p>
      <w:pPr>
        <w:spacing w:before="0" w:after="50" w:line="250" w:lineRule="auto"/>
      </w:pPr>
      <w:r>
        <w:rPr>
          <w:rFonts w:ascii="Calibri" w:hAnsi="Calibri"/>
          <w:color w:val="000000"/>
          <w:sz w:val="20"/>
        </w:rPr>
        <w:t xml:space="preserve">Component: Load cell + HX711</w:t>
      </w:r>
    </w:p>
    <w:p>
      <w:pPr>
        <w:spacing w:before="0" w:after="50" w:line="250" w:lineRule="auto"/>
      </w:pPr>
      <w:r>
        <w:rPr>
          <w:rFonts w:ascii="Calibri" w:hAnsi="Calibri"/>
          <w:color w:val="000000"/>
          <w:sz w:val="20"/>
        </w:rPr>
        <w:t xml:space="preserve">Current project concept: Mass/desiccation/“biomass”</w:t>
      </w:r>
    </w:p>
    <w:p>
      <w:pPr>
        <w:spacing w:before="0" w:after="50" w:line="250" w:lineRule="auto"/>
      </w:pPr>
      <w:r>
        <w:rPr>
          <w:rFonts w:ascii="Calibri" w:hAnsi="Calibri"/>
          <w:color w:val="000000"/>
          <w:sz w:val="20"/>
        </w:rPr>
        <w:t xml:space="preserve">Evidence status: Experimental</w:t>
      </w:r>
    </w:p>
    <w:p>
      <w:pPr>
        <w:spacing w:before="0" w:after="50" w:line="250" w:lineRule="auto"/>
      </w:pPr>
      <w:r>
        <w:rPr>
          <w:rFonts w:ascii="Calibri" w:hAnsi="Calibri"/>
          <w:color w:val="000000"/>
          <w:sz w:val="20"/>
        </w:rPr>
        <w:t xml:space="preserve">Recommendation: Only retain for gross mass/evaporation research. Drop microgram microbial-biomass language.</w:t>
      </w:r>
    </w:p>
    <w:p>
      <w:pPr>
        <w:spacing w:before="0" w:after="50" w:line="250" w:lineRule="auto"/>
      </w:pPr>
      <w:r>
        <w:rPr>
          <w:rFonts w:ascii="Calibri" w:hAnsi="Calibri"/>
          <w:color w:val="000000"/>
          <w:sz w:val="20"/>
        </w:rPr>
        <w:t xml:space="preserve">Component: Jetson + Pi + STM32</w:t>
      </w:r>
    </w:p>
    <w:p>
      <w:pPr>
        <w:spacing w:before="0" w:after="50" w:line="250" w:lineRule="auto"/>
      </w:pPr>
      <w:r>
        <w:rPr>
          <w:rFonts w:ascii="Calibri" w:hAnsi="Calibri"/>
          <w:color w:val="000000"/>
          <w:sz w:val="20"/>
        </w:rPr>
        <w:t xml:space="preserve">Current project concept: Three-compute-layer architecture</w:t>
      </w:r>
    </w:p>
    <w:p>
      <w:pPr>
        <w:spacing w:before="0" w:after="50" w:line="250" w:lineRule="auto"/>
      </w:pPr>
      <w:r>
        <w:rPr>
          <w:rFonts w:ascii="Calibri" w:hAnsi="Calibri"/>
          <w:color w:val="000000"/>
          <w:sz w:val="20"/>
        </w:rPr>
        <w:t xml:space="preserve">Evidence status: Proposed integration</w:t>
      </w:r>
    </w:p>
    <w:p>
      <w:pPr>
        <w:spacing w:before="0" w:after="50" w:line="250" w:lineRule="auto"/>
      </w:pPr>
      <w:r>
        <w:rPr>
          <w:rFonts w:ascii="Calibri" w:hAnsi="Calibri"/>
          <w:color w:val="000000"/>
          <w:sz w:val="20"/>
        </w:rPr>
        <w:t xml:space="preserve">Recommendation: Prototype can initially simplify the stack if one SBC/edge module can fulfil Interface+Cortex requirements; retain MCU for safety-critical control.</w:t>
      </w:r>
    </w:p>
    <w:p>
      <w:pPr>
        <w:pStyle w:val="Normal"/>
        <w:spacing w:before="0" w:after="50" w:line="250" w:lineRule="auto"/>
        <w:rPr/>
      </w:pPr>
      <w:r>
        <w:rPr>
          <w:rFonts w:ascii="Calibri" w:hAnsi="Calibri"/>
          <w:color w:val="000000"/>
          <w:sz w:val="20"/>
        </w:rPr>
        <w:t xml:space="preserve">The legacy financial workbook still contains phrases such as telecentric “&lt;1 µm error”, microgram load-cell precision and ±0.05°C thermal claims. Those now conflict with the newer evidence-control philosophy and should be treated as </w:t>
      </w:r>
      <w:r>
        <w:rPr>
          <w:rFonts w:ascii="Calibri" w:hAnsi="Calibri"/>
          <w:b/>
          <w:color w:val="000000"/>
          <w:sz w:val="20"/>
        </w:rPr>
        <w:t>stale assumptions, not specifications</w:t>
      </w:r>
      <w:r>
        <w:rPr>
          <w:rFonts w:ascii="Calibri" w:hAnsi="Calibri"/>
          <w:color w:val="000000"/>
          <w:sz w:val="20"/>
        </w:rPr>
        <w:t>. The workbook itself is an older July 2026 artifact, whereas the September dossier and claim register are the current authorities.  </w:t>
      </w:r>
    </w:p>
    <w:p>
      <w:pPr>
        <w:pStyle w:val="Heading3"/>
        <w:keepNext/>
        <w:keepLines/>
        <w:spacing w:before="240" w:after="120" w:line="269" w:lineRule="auto"/>
      </w:pPr>
      <w:r>
        <w:rPr>
          <w:color w:val="000000"/>
        </w:rPr>
        <w:t>Computer vision and AI design</w:t>
      </w:r>
    </w:p>
    <w:p>
      <w:pPr>
        <w:pStyle w:val="Normal"/>
        <w:spacing w:before="0" w:after="50" w:line="250" w:lineRule="auto"/>
        <w:rPr/>
      </w:pPr>
      <w:r>
        <w:rPr>
          <w:rFonts w:ascii="Calibri" w:hAnsi="Calibri"/>
          <w:color w:val="000000"/>
          <w:sz w:val="20"/>
        </w:rPr>
        <w:t xml:space="preserve">The best 2026 direct comparison identified in the literature is Ciftci et al. They used a YOLO11n workflow on standardised disk-diffusion plate images and evaluated both computer-vision metrics and clinically meaningful AST metrics. Under their dataset/study conditions, the reported model achieved approximately </w:t>
      </w:r>
      <w:r>
        <w:rPr>
          <w:rFonts w:ascii="Calibri" w:hAnsi="Calibri"/>
          <w:b/>
          <w:color w:val="000000"/>
          <w:sz w:val="20"/>
        </w:rPr>
        <w:t>94.2% categorical agreement, 1.2% very-major errors, 1.8% major errors, R² ≈0.98 and mean absolute zone-diameter error ≈0.42 mm</w:t>
      </w:r>
      <w:r>
        <w:rPr>
          <w:rFonts w:ascii="Calibri" w:hAnsi="Calibri"/>
          <w:color w:val="000000"/>
          <w:sz w:val="20"/>
        </w:rPr>
        <w:t xml:space="preserve">, alongside strong detection metrics. The study used 207 plate photographs spanning </w:t>
      </w:r>
      <w:r>
        <w:rPr>
          <w:rFonts w:ascii="Calibri" w:hAnsi="Calibri"/>
          <w:i/>
          <w:color w:val="000000"/>
          <w:sz w:val="20"/>
        </w:rPr>
        <w:t>E. coli</w:t>
      </w:r>
      <w:r>
        <w:rPr>
          <w:rFonts w:ascii="Calibri" w:hAnsi="Calibri"/>
          <w:color w:val="000000"/>
          <w:sz w:val="20"/>
        </w:rPr>
        <w:t xml:space="preserve">, </w:t>
      </w:r>
      <w:r>
        <w:rPr>
          <w:rFonts w:ascii="Calibri" w:hAnsi="Calibri"/>
          <w:i/>
          <w:color w:val="000000"/>
          <w:sz w:val="20"/>
        </w:rPr>
        <w:t>Salmonella</w:t>
      </w:r>
      <w:r>
        <w:rPr>
          <w:rFonts w:ascii="Calibri" w:hAnsi="Calibri"/>
          <w:color w:val="000000"/>
          <w:sz w:val="20"/>
        </w:rPr>
        <w:t xml:space="preserve"> and </w:t>
      </w:r>
      <w:r>
        <w:rPr>
          <w:rFonts w:ascii="Calibri" w:hAnsi="Calibri"/>
          <w:i/>
          <w:color w:val="000000"/>
          <w:sz w:val="20"/>
        </w:rPr>
        <w:t>S. aureus</w:t>
      </w:r>
      <w:r>
        <w:rPr>
          <w:rFonts w:ascii="Calibri" w:hAnsi="Calibri"/>
          <w:color w:val="000000"/>
          <w:sz w:val="20"/>
        </w:rPr>
        <w:t>, and the authors explicitly noted the need for broader species, antibiotic, geographic and multilaboratory validation. Those are literature results, not AMR</w:t>
        <w:noBreakHyphen/>
        <w:t>Eye results. [TA-16]</w:t>
      </w:r>
    </w:p>
    <w:p>
      <w:pPr>
        <w:pStyle w:val="Normal"/>
        <w:spacing w:before="0" w:after="50" w:line="250" w:lineRule="auto"/>
        <w:rPr/>
      </w:pPr>
      <w:r>
        <w:rPr>
          <w:rFonts w:ascii="Calibri" w:hAnsi="Calibri"/>
          <w:color w:val="000000"/>
          <w:sz w:val="20"/>
        </w:rPr>
        <w:t>That study gives AMR</w:t>
        <w:noBreakHyphen/>
        <w:t xml:space="preserve">Eye a useful benchmark but also highlights why the project should </w:t>
      </w:r>
      <w:r>
        <w:rPr>
          <w:rFonts w:ascii="Calibri" w:hAnsi="Calibri"/>
          <w:b/>
          <w:color w:val="000000"/>
          <w:sz w:val="20"/>
        </w:rPr>
        <w:t>not optimise solely for mAP</w:t>
      </w:r>
      <w:r>
        <w:rPr>
          <w:rFonts w:ascii="Calibri" w:hAnsi="Calibri"/>
          <w:color w:val="000000"/>
          <w:sz w:val="20"/>
        </w:rPr>
        <w:t>. A model can have excellent object-detection performance yet still produce clinically dangerous errors near an S/I/R breakpoint. AMR</w:t>
        <w:noBreakHyphen/>
        <w:t>Eye’s primary outcomes should therefore be:</w:t>
      </w:r>
    </w:p>
    <w:p>
      <w:pPr>
        <w:keepNext/>
        <w:spacing w:before="0" w:after="50" w:line="250" w:lineRule="auto"/>
      </w:pPr>
      <w:r>
        <w:rPr>
          <w:rFonts w:ascii="Calibri" w:hAnsi="Calibri"/>
          <w:color w:val="000000"/>
          <w:sz w:val="20"/>
        </w:rPr>
        <w:t xml:space="preserve">Level: Imaging QC</w:t>
      </w:r>
    </w:p>
    <w:p>
      <w:pPr>
        <w:spacing w:before="0" w:after="50" w:line="250" w:lineRule="auto"/>
      </w:pPr>
      <w:r>
        <w:rPr>
          <w:rFonts w:ascii="Calibri" w:hAnsi="Calibri"/>
          <w:color w:val="000000"/>
          <w:sz w:val="20"/>
        </w:rPr>
        <w:t xml:space="preserve">Required metrics: unreadable rate, recapture rate, QC sensitivity, reasons for abstention</w:t>
      </w:r>
    </w:p>
    <w:p>
      <w:pPr>
        <w:keepNext/>
        <w:spacing w:before="0" w:after="50" w:line="250" w:lineRule="auto"/>
      </w:pPr>
      <w:r>
        <w:rPr>
          <w:rFonts w:ascii="Calibri" w:hAnsi="Calibri"/>
          <w:color w:val="000000"/>
          <w:sz w:val="20"/>
        </w:rPr>
        <w:t xml:space="preserve">Level: Metrology</w:t>
      </w:r>
    </w:p>
    <w:p>
      <w:pPr>
        <w:spacing w:before="0" w:after="50" w:line="250" w:lineRule="auto"/>
      </w:pPr>
      <w:r>
        <w:rPr>
          <w:rFonts w:ascii="Calibri" w:hAnsi="Calibri"/>
          <w:color w:val="000000"/>
          <w:sz w:val="20"/>
        </w:rPr>
        <w:t xml:space="preserve">Required metrics: bias, MAE in mm, median absolute error, repeatability, reproducibility, field-position error, limits of agreement</w:t>
      </w:r>
    </w:p>
    <w:p>
      <w:pPr>
        <w:keepNext/>
        <w:spacing w:before="0" w:after="50" w:line="250" w:lineRule="auto"/>
      </w:pPr>
      <w:r>
        <w:rPr>
          <w:rFonts w:ascii="Calibri" w:hAnsi="Calibri"/>
          <w:color w:val="000000"/>
          <w:sz w:val="20"/>
        </w:rPr>
        <w:t xml:space="preserve">Level: Detection/segmentation</w:t>
      </w:r>
    </w:p>
    <w:p>
      <w:pPr>
        <w:spacing w:before="0" w:after="50" w:line="250" w:lineRule="auto"/>
      </w:pPr>
      <w:r>
        <w:rPr>
          <w:rFonts w:ascii="Calibri" w:hAnsi="Calibri"/>
          <w:color w:val="000000"/>
          <w:sz w:val="20"/>
        </w:rPr>
        <w:t xml:space="preserve">Required metrics: precision, recall, IoU/Dice where appropriate, mAP only as supporting engineering metrics</w:t>
      </w:r>
    </w:p>
    <w:p>
      <w:pPr>
        <w:keepNext/>
        <w:spacing w:before="0" w:after="50" w:line="250" w:lineRule="auto"/>
      </w:pPr>
      <w:r>
        <w:rPr>
          <w:rFonts w:ascii="Calibri" w:hAnsi="Calibri"/>
          <w:color w:val="000000"/>
          <w:sz w:val="20"/>
        </w:rPr>
        <w:t xml:space="preserve">Level: AST interpretation</w:t>
      </w:r>
    </w:p>
    <w:p>
      <w:pPr>
        <w:spacing w:before="0" w:after="50" w:line="250" w:lineRule="auto"/>
      </w:pPr>
      <w:r>
        <w:rPr>
          <w:rFonts w:ascii="Calibri" w:hAnsi="Calibri"/>
          <w:color w:val="000000"/>
          <w:sz w:val="20"/>
        </w:rPr>
        <w:t xml:space="preserve">Required metrics: categorical agreement; major/very-major error rates; organism-drug subgroup performance</w:t>
      </w:r>
    </w:p>
    <w:p>
      <w:pPr>
        <w:keepNext/>
        <w:spacing w:before="0" w:after="50" w:line="250" w:lineRule="auto"/>
      </w:pPr>
      <w:r>
        <w:rPr>
          <w:rFonts w:ascii="Calibri" w:hAnsi="Calibri"/>
          <w:color w:val="000000"/>
          <w:sz w:val="20"/>
        </w:rPr>
        <w:t xml:space="preserve">Level: Confidence</w:t>
      </w:r>
    </w:p>
    <w:p>
      <w:pPr>
        <w:spacing w:before="0" w:after="50" w:line="250" w:lineRule="auto"/>
      </w:pPr>
      <w:r>
        <w:rPr>
          <w:rFonts w:ascii="Calibri" w:hAnsi="Calibri"/>
          <w:color w:val="000000"/>
          <w:sz w:val="20"/>
        </w:rPr>
        <w:t xml:space="preserve">Required metrics: calibration error, reliability curves, selective performance at abstention thresholds</w:t>
      </w:r>
    </w:p>
    <w:p>
      <w:pPr>
        <w:keepNext/>
        <w:spacing w:before="0" w:after="50" w:line="250" w:lineRule="auto"/>
      </w:pPr>
      <w:r>
        <w:rPr>
          <w:rFonts w:ascii="Calibri" w:hAnsi="Calibri"/>
          <w:color w:val="000000"/>
          <w:sz w:val="20"/>
        </w:rPr>
        <w:t xml:space="preserve">Level: Workflow</w:t>
      </w:r>
    </w:p>
    <w:p>
      <w:pPr>
        <w:spacing w:before="0" w:after="50" w:line="250" w:lineRule="auto"/>
      </w:pPr>
      <w:r>
        <w:rPr>
          <w:rFonts w:ascii="Calibri" w:hAnsi="Calibri"/>
          <w:color w:val="000000"/>
          <w:sz w:val="20"/>
        </w:rPr>
        <w:t xml:space="preserve">Required metrics: time per plate, reviewer correction rate, correction magnitude, report turnaround</w:t>
      </w:r>
    </w:p>
    <w:p>
      <w:pPr>
        <w:keepNext/>
        <w:spacing w:before="0" w:after="50" w:line="250" w:lineRule="auto"/>
      </w:pPr>
      <w:r>
        <w:rPr>
          <w:rFonts w:ascii="Calibri" w:hAnsi="Calibri"/>
          <w:color w:val="000000"/>
          <w:sz w:val="20"/>
        </w:rPr>
        <w:t xml:space="preserve">Level: Robustness</w:t>
      </w:r>
    </w:p>
    <w:p>
      <w:pPr>
        <w:spacing w:before="0" w:after="50" w:line="250" w:lineRule="auto"/>
      </w:pPr>
      <w:r>
        <w:rPr>
          <w:rFonts w:ascii="Calibri" w:hAnsi="Calibri"/>
          <w:color w:val="000000"/>
          <w:sz w:val="20"/>
        </w:rPr>
        <w:t xml:space="preserve">Required metrics: site, operator, camera/device, media lot, plate type, organism, antibiotic, illumination and incubation subgroup analyses</w:t>
      </w:r>
    </w:p>
    <w:p>
      <w:pPr>
        <w:pStyle w:val="Normal"/>
        <w:spacing w:before="0" w:after="50" w:line="250" w:lineRule="auto"/>
        <w:rPr/>
      </w:pPr>
      <w:r>
        <w:rPr>
          <w:rFonts w:ascii="Calibri" w:hAnsi="Calibri"/>
          <w:color w:val="000000"/>
          <w:sz w:val="20"/>
        </w:rPr>
        <w:t xml:space="preserve">The strongest modelling strategy for v1 is </w:t>
      </w:r>
      <w:r>
        <w:rPr>
          <w:rFonts w:ascii="Calibri" w:hAnsi="Calibri"/>
          <w:b/>
          <w:color w:val="000000"/>
          <w:sz w:val="20"/>
        </w:rPr>
        <w:t>hybrid rather than “AI everywhere”</w:t>
      </w:r>
      <w:r>
        <w:rPr>
          <w:rFonts w:ascii="Calibri" w:hAnsi="Calibri"/>
          <w:color w:val="000000"/>
          <w:sz w:val="20"/>
        </w:rPr>
        <w:t>. Locate disks with deterministic geometry/classical CV where possible; use segmentation for irregular inhibition-zone boundaries; estimate dimensions with a calibrated geometric model; then pass only physical measurements to a separately versioned breakpoint engine. AI model weights and breakpoint content must never be fused into one opaque classifier.</w:t>
      </w:r>
    </w:p>
    <w:p>
      <w:pPr>
        <w:pStyle w:val="Normal"/>
        <w:spacing w:before="0" w:after="50" w:line="250" w:lineRule="auto"/>
        <w:rPr/>
      </w:pPr>
      <w:r>
        <w:rPr>
          <w:rFonts w:ascii="Calibri" w:hAnsi="Calibri"/>
          <w:color w:val="000000"/>
          <w:sz w:val="20"/>
        </w:rPr>
        <w:t>J</w:t>
        <w:noBreakHyphen/>
        <w:t>AST independently supports this general direction: its software combines automated image processing with interactive annotation/review rather than removing the human reviewer from the workflow. [TA-17][TA-18]</w:t>
      </w:r>
    </w:p>
    <w:p>
      <w:pPr>
        <w:pStyle w:val="Heading3"/>
        <w:keepNext/>
        <w:keepLines/>
        <w:spacing w:before="240" w:after="120" w:line="269" w:lineRule="auto"/>
      </w:pPr>
      <w:r>
        <w:rPr>
          <w:color w:val="000000"/>
        </w:rPr>
        <w:t>Dataset architecture</w:t>
      </w:r>
    </w:p>
    <w:p>
      <w:pPr>
        <w:pStyle w:val="Normal"/>
        <w:spacing w:before="0" w:after="50" w:line="250" w:lineRule="auto"/>
        <w:rPr/>
      </w:pPr>
      <w:r>
        <w:rPr>
          <w:rFonts w:ascii="Calibri" w:hAnsi="Calibri"/>
          <w:color w:val="000000"/>
          <w:sz w:val="20"/>
        </w:rPr>
        <w:t>AMR</w:t>
        <w:noBreakHyphen/>
        <w:t xml:space="preserve">Eye currently lacks the single most important asset needed to turn the project from an impressive concept into defensible med-tech: </w:t>
      </w:r>
      <w:r>
        <w:rPr>
          <w:rFonts w:ascii="Calibri" w:hAnsi="Calibri"/>
          <w:b/>
          <w:color w:val="000000"/>
          <w:sz w:val="20"/>
        </w:rPr>
        <w:t>a rigorously designed, versioned, independently testable proprietary dataset</w:t>
      </w:r>
      <w:r>
        <w:rPr>
          <w:rFonts w:ascii="Calibri" w:hAnsi="Calibri"/>
          <w:color w:val="000000"/>
          <w:sz w:val="20"/>
        </w:rPr>
        <w:t>.</w:t>
      </w:r>
    </w:p>
    <w:p>
      <w:pPr>
        <w:pStyle w:val="Normal"/>
        <w:spacing w:before="0" w:after="50" w:line="250" w:lineRule="auto"/>
        <w:rPr/>
      </w:pPr>
      <w:r>
        <w:rPr>
          <w:rFonts w:ascii="Calibri" w:hAnsi="Calibri"/>
          <w:color w:val="000000"/>
          <w:sz w:val="20"/>
        </w:rPr>
        <w:t>A suitable data record should contain at minimum:</w:t>
      </w:r>
    </w:p>
    <w:p>
      <w:pPr>
        <w:spacing w:before="0" w:after="50" w:line="250" w:lineRule="auto"/>
      </w:pPr>
      <w:r>
        <w:rPr>
          <w:rFonts w:ascii="Calibri" w:hAnsi="Calibri"/>
          <w:color w:val="000000"/>
          <w:sz w:val="20"/>
        </w:rPr>
        <w:t xml:space="preserve">Data object: Plate identity</w:t>
      </w:r>
    </w:p>
    <w:p>
      <w:pPr>
        <w:spacing w:before="0" w:after="50" w:line="250" w:lineRule="auto"/>
      </w:pPr>
      <w:r>
        <w:rPr>
          <w:rFonts w:ascii="Calibri" w:hAnsi="Calibri"/>
          <w:color w:val="000000"/>
          <w:sz w:val="20"/>
        </w:rPr>
        <w:t xml:space="preserve">Required fields: anonymous sample/isolate ID, site, date/time, media type/lot, plate size</w:t>
      </w:r>
    </w:p>
    <w:p>
      <w:pPr>
        <w:spacing w:before="0" w:after="50" w:line="250" w:lineRule="auto"/>
      </w:pPr>
      <w:r>
        <w:rPr>
          <w:rFonts w:ascii="Calibri" w:hAnsi="Calibri"/>
          <w:color w:val="000000"/>
          <w:sz w:val="20"/>
        </w:rPr>
        <w:t xml:space="preserve">Data object: Organism</w:t>
      </w:r>
    </w:p>
    <w:p>
      <w:pPr>
        <w:spacing w:before="0" w:after="50" w:line="250" w:lineRule="auto"/>
      </w:pPr>
      <w:r>
        <w:rPr>
          <w:rFonts w:ascii="Calibri" w:hAnsi="Calibri"/>
          <w:color w:val="000000"/>
          <w:sz w:val="20"/>
        </w:rPr>
        <w:t xml:space="preserve">Required fields: species/identification method and confidence where available</w:t>
      </w:r>
    </w:p>
    <w:p>
      <w:pPr>
        <w:spacing w:before="0" w:after="50" w:line="250" w:lineRule="auto"/>
      </w:pPr>
      <w:r>
        <w:rPr>
          <w:rFonts w:ascii="Calibri" w:hAnsi="Calibri"/>
          <w:color w:val="000000"/>
          <w:sz w:val="20"/>
        </w:rPr>
        <w:t xml:space="preserve">Data object: Antibiotic disk</w:t>
      </w:r>
    </w:p>
    <w:p>
      <w:pPr>
        <w:spacing w:before="0" w:after="50" w:line="250" w:lineRule="auto"/>
      </w:pPr>
      <w:r>
        <w:rPr>
          <w:rFonts w:ascii="Calibri" w:hAnsi="Calibri"/>
          <w:color w:val="000000"/>
          <w:sz w:val="20"/>
        </w:rPr>
        <w:t xml:space="preserve">Required fields: antimicrobial, potency, manufacturer/lot, physical disk centre</w:t>
      </w:r>
    </w:p>
    <w:p>
      <w:pPr>
        <w:spacing w:before="0" w:after="50" w:line="250" w:lineRule="auto"/>
      </w:pPr>
      <w:r>
        <w:rPr>
          <w:rFonts w:ascii="Calibri" w:hAnsi="Calibri"/>
          <w:color w:val="000000"/>
          <w:sz w:val="20"/>
        </w:rPr>
        <w:t xml:space="preserve">Data object: AST conditions</w:t>
      </w:r>
    </w:p>
    <w:p>
      <w:pPr>
        <w:spacing w:before="0" w:after="50" w:line="250" w:lineRule="auto"/>
      </w:pPr>
      <w:r>
        <w:rPr>
          <w:rFonts w:ascii="Calibri" w:hAnsi="Calibri"/>
          <w:color w:val="000000"/>
          <w:sz w:val="20"/>
        </w:rPr>
        <w:t xml:space="preserve">Required fields: inoculum preparation, incubation conditions, elapsed read time, applicable method</w:t>
      </w:r>
    </w:p>
    <w:p>
      <w:pPr>
        <w:spacing w:before="0" w:after="50" w:line="250" w:lineRule="auto"/>
      </w:pPr>
      <w:r>
        <w:rPr>
          <w:rFonts w:ascii="Calibri" w:hAnsi="Calibri"/>
          <w:color w:val="000000"/>
          <w:sz w:val="20"/>
        </w:rPr>
        <w:t xml:space="preserve">Data object: Image</w:t>
      </w:r>
    </w:p>
    <w:p>
      <w:pPr>
        <w:spacing w:before="0" w:after="50" w:line="250" w:lineRule="auto"/>
      </w:pPr>
      <w:r>
        <w:rPr>
          <w:rFonts w:ascii="Calibri" w:hAnsi="Calibri"/>
          <w:color w:val="000000"/>
          <w:sz w:val="20"/>
        </w:rPr>
        <w:t xml:space="preserve">Required fields: immutable original file, checksum, camera/lens, exposure, illumination mode, working distance</w:t>
      </w:r>
    </w:p>
    <w:p>
      <w:pPr>
        <w:spacing w:before="0" w:after="50" w:line="250" w:lineRule="auto"/>
      </w:pPr>
      <w:r>
        <w:rPr>
          <w:rFonts w:ascii="Calibri" w:hAnsi="Calibri"/>
          <w:color w:val="000000"/>
          <w:sz w:val="20"/>
        </w:rPr>
        <w:t xml:space="preserve">Data object: Calibration</w:t>
      </w:r>
    </w:p>
    <w:p>
      <w:pPr>
        <w:spacing w:before="0" w:after="50" w:line="250" w:lineRule="auto"/>
      </w:pPr>
      <w:r>
        <w:rPr>
          <w:rFonts w:ascii="Calibri" w:hAnsi="Calibri"/>
          <w:color w:val="000000"/>
          <w:sz w:val="20"/>
        </w:rPr>
        <w:t xml:space="preserve">Required fields: fiducial result, scale factor, distortion correction, calibration version</w:t>
      </w:r>
    </w:p>
    <w:p>
      <w:pPr>
        <w:spacing w:before="0" w:after="50" w:line="250" w:lineRule="auto"/>
      </w:pPr>
      <w:r>
        <w:rPr>
          <w:rFonts w:ascii="Calibri" w:hAnsi="Calibri"/>
          <w:color w:val="000000"/>
          <w:sz w:val="20"/>
        </w:rPr>
        <w:t xml:space="preserve">Data object: Ground truth</w:t>
      </w:r>
    </w:p>
    <w:p>
      <w:pPr>
        <w:spacing w:before="0" w:after="50" w:line="250" w:lineRule="auto"/>
      </w:pPr>
      <w:r>
        <w:rPr>
          <w:rFonts w:ascii="Calibri" w:hAnsi="Calibri"/>
          <w:color w:val="000000"/>
          <w:sz w:val="20"/>
        </w:rPr>
        <w:t xml:space="preserve">Required fields: independent reader A diameter, reader B diameter, adjudicated result, reference category</w:t>
      </w:r>
    </w:p>
    <w:p>
      <w:pPr>
        <w:spacing w:before="0" w:after="50" w:line="250" w:lineRule="auto"/>
      </w:pPr>
      <w:r>
        <w:rPr>
          <w:rFonts w:ascii="Calibri" w:hAnsi="Calibri"/>
          <w:color w:val="000000"/>
          <w:sz w:val="20"/>
        </w:rPr>
        <w:t xml:space="preserve">Data object: Image labels</w:t>
      </w:r>
    </w:p>
    <w:p>
      <w:pPr>
        <w:spacing w:before="0" w:after="50" w:line="250" w:lineRule="auto"/>
      </w:pPr>
      <w:r>
        <w:rPr>
          <w:rFonts w:ascii="Calibri" w:hAnsi="Calibri"/>
          <w:color w:val="000000"/>
          <w:sz w:val="20"/>
        </w:rPr>
        <w:t xml:space="preserve">Required fields: disk mask/centre, zone boundary/mask, overlap flag, unusual-growth flags</w:t>
      </w:r>
    </w:p>
    <w:p>
      <w:pPr>
        <w:spacing w:before="0" w:after="50" w:line="250" w:lineRule="auto"/>
      </w:pPr>
      <w:r>
        <w:rPr>
          <w:rFonts w:ascii="Calibri" w:hAnsi="Calibri"/>
          <w:color w:val="000000"/>
          <w:sz w:val="20"/>
        </w:rPr>
        <w:t xml:space="preserve">Data object: Standards</w:t>
      </w:r>
    </w:p>
    <w:p>
      <w:pPr>
        <w:spacing w:before="0" w:after="50" w:line="250" w:lineRule="auto"/>
      </w:pPr>
      <w:r>
        <w:rPr>
          <w:rFonts w:ascii="Calibri" w:hAnsi="Calibri"/>
          <w:color w:val="000000"/>
          <w:sz w:val="20"/>
        </w:rPr>
        <w:t xml:space="preserve">Required fields: CLSI/EUCAST edition/version, organism group, drug, method and special rules</w:t>
      </w:r>
    </w:p>
    <w:p>
      <w:pPr>
        <w:spacing w:before="0" w:after="50" w:line="250" w:lineRule="auto"/>
      </w:pPr>
      <w:r>
        <w:rPr>
          <w:rFonts w:ascii="Calibri" w:hAnsi="Calibri"/>
          <w:color w:val="000000"/>
          <w:sz w:val="20"/>
        </w:rPr>
        <w:t xml:space="preserve">Data object: AI output</w:t>
      </w:r>
    </w:p>
    <w:p>
      <w:pPr>
        <w:spacing w:before="0" w:after="50" w:line="250" w:lineRule="auto"/>
      </w:pPr>
      <w:r>
        <w:rPr>
          <w:rFonts w:ascii="Calibri" w:hAnsi="Calibri"/>
          <w:color w:val="000000"/>
          <w:sz w:val="20"/>
        </w:rPr>
        <w:t xml:space="preserve">Required fields: model/version, measured diameter, confidence, QC state, predicted boundary</w:t>
      </w:r>
    </w:p>
    <w:p>
      <w:pPr>
        <w:spacing w:before="0" w:after="50" w:line="250" w:lineRule="auto"/>
      </w:pPr>
      <w:r>
        <w:rPr>
          <w:rFonts w:ascii="Calibri" w:hAnsi="Calibri"/>
          <w:color w:val="000000"/>
          <w:sz w:val="20"/>
        </w:rPr>
        <w:t xml:space="preserve">Data object: Review</w:t>
      </w:r>
    </w:p>
    <w:p>
      <w:pPr>
        <w:spacing w:before="0" w:after="50" w:line="250" w:lineRule="auto"/>
      </w:pPr>
      <w:r>
        <w:rPr>
          <w:rFonts w:ascii="Calibri" w:hAnsi="Calibri"/>
          <w:color w:val="000000"/>
          <w:sz w:val="20"/>
        </w:rPr>
        <w:t xml:space="preserve">Required fields: approve/edit/reject, corrected result, reviewer, timestamp, reason</w:t>
      </w:r>
    </w:p>
    <w:p>
      <w:pPr>
        <w:spacing w:before="0" w:after="50" w:line="250" w:lineRule="auto"/>
      </w:pPr>
      <w:r>
        <w:rPr>
          <w:rFonts w:ascii="Calibri" w:hAnsi="Calibri"/>
          <w:color w:val="000000"/>
          <w:sz w:val="20"/>
        </w:rPr>
        <w:t xml:space="preserve">Data object: Validation split</w:t>
      </w:r>
    </w:p>
    <w:p>
      <w:pPr>
        <w:spacing w:before="0" w:after="50" w:line="250" w:lineRule="auto"/>
      </w:pPr>
      <w:r>
        <w:rPr>
          <w:rFonts w:ascii="Calibri" w:hAnsi="Calibri"/>
          <w:color w:val="000000"/>
          <w:sz w:val="20"/>
        </w:rPr>
        <w:t xml:space="preserve">Required fields: development/training/validation/locked external test and site/isolate grouping</w:t>
      </w:r>
    </w:p>
    <w:p>
      <w:pPr>
        <w:pStyle w:val="Normal"/>
        <w:spacing w:before="0" w:after="50" w:line="250" w:lineRule="auto"/>
        <w:rPr/>
      </w:pPr>
      <w:r>
        <w:rPr>
          <w:rFonts w:ascii="Calibri" w:hAnsi="Calibri"/>
          <w:color w:val="000000"/>
          <w:sz w:val="20"/>
        </w:rPr>
        <w:t xml:space="preserve">Data leakage is a serious danger. Multiple images of the same isolate/plate/time series cannot be split randomly across training and test sets. The split should occur at least at </w:t>
      </w:r>
      <w:r>
        <w:rPr>
          <w:rFonts w:ascii="Calibri" w:hAnsi="Calibri"/>
          <w:b/>
          <w:color w:val="000000"/>
          <w:sz w:val="20"/>
        </w:rPr>
        <w:t>isolate level</w:t>
      </w:r>
      <w:r>
        <w:rPr>
          <w:rFonts w:ascii="Calibri" w:hAnsi="Calibri"/>
          <w:color w:val="000000"/>
          <w:sz w:val="20"/>
        </w:rPr>
        <w:t>, and external claims should ultimately be based on a locked dataset from sites, operators or instruments not used for model development.</w:t>
      </w:r>
    </w:p>
    <w:p>
      <w:pPr>
        <w:pStyle w:val="Normal"/>
        <w:spacing w:before="0" w:after="50" w:line="250" w:lineRule="auto"/>
        <w:rPr/>
      </w:pPr>
      <w:r>
        <w:rPr>
          <w:rFonts w:ascii="Calibri" w:hAnsi="Calibri"/>
          <w:color w:val="000000"/>
          <w:sz w:val="20"/>
        </w:rPr>
        <w:t>The first dataset does not need to prove six-hour rapid AST. Endpoint disk-diffusion measurement should be solved first. Only after that pipeline is stable should time-series images be added for early-growth kinetic research.</w:t>
      </w:r>
    </w:p>
    <w:p>
      <w:pPr>
        <w:pStyle w:val="Heading3"/>
        <w:keepNext/>
        <w:keepLines/>
        <w:spacing w:before="240" w:after="120" w:line="269" w:lineRule="auto"/>
      </w:pPr>
      <w:r>
        <w:rPr>
          <w:color w:val="000000"/>
        </w:rPr>
        <w:t>Calibration should become a moat</w:t>
      </w:r>
    </w:p>
    <w:p>
      <w:pPr>
        <w:pStyle w:val="Normal"/>
        <w:spacing w:before="0" w:after="50" w:line="250" w:lineRule="auto"/>
        <w:rPr/>
      </w:pPr>
      <w:r>
        <w:rPr>
          <w:rFonts w:ascii="Calibri" w:hAnsi="Calibri"/>
          <w:color w:val="000000"/>
          <w:sz w:val="20"/>
        </w:rPr>
        <w:t>Ciftci et al. used a known plate dimension as a physical reference in their image-to-millimetre calculation. [TA-16] AMR</w:t>
        <w:noBreakHyphen/>
        <w:t>Eye has the opportunity to do better because it controls the imaging hardware.</w:t>
      </w:r>
    </w:p>
    <w:p>
      <w:pPr>
        <w:pStyle w:val="Normal"/>
        <w:spacing w:before="0" w:after="50" w:line="250" w:lineRule="auto"/>
        <w:rPr/>
      </w:pPr>
      <w:r>
        <w:rPr>
          <w:rFonts w:ascii="Calibri" w:hAnsi="Calibri"/>
          <w:color w:val="000000"/>
          <w:sz w:val="20"/>
        </w:rPr>
        <w:t>A stronger calibration stack would use a metrology-grade fiducial or validated physical reference in the field of view; characterise radial/tangential distortion; map scale across the entire field; test depth-of-field sensitivity; quantify measurement uncertainty across plate positions; and perform a calibration check at device startup or specified intervals. The conventional 6 mm antimicrobial disk can be a useful secondary sanity check, but a dedicated traceable calibration artefact is better for device verification.</w:t>
      </w:r>
    </w:p>
    <w:p>
      <w:pPr>
        <w:pStyle w:val="Normal"/>
        <w:spacing w:before="0" w:after="50" w:line="250" w:lineRule="auto"/>
        <w:rPr/>
      </w:pPr>
      <w:r>
        <w:rPr>
          <w:rFonts w:ascii="Calibri" w:hAnsi="Calibri"/>
          <w:color w:val="000000"/>
          <w:sz w:val="20"/>
        </w:rPr>
        <w:t xml:space="preserve">That can create a genuine competitive barrier: </w:t>
      </w:r>
      <w:r>
        <w:rPr>
          <w:rFonts w:ascii="Calibri" w:hAnsi="Calibri"/>
          <w:b/>
          <w:color w:val="000000"/>
          <w:sz w:val="20"/>
        </w:rPr>
        <w:t>validated metrology + calibrated optics + versioned standards + real-world AST data</w:t>
      </w:r>
      <w:r>
        <w:rPr>
          <w:rFonts w:ascii="Calibri" w:hAnsi="Calibri"/>
          <w:color w:val="000000"/>
          <w:sz w:val="20"/>
        </w:rPr>
        <w:t xml:space="preserve"> is harder to copy than a YOLO notebook.</w:t>
      </w:r>
    </w:p>
    <w:p>
      <w:pPr>
        <w:pStyle w:val="Heading3"/>
        <w:keepNext/>
        <w:keepLines/>
        <w:spacing w:before="240" w:after="120" w:line="269" w:lineRule="auto"/>
      </w:pPr>
      <w:r>
        <w:rPr>
          <w:color w:val="000000"/>
        </w:rPr>
        <w:t>Capability triage</w:t>
      </w:r>
    </w:p>
    <w:p>
      <w:pPr>
        <w:keepNext/>
        <w:spacing w:before="0" w:after="50" w:line="250" w:lineRule="auto"/>
      </w:pPr>
      <w:r>
        <w:rPr>
          <w:rFonts w:ascii="Calibri" w:hAnsi="Calibri"/>
          <w:color w:val="000000"/>
          <w:sz w:val="20"/>
        </w:rPr>
        <w:t xml:space="preserve">Capability: Digital plate imaging</w:t>
      </w:r>
    </w:p>
    <w:p>
      <w:pPr>
        <w:spacing w:before="0" w:after="50" w:line="250" w:lineRule="auto"/>
      </w:pPr>
      <w:r>
        <w:rPr>
          <w:rFonts w:ascii="Calibri" w:hAnsi="Calibri"/>
          <w:color w:val="000000"/>
          <w:sz w:val="20"/>
        </w:rPr>
        <w:t xml:space="preserve">Recommended label now: Demonstrated/prototype depending current build</w:t>
      </w:r>
    </w:p>
    <w:p>
      <w:pPr>
        <w:spacing w:before="0" w:after="50" w:line="250" w:lineRule="auto"/>
      </w:pPr>
      <w:r>
        <w:rPr>
          <w:rFonts w:ascii="Calibri" w:hAnsi="Calibri"/>
          <w:color w:val="000000"/>
          <w:sz w:val="20"/>
        </w:rPr>
        <w:t xml:space="preserve">v1 decision: Core</w:t>
      </w:r>
    </w:p>
    <w:p>
      <w:pPr>
        <w:keepNext/>
        <w:spacing w:before="0" w:after="50" w:line="250" w:lineRule="auto"/>
      </w:pPr>
      <w:r>
        <w:rPr>
          <w:rFonts w:ascii="Calibri" w:hAnsi="Calibri"/>
          <w:color w:val="000000"/>
          <w:sz w:val="20"/>
        </w:rPr>
        <w:t xml:space="preserve">Capability: Zone measurement</w:t>
      </w:r>
    </w:p>
    <w:p>
      <w:pPr>
        <w:spacing w:before="0" w:after="50" w:line="250" w:lineRule="auto"/>
      </w:pPr>
      <w:r>
        <w:rPr>
          <w:rFonts w:ascii="Calibri" w:hAnsi="Calibri"/>
          <w:color w:val="000000"/>
          <w:sz w:val="20"/>
        </w:rPr>
        <w:t xml:space="preserve">Recommended label now: Prototype/research validation</w:t>
      </w:r>
    </w:p>
    <w:p>
      <w:pPr>
        <w:spacing w:before="0" w:after="50" w:line="250" w:lineRule="auto"/>
      </w:pPr>
      <w:r>
        <w:rPr>
          <w:rFonts w:ascii="Calibri" w:hAnsi="Calibri"/>
          <w:color w:val="000000"/>
          <w:sz w:val="20"/>
        </w:rPr>
        <w:t xml:space="preserve">v1 decision: Core</w:t>
      </w:r>
    </w:p>
    <w:p>
      <w:pPr>
        <w:keepNext/>
        <w:spacing w:before="0" w:after="50" w:line="250" w:lineRule="auto"/>
      </w:pPr>
      <w:r>
        <w:rPr>
          <w:rFonts w:ascii="Calibri" w:hAnsi="Calibri"/>
          <w:color w:val="000000"/>
          <w:sz w:val="20"/>
        </w:rPr>
        <w:t xml:space="preserve">Capability: CLSI/EUCAST rules engine</w:t>
      </w:r>
    </w:p>
    <w:p>
      <w:pPr>
        <w:spacing w:before="0" w:after="50" w:line="250" w:lineRule="auto"/>
      </w:pPr>
      <w:r>
        <w:rPr>
          <w:rFonts w:ascii="Calibri" w:hAnsi="Calibri"/>
          <w:color w:val="000000"/>
          <w:sz w:val="20"/>
        </w:rPr>
        <w:t xml:space="preserve">Recommended label now: Proposed/partially implemented</w:t>
      </w:r>
    </w:p>
    <w:p>
      <w:pPr>
        <w:spacing w:before="0" w:after="50" w:line="250" w:lineRule="auto"/>
      </w:pPr>
      <w:r>
        <w:rPr>
          <w:rFonts w:ascii="Calibri" w:hAnsi="Calibri"/>
          <w:color w:val="000000"/>
          <w:sz w:val="20"/>
        </w:rPr>
        <w:t xml:space="preserve">v1 decision: Core</w:t>
      </w:r>
    </w:p>
    <w:p>
      <w:pPr>
        <w:keepNext/>
        <w:spacing w:before="0" w:after="50" w:line="250" w:lineRule="auto"/>
      </w:pPr>
      <w:r>
        <w:rPr>
          <w:rFonts w:ascii="Calibri" w:hAnsi="Calibri"/>
          <w:color w:val="000000"/>
          <w:sz w:val="20"/>
        </w:rPr>
        <w:t xml:space="preserve">Capability: Human review/audit</w:t>
      </w:r>
    </w:p>
    <w:p>
      <w:pPr>
        <w:spacing w:before="0" w:after="50" w:line="250" w:lineRule="auto"/>
      </w:pPr>
      <w:r>
        <w:rPr>
          <w:rFonts w:ascii="Calibri" w:hAnsi="Calibri"/>
          <w:color w:val="000000"/>
          <w:sz w:val="20"/>
        </w:rPr>
        <w:t xml:space="preserve">Recommended label now: Required design principle</w:t>
      </w:r>
    </w:p>
    <w:p>
      <w:pPr>
        <w:spacing w:before="0" w:after="50" w:line="250" w:lineRule="auto"/>
      </w:pPr>
      <w:r>
        <w:rPr>
          <w:rFonts w:ascii="Calibri" w:hAnsi="Calibri"/>
          <w:color w:val="000000"/>
          <w:sz w:val="20"/>
        </w:rPr>
        <w:t xml:space="preserve">v1 decision: Core</w:t>
      </w:r>
    </w:p>
    <w:p>
      <w:pPr>
        <w:keepNext/>
        <w:spacing w:before="0" w:after="50" w:line="250" w:lineRule="auto"/>
      </w:pPr>
      <w:r>
        <w:rPr>
          <w:rFonts w:ascii="Calibri" w:hAnsi="Calibri"/>
          <w:color w:val="000000"/>
          <w:sz w:val="20"/>
        </w:rPr>
        <w:t xml:space="preserve">Capability: PIMS/sample tracking</w:t>
      </w:r>
    </w:p>
    <w:p>
      <w:pPr>
        <w:spacing w:before="0" w:after="50" w:line="250" w:lineRule="auto"/>
      </w:pPr>
      <w:r>
        <w:rPr>
          <w:rFonts w:ascii="Calibri" w:hAnsi="Calibri"/>
          <w:color w:val="000000"/>
          <w:sz w:val="20"/>
        </w:rPr>
        <w:t xml:space="preserve">Recommended label now: Proposed/in development</w:t>
      </w:r>
    </w:p>
    <w:p>
      <w:pPr>
        <w:spacing w:before="0" w:after="50" w:line="250" w:lineRule="auto"/>
      </w:pPr>
      <w:r>
        <w:rPr>
          <w:rFonts w:ascii="Calibri" w:hAnsi="Calibri"/>
          <w:color w:val="000000"/>
          <w:sz w:val="20"/>
        </w:rPr>
        <w:t xml:space="preserve">v1 decision: Core</w:t>
      </w:r>
    </w:p>
    <w:p>
      <w:pPr>
        <w:keepNext/>
        <w:spacing w:before="0" w:after="50" w:line="250" w:lineRule="auto"/>
      </w:pPr>
      <w:r>
        <w:rPr>
          <w:rFonts w:ascii="Calibri" w:hAnsi="Calibri"/>
          <w:color w:val="000000"/>
          <w:sz w:val="20"/>
        </w:rPr>
        <w:t xml:space="preserve">Capability: Local/offline edge processing</w:t>
      </w:r>
    </w:p>
    <w:p>
      <w:pPr>
        <w:spacing w:before="0" w:after="50" w:line="250" w:lineRule="auto"/>
      </w:pPr>
      <w:r>
        <w:rPr>
          <w:rFonts w:ascii="Calibri" w:hAnsi="Calibri"/>
          <w:color w:val="000000"/>
          <w:sz w:val="20"/>
        </w:rPr>
        <w:t xml:space="preserve">Recommended label now: Proposed differentiator</w:t>
      </w:r>
    </w:p>
    <w:p>
      <w:pPr>
        <w:spacing w:before="0" w:after="50" w:line="250" w:lineRule="auto"/>
      </w:pPr>
      <w:r>
        <w:rPr>
          <w:rFonts w:ascii="Calibri" w:hAnsi="Calibri"/>
          <w:color w:val="000000"/>
          <w:sz w:val="20"/>
        </w:rPr>
        <w:t xml:space="preserve">v1 decision: Core</w:t>
      </w:r>
    </w:p>
    <w:p>
      <w:pPr>
        <w:keepNext/>
        <w:spacing w:before="0" w:after="50" w:line="250" w:lineRule="auto"/>
      </w:pPr>
      <w:r>
        <w:rPr>
          <w:rFonts w:ascii="Calibri" w:hAnsi="Calibri"/>
          <w:color w:val="000000"/>
          <w:sz w:val="20"/>
        </w:rPr>
        <w:t xml:space="preserve">Capability: LIS/LIMS/API export</w:t>
      </w:r>
    </w:p>
    <w:p>
      <w:pPr>
        <w:spacing w:before="0" w:after="50" w:line="250" w:lineRule="auto"/>
      </w:pPr>
      <w:r>
        <w:rPr>
          <w:rFonts w:ascii="Calibri" w:hAnsi="Calibri"/>
          <w:color w:val="000000"/>
          <w:sz w:val="20"/>
        </w:rPr>
        <w:t xml:space="preserve">Recommended label now: Proposed</w:t>
      </w:r>
    </w:p>
    <w:p>
      <w:pPr>
        <w:spacing w:before="0" w:after="50" w:line="250" w:lineRule="auto"/>
      </w:pPr>
      <w:r>
        <w:rPr>
          <w:rFonts w:ascii="Calibri" w:hAnsi="Calibri"/>
          <w:color w:val="000000"/>
          <w:sz w:val="20"/>
        </w:rPr>
        <w:t xml:space="preserve">v1 decision: Build after core record model</w:t>
      </w:r>
    </w:p>
    <w:p>
      <w:pPr>
        <w:keepNext/>
        <w:spacing w:before="0" w:after="50" w:line="250" w:lineRule="auto"/>
      </w:pPr>
      <w:r>
        <w:rPr>
          <w:rFonts w:ascii="Calibri" w:hAnsi="Calibri"/>
          <w:color w:val="000000"/>
          <w:sz w:val="20"/>
        </w:rPr>
        <w:t xml:space="preserve">Capability: Time-series growth analysis</w:t>
      </w:r>
    </w:p>
    <w:p>
      <w:pPr>
        <w:spacing w:before="0" w:after="50" w:line="250" w:lineRule="auto"/>
      </w:pPr>
      <w:r>
        <w:rPr>
          <w:rFonts w:ascii="Calibri" w:hAnsi="Calibri"/>
          <w:color w:val="000000"/>
          <w:sz w:val="20"/>
        </w:rPr>
        <w:t xml:space="preserve">Recommended label now: Research target</w:t>
      </w:r>
    </w:p>
    <w:p>
      <w:pPr>
        <w:spacing w:before="0" w:after="50" w:line="250" w:lineRule="auto"/>
      </w:pPr>
      <w:r>
        <w:rPr>
          <w:rFonts w:ascii="Calibri" w:hAnsi="Calibri"/>
          <w:color w:val="000000"/>
          <w:sz w:val="20"/>
        </w:rPr>
        <w:t xml:space="preserve">v1 decision: v2 research</w:t>
      </w:r>
    </w:p>
    <w:p>
      <w:pPr>
        <w:keepNext/>
        <w:spacing w:before="0" w:after="50" w:line="250" w:lineRule="auto"/>
      </w:pPr>
      <w:r>
        <w:rPr>
          <w:rFonts w:ascii="Calibri" w:hAnsi="Calibri"/>
          <w:color w:val="000000"/>
          <w:sz w:val="20"/>
        </w:rPr>
        <w:t xml:space="preserve">Capability: ~6-hour AST</w:t>
      </w:r>
    </w:p>
    <w:p>
      <w:pPr>
        <w:spacing w:before="0" w:after="50" w:line="250" w:lineRule="auto"/>
      </w:pPr>
      <w:r>
        <w:rPr>
          <w:rFonts w:ascii="Calibri" w:hAnsi="Calibri"/>
          <w:color w:val="000000"/>
          <w:sz w:val="20"/>
        </w:rPr>
        <w:t xml:space="preserve">Recommended label now: Research target, not clinical claim</w:t>
      </w:r>
    </w:p>
    <w:p>
      <w:pPr>
        <w:spacing w:before="0" w:after="50" w:line="250" w:lineRule="auto"/>
      </w:pPr>
      <w:r>
        <w:rPr>
          <w:rFonts w:ascii="Calibri" w:hAnsi="Calibri"/>
          <w:color w:val="000000"/>
          <w:sz w:val="20"/>
        </w:rPr>
        <w:t xml:space="preserve">v1 decision: Do not commercialise yet</w:t>
      </w:r>
    </w:p>
    <w:p>
      <w:pPr>
        <w:keepNext/>
        <w:spacing w:before="0" w:after="50" w:line="250" w:lineRule="auto"/>
      </w:pPr>
      <w:r>
        <w:rPr>
          <w:rFonts w:ascii="Calibri" w:hAnsi="Calibri"/>
          <w:color w:val="000000"/>
          <w:sz w:val="20"/>
        </w:rPr>
        <w:t xml:space="preserve">Capability: MIC regression from ordinary disk zones</w:t>
      </w:r>
    </w:p>
    <w:p>
      <w:pPr>
        <w:spacing w:before="0" w:after="50" w:line="250" w:lineRule="auto"/>
      </w:pPr>
      <w:r>
        <w:rPr>
          <w:rFonts w:ascii="Calibri" w:hAnsi="Calibri"/>
          <w:color w:val="000000"/>
          <w:sz w:val="20"/>
        </w:rPr>
        <w:t xml:space="preserve">Recommended label now: Future R&amp;D</w:t>
      </w:r>
    </w:p>
    <w:p>
      <w:pPr>
        <w:spacing w:before="0" w:after="50" w:line="250" w:lineRule="auto"/>
      </w:pPr>
      <w:r>
        <w:rPr>
          <w:rFonts w:ascii="Calibri" w:hAnsi="Calibri"/>
          <w:color w:val="000000"/>
          <w:sz w:val="20"/>
        </w:rPr>
        <w:t xml:space="preserve">v1 decision: Defer</w:t>
      </w:r>
    </w:p>
    <w:p>
      <w:pPr>
        <w:keepNext/>
        <w:spacing w:before="0" w:after="50" w:line="250" w:lineRule="auto"/>
      </w:pPr>
      <w:r>
        <w:rPr>
          <w:rFonts w:ascii="Calibri" w:hAnsi="Calibri"/>
          <w:color w:val="000000"/>
          <w:sz w:val="20"/>
        </w:rPr>
        <w:t xml:space="preserve">Capability: mecA/vanA “pheno-to-geno”</w:t>
      </w:r>
    </w:p>
    <w:p>
      <w:pPr>
        <w:spacing w:before="0" w:after="50" w:line="250" w:lineRule="auto"/>
      </w:pPr>
      <w:r>
        <w:rPr>
          <w:rFonts w:ascii="Calibri" w:hAnsi="Calibri"/>
          <w:color w:val="000000"/>
          <w:sz w:val="20"/>
        </w:rPr>
        <w:t xml:space="preserve">Recommended label now: Future R&amp;D</w:t>
      </w:r>
    </w:p>
    <w:p>
      <w:pPr>
        <w:spacing w:before="0" w:after="50" w:line="250" w:lineRule="auto"/>
      </w:pPr>
      <w:r>
        <w:rPr>
          <w:rFonts w:ascii="Calibri" w:hAnsi="Calibri"/>
          <w:color w:val="000000"/>
          <w:sz w:val="20"/>
        </w:rPr>
        <w:t xml:space="preserve">v1 decision: Defer</w:t>
      </w:r>
    </w:p>
    <w:p>
      <w:pPr>
        <w:keepNext/>
        <w:spacing w:before="0" w:after="50" w:line="250" w:lineRule="auto"/>
      </w:pPr>
      <w:r>
        <w:rPr>
          <w:rFonts w:ascii="Calibri" w:hAnsi="Calibri"/>
          <w:color w:val="000000"/>
          <w:sz w:val="20"/>
        </w:rPr>
        <w:t xml:space="preserve">Capability: Automated heteroresistance diagnosis</w:t>
      </w:r>
    </w:p>
    <w:p>
      <w:pPr>
        <w:spacing w:before="0" w:after="50" w:line="250" w:lineRule="auto"/>
      </w:pPr>
      <w:r>
        <w:rPr>
          <w:rFonts w:ascii="Calibri" w:hAnsi="Calibri"/>
          <w:color w:val="000000"/>
          <w:sz w:val="20"/>
        </w:rPr>
        <w:t xml:space="preserve">Recommended label now: Future R&amp;D</w:t>
      </w:r>
    </w:p>
    <w:p>
      <w:pPr>
        <w:spacing w:before="0" w:after="50" w:line="250" w:lineRule="auto"/>
      </w:pPr>
      <w:r>
        <w:rPr>
          <w:rFonts w:ascii="Calibri" w:hAnsi="Calibri"/>
          <w:color w:val="000000"/>
          <w:sz w:val="20"/>
        </w:rPr>
        <w:t xml:space="preserve">v1 decision: Human-review flag only</w:t>
      </w:r>
    </w:p>
    <w:p>
      <w:pPr>
        <w:keepNext/>
        <w:spacing w:before="0" w:after="50" w:line="250" w:lineRule="auto"/>
      </w:pPr>
      <w:r>
        <w:rPr>
          <w:rFonts w:ascii="Calibri" w:hAnsi="Calibri"/>
          <w:color w:val="000000"/>
          <w:sz w:val="20"/>
        </w:rPr>
        <w:t xml:space="preserve">Capability: VOC species identification</w:t>
      </w:r>
    </w:p>
    <w:p>
      <w:pPr>
        <w:spacing w:before="0" w:after="50" w:line="250" w:lineRule="auto"/>
      </w:pPr>
      <w:r>
        <w:rPr>
          <w:rFonts w:ascii="Calibri" w:hAnsi="Calibri"/>
          <w:color w:val="000000"/>
          <w:sz w:val="20"/>
        </w:rPr>
        <w:t xml:space="preserve">Recommended label now: Future R&amp;D</w:t>
      </w:r>
    </w:p>
    <w:p>
      <w:pPr>
        <w:spacing w:before="0" w:after="50" w:line="250" w:lineRule="auto"/>
      </w:pPr>
      <w:r>
        <w:rPr>
          <w:rFonts w:ascii="Calibri" w:hAnsi="Calibri"/>
          <w:color w:val="000000"/>
          <w:sz w:val="20"/>
        </w:rPr>
        <w:t xml:space="preserve">v1 decision: Remove from MVP</w:t>
      </w:r>
    </w:p>
    <w:p>
      <w:pPr>
        <w:keepNext/>
        <w:spacing w:before="0" w:after="50" w:line="250" w:lineRule="auto"/>
      </w:pPr>
      <w:r>
        <w:rPr>
          <w:rFonts w:ascii="Calibri" w:hAnsi="Calibri"/>
          <w:color w:val="000000"/>
          <w:sz w:val="20"/>
        </w:rPr>
        <w:t xml:space="preserve">Capability: ToF colony morphology</w:t>
      </w:r>
    </w:p>
    <w:p>
      <w:pPr>
        <w:spacing w:before="0" w:after="50" w:line="250" w:lineRule="auto"/>
      </w:pPr>
      <w:r>
        <w:rPr>
          <w:rFonts w:ascii="Calibri" w:hAnsi="Calibri"/>
          <w:color w:val="000000"/>
          <w:sz w:val="20"/>
        </w:rPr>
        <w:t xml:space="preserve">Recommended label now: Future R&amp;D / likely low-value</w:t>
      </w:r>
    </w:p>
    <w:p>
      <w:pPr>
        <w:spacing w:before="0" w:after="50" w:line="250" w:lineRule="auto"/>
      </w:pPr>
      <w:r>
        <w:rPr>
          <w:rFonts w:ascii="Calibri" w:hAnsi="Calibri"/>
          <w:color w:val="000000"/>
          <w:sz w:val="20"/>
        </w:rPr>
        <w:t xml:space="preserve">v1 decision: Remove</w:t>
      </w:r>
    </w:p>
    <w:p>
      <w:pPr>
        <w:keepNext/>
        <w:spacing w:before="0" w:after="50" w:line="250" w:lineRule="auto"/>
      </w:pPr>
      <w:r>
        <w:rPr>
          <w:rFonts w:ascii="Calibri" w:hAnsi="Calibri"/>
          <w:color w:val="000000"/>
          <w:sz w:val="20"/>
        </w:rPr>
        <w:t xml:space="preserve">Capability: Microgram biomass measurement</w:t>
      </w:r>
    </w:p>
    <w:p>
      <w:pPr>
        <w:spacing w:before="0" w:after="50" w:line="250" w:lineRule="auto"/>
      </w:pPr>
      <w:r>
        <w:rPr>
          <w:rFonts w:ascii="Calibri" w:hAnsi="Calibri"/>
          <w:color w:val="000000"/>
          <w:sz w:val="20"/>
        </w:rPr>
        <w:t xml:space="preserve">Recommended label now: Unsupported</w:t>
      </w:r>
    </w:p>
    <w:p>
      <w:pPr>
        <w:spacing w:before="0" w:after="50" w:line="250" w:lineRule="auto"/>
      </w:pPr>
      <w:r>
        <w:rPr>
          <w:rFonts w:ascii="Calibri" w:hAnsi="Calibri"/>
          <w:color w:val="000000"/>
          <w:sz w:val="20"/>
        </w:rPr>
        <w:t xml:space="preserve">v1 decision: Remove</w:t>
      </w:r>
    </w:p>
    <w:p>
      <w:pPr>
        <w:keepNext/>
        <w:spacing w:before="0" w:after="50" w:line="250" w:lineRule="auto"/>
      </w:pPr>
      <w:r>
        <w:rPr>
          <w:rFonts w:ascii="Calibri" w:hAnsi="Calibri"/>
          <w:color w:val="000000"/>
          <w:sz w:val="20"/>
        </w:rPr>
        <w:t xml:space="preserve">Capability: Automatic prescribing/pediatric safety</w:t>
      </w:r>
    </w:p>
    <w:p>
      <w:pPr>
        <w:spacing w:before="0" w:after="50" w:line="250" w:lineRule="auto"/>
      </w:pPr>
      <w:r>
        <w:rPr>
          <w:rFonts w:ascii="Calibri" w:hAnsi="Calibri"/>
          <w:color w:val="000000"/>
          <w:sz w:val="20"/>
        </w:rPr>
        <w:t xml:space="preserve">Recommended label now: Out of scope</w:t>
      </w:r>
    </w:p>
    <w:p>
      <w:pPr>
        <w:spacing w:before="0" w:after="50" w:line="250" w:lineRule="auto"/>
      </w:pPr>
      <w:r>
        <w:rPr>
          <w:rFonts w:ascii="Calibri" w:hAnsi="Calibri"/>
          <w:color w:val="000000"/>
          <w:sz w:val="20"/>
        </w:rPr>
        <w:t xml:space="preserve">v1 decision: Never position as current AST functionality</w:t>
      </w:r>
    </w:p>
    <w:p>
      <w:pPr>
        <w:keepNext/>
        <w:spacing w:before="0" w:after="50" w:line="250" w:lineRule="auto"/>
      </w:pPr>
      <w:r>
        <w:rPr>
          <w:rFonts w:ascii="Calibri" w:hAnsi="Calibri"/>
          <w:color w:val="000000"/>
          <w:sz w:val="20"/>
        </w:rPr>
        <w:t xml:space="preserve">Capability: Dairy residues / water / counterfeit-drug detection</w:t>
      </w:r>
    </w:p>
    <w:p>
      <w:pPr>
        <w:spacing w:before="0" w:after="50" w:line="250" w:lineRule="auto"/>
      </w:pPr>
      <w:r>
        <w:rPr>
          <w:rFonts w:ascii="Calibri" w:hAnsi="Calibri"/>
          <w:color w:val="000000"/>
          <w:sz w:val="20"/>
        </w:rPr>
        <w:t xml:space="preserve">Recommended label now: Separate assays</w:t>
      </w:r>
    </w:p>
    <w:p>
      <w:pPr>
        <w:spacing w:before="0" w:after="50" w:line="250" w:lineRule="auto"/>
      </w:pPr>
      <w:r>
        <w:rPr>
          <w:rFonts w:ascii="Calibri" w:hAnsi="Calibri"/>
          <w:color w:val="000000"/>
          <w:sz w:val="20"/>
        </w:rPr>
        <w:t xml:space="preserve">v1 decision: Separate future validation programmes</w:t>
      </w:r>
    </w:p>
    <w:p>
      <w:pPr>
        <w:pStyle w:val="Normal"/>
        <w:spacing w:before="0" w:after="50" w:line="250" w:lineRule="auto"/>
        <w:rPr/>
      </w:pPr>
      <w:r>
        <w:rPr>
          <w:rFonts w:ascii="Calibri" w:hAnsi="Calibri"/>
          <w:color w:val="000000"/>
          <w:sz w:val="20"/>
        </w:rPr>
        <w:t>This is consistent with the project’s own claim-control direction rather than a retreat from ambition. </w:t>
      </w:r>
    </w:p>
    <w:p>
      <w:pPr>
        <w:pStyle w:val="Heading3"/>
        <w:keepNext/>
        <w:keepLines/>
        <w:spacing w:before="240" w:after="120" w:line="269" w:lineRule="auto"/>
      </w:pPr>
      <w:r>
        <w:rPr>
          <w:color w:val="000000"/>
        </w:rPr>
        <w:t>Product, market, competition and economics</w:t>
      </w:r>
    </w:p>
    <w:p>
      <w:pPr>
        <w:pStyle w:val="Heading3"/>
        <w:keepNext/>
        <w:keepLines/>
        <w:spacing w:before="240" w:after="120" w:line="269" w:lineRule="auto"/>
      </w:pPr>
      <w:r>
        <w:rPr>
          <w:color w:val="000000"/>
        </w:rPr>
        <w:t>The right product category</w:t>
      </w:r>
    </w:p>
    <w:p>
      <w:pPr>
        <w:pStyle w:val="Normal"/>
        <w:spacing w:before="0" w:after="50" w:line="250" w:lineRule="auto"/>
        <w:rPr/>
      </w:pPr>
      <w:r>
        <w:rPr>
          <w:rFonts w:ascii="Calibri" w:hAnsi="Calibri"/>
          <w:color w:val="000000"/>
          <w:sz w:val="20"/>
        </w:rPr>
        <w:t>AMR</w:t>
        <w:noBreakHyphen/>
        <w:t>Eye should position itself as:</w:t>
      </w:r>
    </w:p>
    <w:p>
      <w:pPr>
        <w:pStyle w:val="Normal"/>
        <w:keepNext/>
        <w:spacing w:before="0" w:after="50" w:line="250" w:lineRule="auto"/>
        <w:rPr/>
      </w:pPr>
      <w:r>
        <w:rPr>
          <w:rFonts w:ascii="Calibri" w:hAnsi="Calibri"/>
          <w:b/>
          <w:color w:val="000000"/>
          <w:sz w:val="20"/>
        </w:rPr>
        <w:t>An edge-capable, standards-grounded digital AST measurement and workflow platform for laboratories that continue to use conventional phenotypic microbiology methods.</w:t>
      </w:r>
    </w:p>
    <w:p>
      <w:pPr>
        <w:pStyle w:val="Normal"/>
        <w:spacing w:before="0" w:after="50" w:line="250" w:lineRule="auto"/>
        <w:rPr/>
      </w:pPr>
      <w:r>
        <w:rPr>
          <w:rFonts w:ascii="Calibri" w:hAnsi="Calibri"/>
          <w:color w:val="000000"/>
          <w:sz w:val="20"/>
        </w:rPr>
        <w:t>That is substantially more precise than “AI diagnostic”, “lab-in-a-box” or “universal digital supervisor”.</w:t>
      </w:r>
    </w:p>
    <w:p>
      <w:pPr>
        <w:pStyle w:val="Normal"/>
        <w:spacing w:before="0" w:after="50" w:line="250" w:lineRule="auto"/>
        <w:rPr/>
      </w:pPr>
      <w:r>
        <w:rPr>
          <w:rFonts w:ascii="Calibri" w:hAnsi="Calibri"/>
          <w:color w:val="000000"/>
          <w:sz w:val="20"/>
        </w:rPr>
        <w:t>The key customer pain points are therefore measurable:</w:t>
      </w:r>
    </w:p>
    <w:p>
      <w:pPr>
        <w:pStyle w:val="Normal"/>
        <w:spacing w:before="0" w:after="50" w:line="250" w:lineRule="auto"/>
        <w:rPr/>
      </w:pPr>
      <w:r>
        <w:rPr>
          <w:rFonts w:ascii="Calibri" w:hAnsi="Calibri"/>
          <w:b/>
          <w:color w:val="000000"/>
          <w:sz w:val="20"/>
        </w:rPr>
        <w:t>Consistency:</w:t>
      </w:r>
      <w:r>
        <w:rPr>
          <w:rFonts w:ascii="Calibri" w:hAnsi="Calibri"/>
          <w:color w:val="000000"/>
          <w:sz w:val="20"/>
        </w:rPr>
        <w:t xml:space="preserve"> different readers and viewing conditions can produce different zone measurements.</w:t>
      </w:r>
    </w:p>
    <w:p>
      <w:pPr>
        <w:pStyle w:val="Normal"/>
        <w:spacing w:before="0" w:after="50" w:line="250" w:lineRule="auto"/>
        <w:rPr/>
      </w:pPr>
      <w:r>
        <w:rPr>
          <w:rFonts w:ascii="Calibri" w:hAnsi="Calibri"/>
          <w:b/>
          <w:color w:val="000000"/>
          <w:sz w:val="20"/>
        </w:rPr>
        <w:t>Traceability:</w:t>
      </w:r>
      <w:r>
        <w:rPr>
          <w:rFonts w:ascii="Calibri" w:hAnsi="Calibri"/>
          <w:color w:val="000000"/>
          <w:sz w:val="20"/>
        </w:rPr>
        <w:t xml:space="preserve"> manual measurements frequently lack an image-to-result audit trail.</w:t>
      </w:r>
    </w:p>
    <w:p>
      <w:pPr>
        <w:pStyle w:val="Normal"/>
        <w:spacing w:before="0" w:after="50" w:line="250" w:lineRule="auto"/>
        <w:rPr/>
      </w:pPr>
      <w:r>
        <w:rPr>
          <w:rFonts w:ascii="Calibri" w:hAnsi="Calibri"/>
          <w:b/>
          <w:color w:val="000000"/>
          <w:sz w:val="20"/>
        </w:rPr>
        <w:t>Workflow:</w:t>
      </w:r>
      <w:r>
        <w:rPr>
          <w:rFonts w:ascii="Calibri" w:hAnsi="Calibri"/>
          <w:color w:val="000000"/>
          <w:sz w:val="20"/>
        </w:rPr>
        <w:t xml:space="preserve"> plate reading, breakpoint lookup, transcription and reporting are fragmented.</w:t>
      </w:r>
    </w:p>
    <w:p>
      <w:pPr>
        <w:pStyle w:val="Normal"/>
        <w:spacing w:before="0" w:after="50" w:line="250" w:lineRule="auto"/>
        <w:rPr/>
      </w:pPr>
      <w:r>
        <w:rPr>
          <w:rFonts w:ascii="Calibri" w:hAnsi="Calibri"/>
          <w:b/>
          <w:color w:val="000000"/>
          <w:sz w:val="20"/>
        </w:rPr>
        <w:t>Connectivity:</w:t>
      </w:r>
      <w:r>
        <w:rPr>
          <w:rFonts w:ascii="Calibri" w:hAnsi="Calibri"/>
          <w:color w:val="000000"/>
          <w:sz w:val="20"/>
        </w:rPr>
        <w:t xml:space="preserve"> smaller laboratories may not have high-end integrated microbiology automation or dependable always-on cloud inference.</w:t>
      </w:r>
    </w:p>
    <w:p>
      <w:pPr>
        <w:pStyle w:val="Normal"/>
        <w:spacing w:before="0" w:after="50" w:line="250" w:lineRule="auto"/>
        <w:rPr/>
      </w:pPr>
      <w:r>
        <w:rPr>
          <w:rFonts w:ascii="Calibri" w:hAnsi="Calibri"/>
          <w:b/>
          <w:color w:val="000000"/>
          <w:sz w:val="20"/>
        </w:rPr>
        <w:t>Data:</w:t>
      </w:r>
      <w:r>
        <w:rPr>
          <w:rFonts w:ascii="Calibri" w:hAnsi="Calibri"/>
          <w:color w:val="000000"/>
          <w:sz w:val="20"/>
        </w:rPr>
        <w:t xml:space="preserve"> manual AST results are difficult to aggregate cleanly for antibiograms, quality programmes and AMR surveillance.</w:t>
      </w:r>
    </w:p>
    <w:p>
      <w:pPr>
        <w:pStyle w:val="Normal"/>
        <w:spacing w:before="0" w:after="50" w:line="250" w:lineRule="auto"/>
        <w:rPr/>
      </w:pPr>
      <w:r>
        <w:rPr>
          <w:rFonts w:ascii="Calibri" w:hAnsi="Calibri"/>
          <w:color w:val="000000"/>
          <w:sz w:val="20"/>
        </w:rPr>
        <w:t>India’s NAP</w:t>
        <w:noBreakHyphen/>
        <w:t>AMR 2.0 makes structured AMR data strategically relevant, but AMR</w:t>
        <w:noBreakHyphen/>
        <w:t xml:space="preserve">Eye should say that its records </w:t>
      </w:r>
      <w:r>
        <w:rPr>
          <w:rFonts w:ascii="Calibri" w:hAnsi="Calibri"/>
          <w:b/>
          <w:color w:val="000000"/>
          <w:sz w:val="20"/>
        </w:rPr>
        <w:t>could support future surveillance interoperability</w:t>
      </w:r>
      <w:r>
        <w:rPr>
          <w:rFonts w:ascii="Calibri" w:hAnsi="Calibri"/>
          <w:color w:val="000000"/>
          <w:sz w:val="20"/>
        </w:rPr>
        <w:t>, not that it is already connected to a national system. [TA-4][TA-12]</w:t>
      </w:r>
    </w:p>
    <w:p>
      <w:pPr>
        <w:pStyle w:val="Heading3"/>
        <w:keepNext/>
        <w:keepLines/>
        <w:spacing w:before="240" w:after="120" w:line="269" w:lineRule="auto"/>
      </w:pPr>
      <w:r>
        <w:rPr>
          <w:color w:val="000000"/>
        </w:rPr>
        <w:t>Competitive landscape</w:t>
      </w:r>
    </w:p>
    <w:p>
      <w:pPr>
        <w:pStyle w:val="Normal"/>
        <w:spacing w:before="0" w:after="50" w:line="250" w:lineRule="auto"/>
        <w:rPr/>
      </w:pPr>
      <w:r>
        <w:rPr>
          <w:rFonts w:ascii="Calibri" w:hAnsi="Calibri"/>
          <w:color w:val="000000"/>
          <w:sz w:val="20"/>
        </w:rPr>
        <w:t>No single competitor is identical to AMR</w:t>
        <w:noBreakHyphen/>
        <w:t xml:space="preserve">Eye. That is useful: the competitive story should distinguish </w:t>
      </w:r>
      <w:r>
        <w:rPr>
          <w:rFonts w:ascii="Calibri" w:hAnsi="Calibri"/>
          <w:b/>
          <w:color w:val="000000"/>
          <w:sz w:val="20"/>
        </w:rPr>
        <w:t>automated commercial AST</w:t>
      </w:r>
      <w:r>
        <w:rPr>
          <w:rFonts w:ascii="Calibri" w:hAnsi="Calibri"/>
          <w:color w:val="000000"/>
          <w:sz w:val="20"/>
        </w:rPr>
        <w:t xml:space="preserve">, </w:t>
      </w:r>
      <w:r>
        <w:rPr>
          <w:rFonts w:ascii="Calibri" w:hAnsi="Calibri"/>
          <w:b/>
          <w:color w:val="000000"/>
          <w:sz w:val="20"/>
        </w:rPr>
        <w:t>digital traditional-method readers</w:t>
      </w:r>
      <w:r>
        <w:rPr>
          <w:rFonts w:ascii="Calibri" w:hAnsi="Calibri"/>
          <w:color w:val="000000"/>
          <w:sz w:val="20"/>
        </w:rPr>
        <w:t xml:space="preserve">, </w:t>
      </w:r>
      <w:r>
        <w:rPr>
          <w:rFonts w:ascii="Calibri" w:hAnsi="Calibri"/>
          <w:b/>
          <w:color w:val="000000"/>
          <w:sz w:val="20"/>
        </w:rPr>
        <w:t>culture-image AI</w:t>
      </w:r>
      <w:r>
        <w:rPr>
          <w:rFonts w:ascii="Calibri" w:hAnsi="Calibri"/>
          <w:color w:val="000000"/>
          <w:sz w:val="20"/>
        </w:rPr>
        <w:t xml:space="preserve">, and </w:t>
      </w:r>
      <w:r>
        <w:rPr>
          <w:rFonts w:ascii="Calibri" w:hAnsi="Calibri"/>
          <w:b/>
          <w:color w:val="000000"/>
          <w:sz w:val="20"/>
        </w:rPr>
        <w:t>general microbiology automation</w:t>
      </w:r>
      <w:r>
        <w:rPr>
          <w:rFonts w:ascii="Calibri" w:hAnsi="Calibri"/>
          <w:color w:val="000000"/>
          <w:sz w:val="20"/>
        </w:rPr>
        <w:t>.</w:t>
      </w:r>
    </w:p>
    <w:p>
      <w:pPr>
        <w:spacing w:before="0" w:after="50" w:line="250" w:lineRule="auto"/>
      </w:pPr>
      <w:r>
        <w:rPr>
          <w:rFonts w:ascii="Calibri" w:hAnsi="Calibri"/>
          <w:color w:val="000000"/>
          <w:sz w:val="20"/>
        </w:rPr>
        <w:t xml:space="preserve">Platform: AMR-Eye.AI</w:t>
      </w:r>
    </w:p>
    <w:p>
      <w:pPr>
        <w:spacing w:before="0" w:after="50" w:line="250" w:lineRule="auto"/>
      </w:pPr>
      <w:r>
        <w:rPr>
          <w:rFonts w:ascii="Calibri" w:hAnsi="Calibri"/>
          <w:color w:val="000000"/>
          <w:sz w:val="20"/>
        </w:rPr>
        <w:t xml:space="preserve">Primary role: Proposed AI-assisted disk-diffusion AST/workflow + future lab automation</w:t>
      </w:r>
    </w:p>
    <w:p>
      <w:pPr>
        <w:spacing w:before="0" w:after="50" w:line="250" w:lineRule="auto"/>
      </w:pPr>
      <w:r>
        <w:rPr>
          <w:rFonts w:ascii="Calibri" w:hAnsi="Calibri"/>
          <w:color w:val="000000"/>
          <w:sz w:val="20"/>
        </w:rPr>
        <w:t xml:space="preserve">AI/image component: Edge imaging/CV + rules engine + reviewer</w:t>
      </w:r>
    </w:p>
    <w:p>
      <w:pPr>
        <w:spacing w:before="0" w:after="50" w:line="250" w:lineRule="auto"/>
      </w:pPr>
      <w:r>
        <w:rPr>
          <w:rFonts w:ascii="Calibri" w:hAnsi="Calibri"/>
          <w:color w:val="000000"/>
          <w:sz w:val="20"/>
        </w:rPr>
        <w:t xml:space="preserve">AMR-Eye implication: Target differentiation: low-cost modular, offline/edge, India-focused, auditable traditional AST</w:t>
      </w:r>
    </w:p>
    <w:p>
      <w:pPr>
        <w:spacing w:before="0" w:after="50" w:line="250" w:lineRule="auto"/>
      </w:pPr>
      <w:r>
        <w:rPr>
          <w:rFonts w:ascii="Calibri" w:hAnsi="Calibri"/>
          <w:color w:val="000000"/>
          <w:sz w:val="20"/>
        </w:rPr>
        <w:t xml:space="preserve">Public pricing: Internal target only; not validated</w:t>
      </w:r>
    </w:p>
    <w:p>
      <w:pPr>
        <w:spacing w:before="0" w:after="50" w:line="250" w:lineRule="auto"/>
      </w:pPr>
      <w:r>
        <w:rPr>
          <w:rFonts w:ascii="Calibri" w:hAnsi="Calibri"/>
          <w:color w:val="000000"/>
          <w:sz w:val="20"/>
        </w:rPr>
        <w:t xml:space="preserve">Platform: BIOMIC V3</w:t>
      </w:r>
    </w:p>
    <w:p>
      <w:pPr>
        <w:spacing w:before="0" w:after="50" w:line="250" w:lineRule="auto"/>
      </w:pPr>
      <w:r>
        <w:rPr>
          <w:rFonts w:ascii="Calibri" w:hAnsi="Calibri"/>
          <w:color w:val="000000"/>
          <w:sz w:val="20"/>
        </w:rPr>
        <w:t xml:space="preserve">Primary role: Automated reading/interpreting of traditional microbiology tests including disk diffusion, MIC strips and other modules</w:t>
      </w:r>
    </w:p>
    <w:p>
      <w:pPr>
        <w:spacing w:before="0" w:after="50" w:line="250" w:lineRule="auto"/>
      </w:pPr>
      <w:r>
        <w:rPr>
          <w:rFonts w:ascii="Calibri" w:hAnsi="Calibri"/>
          <w:color w:val="000000"/>
          <w:sz w:val="20"/>
        </w:rPr>
        <w:t xml:space="preserve">AI/image component: Digital reading/analysis</w:t>
      </w:r>
    </w:p>
    <w:p>
      <w:pPr>
        <w:spacing w:before="0" w:after="50" w:line="250" w:lineRule="auto"/>
      </w:pPr>
      <w:r>
        <w:rPr>
          <w:rFonts w:ascii="Calibri" w:hAnsi="Calibri"/>
          <w:color w:val="000000"/>
          <w:sz w:val="20"/>
        </w:rPr>
        <w:t xml:space="preserve">AMR-Eye implication: Closest functional comparator for “digitise existing microbiology methods”; AMR-Eye must demonstrate a real workflow/cost or data advantage. [TA-24]</w:t>
      </w:r>
    </w:p>
    <w:p>
      <w:pPr>
        <w:spacing w:before="0" w:after="50" w:line="250" w:lineRule="auto"/>
      </w:pPr>
      <w:r>
        <w:rPr>
          <w:rFonts w:ascii="Calibri" w:hAnsi="Calibri"/>
          <w:color w:val="000000"/>
          <w:sz w:val="20"/>
        </w:rPr>
        <w:t xml:space="preserve">Public pricing: Not found publicly on official source</w:t>
      </w:r>
    </w:p>
    <w:p>
      <w:pPr>
        <w:spacing w:before="0" w:after="50" w:line="250" w:lineRule="auto"/>
      </w:pPr>
      <w:r>
        <w:rPr>
          <w:rFonts w:ascii="Calibri" w:hAnsi="Calibri"/>
          <w:color w:val="000000"/>
          <w:sz w:val="20"/>
        </w:rPr>
        <w:t xml:space="preserve">Platform: VITEK COMPACT PRO</w:t>
      </w:r>
    </w:p>
    <w:p>
      <w:pPr>
        <w:spacing w:before="0" w:after="50" w:line="250" w:lineRule="auto"/>
      </w:pPr>
      <w:r>
        <w:rPr>
          <w:rFonts w:ascii="Calibri" w:hAnsi="Calibri"/>
          <w:color w:val="000000"/>
          <w:sz w:val="20"/>
        </w:rPr>
        <w:t xml:space="preserve">Primary role: Commercial automated ID/AST</w:t>
      </w:r>
    </w:p>
    <w:p>
      <w:pPr>
        <w:spacing w:before="0" w:after="50" w:line="250" w:lineRule="auto"/>
      </w:pPr>
      <w:r>
        <w:rPr>
          <w:rFonts w:ascii="Calibri" w:hAnsi="Calibri"/>
          <w:color w:val="000000"/>
          <w:sz w:val="20"/>
        </w:rPr>
        <w:t xml:space="preserve">AI/image component: Integrated automation</w:t>
      </w:r>
    </w:p>
    <w:p>
      <w:pPr>
        <w:spacing w:before="0" w:after="50" w:line="250" w:lineRule="auto"/>
      </w:pPr>
      <w:r>
        <w:rPr>
          <w:rFonts w:ascii="Calibri" w:hAnsi="Calibri"/>
          <w:color w:val="000000"/>
          <w:sz w:val="20"/>
        </w:rPr>
        <w:t xml:space="preserve">AMR-Eye implication: Sets expectations for mature regulated AST workflows and service reliability. FDA 510(k) clearance announced in 2025. [TA-21]</w:t>
      </w:r>
    </w:p>
    <w:p>
      <w:pPr>
        <w:spacing w:before="0" w:after="50" w:line="250" w:lineRule="auto"/>
      </w:pPr>
      <w:r>
        <w:rPr>
          <w:rFonts w:ascii="Calibri" w:hAnsi="Calibri"/>
          <w:color w:val="000000"/>
          <w:sz w:val="20"/>
        </w:rPr>
        <w:t xml:space="preserve">Public pricing: Quote-based / not found in official source</w:t>
      </w:r>
    </w:p>
    <w:p>
      <w:pPr>
        <w:spacing w:before="0" w:after="50" w:line="250" w:lineRule="auto"/>
      </w:pPr>
      <w:r>
        <w:rPr>
          <w:rFonts w:ascii="Calibri" w:hAnsi="Calibri"/>
          <w:color w:val="000000"/>
          <w:sz w:val="20"/>
        </w:rPr>
        <w:t xml:space="preserve">Platform: VITEK REVEAL</w:t>
      </w:r>
    </w:p>
    <w:p>
      <w:pPr>
        <w:spacing w:before="0" w:after="50" w:line="250" w:lineRule="auto"/>
      </w:pPr>
      <w:r>
        <w:rPr>
          <w:rFonts w:ascii="Calibri" w:hAnsi="Calibri"/>
          <w:color w:val="000000"/>
          <w:sz w:val="20"/>
        </w:rPr>
        <w:t xml:space="preserve">Primary role: Rapid AST from positive blood cultures</w:t>
      </w:r>
    </w:p>
    <w:p>
      <w:pPr>
        <w:spacing w:before="0" w:after="50" w:line="250" w:lineRule="auto"/>
      </w:pPr>
      <w:r>
        <w:rPr>
          <w:rFonts w:ascii="Calibri" w:hAnsi="Calibri"/>
          <w:color w:val="000000"/>
          <w:sz w:val="20"/>
        </w:rPr>
        <w:t xml:space="preserve">AI/image component: Automated phenotypic rapid AST</w:t>
      </w:r>
    </w:p>
    <w:p>
      <w:pPr>
        <w:spacing w:before="0" w:after="50" w:line="250" w:lineRule="auto"/>
      </w:pPr>
      <w:r>
        <w:rPr>
          <w:rFonts w:ascii="Calibri" w:hAnsi="Calibri"/>
          <w:color w:val="000000"/>
          <w:sz w:val="20"/>
        </w:rPr>
        <w:t xml:space="preserve">AMR-Eye implication: Important speed comparator, but not methodologically equivalent to endpoint disk diffusion; bioMérieux states results can be available in as little as ~3 hours for its intended workflow. [TA-22]</w:t>
      </w:r>
    </w:p>
    <w:p>
      <w:pPr>
        <w:spacing w:before="0" w:after="50" w:line="250" w:lineRule="auto"/>
      </w:pPr>
      <w:r>
        <w:rPr>
          <w:rFonts w:ascii="Calibri" w:hAnsi="Calibri"/>
          <w:color w:val="000000"/>
          <w:sz w:val="20"/>
        </w:rPr>
        <w:t xml:space="preserve">Public pricing: Not publicly listed in retrieved official source</w:t>
      </w:r>
    </w:p>
    <w:p>
      <w:pPr>
        <w:spacing w:before="0" w:after="50" w:line="250" w:lineRule="auto"/>
      </w:pPr>
      <w:r>
        <w:rPr>
          <w:rFonts w:ascii="Calibri" w:hAnsi="Calibri"/>
          <w:color w:val="000000"/>
          <w:sz w:val="20"/>
        </w:rPr>
        <w:t xml:space="preserve">Platform: BD Phoenix</w:t>
      </w:r>
    </w:p>
    <w:p>
      <w:pPr>
        <w:spacing w:before="0" w:after="50" w:line="250" w:lineRule="auto"/>
      </w:pPr>
      <w:r>
        <w:rPr>
          <w:rFonts w:ascii="Calibri" w:hAnsi="Calibri"/>
          <w:color w:val="000000"/>
          <w:sz w:val="20"/>
        </w:rPr>
        <w:t xml:space="preserve">Primary role: Automated ID/AST</w:t>
      </w:r>
    </w:p>
    <w:p>
      <w:pPr>
        <w:spacing w:before="0" w:after="50" w:line="250" w:lineRule="auto"/>
      </w:pPr>
      <w:r>
        <w:rPr>
          <w:rFonts w:ascii="Calibri" w:hAnsi="Calibri"/>
          <w:color w:val="000000"/>
          <w:sz w:val="20"/>
        </w:rPr>
        <w:t xml:space="preserve">AI/image component: Automated instrument/panels</w:t>
      </w:r>
    </w:p>
    <w:p>
      <w:pPr>
        <w:spacing w:before="0" w:after="50" w:line="250" w:lineRule="auto"/>
      </w:pPr>
      <w:r>
        <w:rPr>
          <w:rFonts w:ascii="Calibri" w:hAnsi="Calibri"/>
          <w:color w:val="000000"/>
          <w:sz w:val="20"/>
        </w:rPr>
        <w:t xml:space="preserve">AMR-Eye implication: Incumbent benchmark for integrated clinical microbiology rather than a like-for-like disk-reader competitor. [TA-23]</w:t>
      </w:r>
    </w:p>
    <w:p>
      <w:pPr>
        <w:spacing w:before="0" w:after="50" w:line="250" w:lineRule="auto"/>
      </w:pPr>
      <w:r>
        <w:rPr>
          <w:rFonts w:ascii="Calibri" w:hAnsi="Calibri"/>
          <w:color w:val="000000"/>
          <w:sz w:val="20"/>
        </w:rPr>
        <w:t xml:space="preserve">Public pricing: Not found publicly in official source</w:t>
      </w:r>
    </w:p>
    <w:p>
      <w:pPr>
        <w:spacing w:before="0" w:after="50" w:line="250" w:lineRule="auto"/>
      </w:pPr>
      <w:r>
        <w:rPr>
          <w:rFonts w:ascii="Calibri" w:hAnsi="Calibri"/>
          <w:color w:val="000000"/>
          <w:sz w:val="20"/>
        </w:rPr>
        <w:t xml:space="preserve">Platform: COPAN PhenoMATRIX/WASPLab ecosystem</w:t>
      </w:r>
    </w:p>
    <w:p>
      <w:pPr>
        <w:spacing w:before="0" w:after="50" w:line="250" w:lineRule="auto"/>
      </w:pPr>
      <w:r>
        <w:rPr>
          <w:rFonts w:ascii="Calibri" w:hAnsi="Calibri"/>
          <w:color w:val="000000"/>
          <w:sz w:val="20"/>
        </w:rPr>
        <w:t xml:space="preserve">Primary role: Automated culture-image assessment and workflow</w:t>
      </w:r>
    </w:p>
    <w:p>
      <w:pPr>
        <w:spacing w:before="0" w:after="50" w:line="250" w:lineRule="auto"/>
      </w:pPr>
      <w:r>
        <w:rPr>
          <w:rFonts w:ascii="Calibri" w:hAnsi="Calibri"/>
          <w:color w:val="000000"/>
          <w:sz w:val="20"/>
        </w:rPr>
        <w:t xml:space="preserve">AI/image component: Image-analysis software</w:t>
      </w:r>
    </w:p>
    <w:p>
      <w:pPr>
        <w:spacing w:before="0" w:after="50" w:line="250" w:lineRule="auto"/>
      </w:pPr>
      <w:r>
        <w:rPr>
          <w:rFonts w:ascii="Calibri" w:hAnsi="Calibri"/>
          <w:color w:val="000000"/>
          <w:sz w:val="20"/>
        </w:rPr>
        <w:t xml:space="preserve">AMR-Eye implication: Strong precedent for AI-assisted plate workflow with trained-personnel oversight; validates the human-in-the-loop model. [TA-19][TA-20]</w:t>
      </w:r>
    </w:p>
    <w:p>
      <w:pPr>
        <w:spacing w:before="0" w:after="50" w:line="250" w:lineRule="auto"/>
      </w:pPr>
      <w:r>
        <w:rPr>
          <w:rFonts w:ascii="Calibri" w:hAnsi="Calibri"/>
          <w:color w:val="000000"/>
          <w:sz w:val="20"/>
        </w:rPr>
        <w:t xml:space="preserve">Public pricing: Enterprise quote</w:t>
      </w:r>
    </w:p>
    <w:p>
      <w:pPr>
        <w:spacing w:before="0" w:after="50" w:line="250" w:lineRule="auto"/>
      </w:pPr>
      <w:r>
        <w:rPr>
          <w:rFonts w:ascii="Calibri" w:hAnsi="Calibri"/>
          <w:color w:val="000000"/>
          <w:sz w:val="20"/>
        </w:rPr>
        <w:t xml:space="preserve">Platform: Reshape</w:t>
      </w:r>
    </w:p>
    <w:p>
      <w:pPr>
        <w:spacing w:before="0" w:after="50" w:line="250" w:lineRule="auto"/>
      </w:pPr>
      <w:r>
        <w:rPr>
          <w:rFonts w:ascii="Calibri" w:hAnsi="Calibri"/>
          <w:color w:val="000000"/>
          <w:sz w:val="20"/>
        </w:rPr>
        <w:t xml:space="preserve">Primary role: Automated microbiology imaging/robotics, especially QC/research workflows</w:t>
      </w:r>
    </w:p>
    <w:p>
      <w:pPr>
        <w:spacing w:before="0" w:after="50" w:line="250" w:lineRule="auto"/>
      </w:pPr>
      <w:r>
        <w:rPr>
          <w:rFonts w:ascii="Calibri" w:hAnsi="Calibri"/>
          <w:color w:val="000000"/>
          <w:sz w:val="20"/>
        </w:rPr>
        <w:t xml:space="preserve">AI/image component: AI/computer vision + automation</w:t>
      </w:r>
    </w:p>
    <w:p>
      <w:pPr>
        <w:spacing w:before="0" w:after="50" w:line="250" w:lineRule="auto"/>
      </w:pPr>
      <w:r>
        <w:rPr>
          <w:rFonts w:ascii="Calibri" w:hAnsi="Calibri"/>
          <w:color w:val="000000"/>
          <w:sz w:val="20"/>
        </w:rPr>
        <w:t xml:space="preserve">AMR-Eye implication: Adjacent future competitor if AMR-Eye expands from AST into generic bioautomation. [TA-25]</w:t>
      </w:r>
    </w:p>
    <w:p>
      <w:pPr>
        <w:spacing w:before="0" w:after="50" w:line="250" w:lineRule="auto"/>
      </w:pPr>
      <w:r>
        <w:rPr>
          <w:rFonts w:ascii="Calibri" w:hAnsi="Calibri"/>
          <w:color w:val="000000"/>
          <w:sz w:val="20"/>
        </w:rPr>
        <w:t xml:space="preserve">Public pricing: Not publicly listed in official source</w:t>
      </w:r>
    </w:p>
    <w:p>
      <w:pPr>
        <w:spacing w:before="0" w:after="50" w:line="250" w:lineRule="auto"/>
      </w:pPr>
      <w:r>
        <w:rPr>
          <w:rFonts w:ascii="Calibri" w:hAnsi="Calibri"/>
          <w:color w:val="000000"/>
          <w:sz w:val="20"/>
        </w:rPr>
        <w:t xml:space="preserve">Platform: J-AST</w:t>
      </w:r>
    </w:p>
    <w:p>
      <w:pPr>
        <w:spacing w:before="0" w:after="50" w:line="250" w:lineRule="auto"/>
      </w:pPr>
      <w:r>
        <w:rPr>
          <w:rFonts w:ascii="Calibri" w:hAnsi="Calibri"/>
          <w:color w:val="000000"/>
          <w:sz w:val="20"/>
        </w:rPr>
        <w:t xml:space="preserve">Primary role: Open-source/web-based automated + interactive AST image analysis</w:t>
      </w:r>
    </w:p>
    <w:p>
      <w:pPr>
        <w:spacing w:before="0" w:after="50" w:line="250" w:lineRule="auto"/>
      </w:pPr>
      <w:r>
        <w:rPr>
          <w:rFonts w:ascii="Calibri" w:hAnsi="Calibri"/>
          <w:color w:val="000000"/>
          <w:sz w:val="20"/>
        </w:rPr>
        <w:t xml:space="preserve">AI/image component: Software only</w:t>
      </w:r>
    </w:p>
    <w:p>
      <w:pPr>
        <w:spacing w:before="0" w:after="50" w:line="250" w:lineRule="auto"/>
      </w:pPr>
      <w:r>
        <w:rPr>
          <w:rFonts w:ascii="Calibri" w:hAnsi="Calibri"/>
          <w:color w:val="000000"/>
          <w:sz w:val="20"/>
        </w:rPr>
        <w:t xml:space="preserve">AMR-Eye implication: Not a conventional commercial instrument competitor, but a major threat to any moat based solely on “we use AI to measure zones”. [TA-18]</w:t>
      </w:r>
    </w:p>
    <w:p>
      <w:pPr>
        <w:spacing w:before="0" w:after="50" w:line="250" w:lineRule="auto"/>
      </w:pPr>
      <w:r>
        <w:rPr>
          <w:rFonts w:ascii="Calibri" w:hAnsi="Calibri"/>
          <w:color w:val="000000"/>
          <w:sz w:val="20"/>
        </w:rPr>
        <w:t xml:space="preserve">Public pricing: Open/free software model</w:t>
      </w:r>
    </w:p>
    <w:p>
      <w:pPr>
        <w:pStyle w:val="Normal"/>
        <w:spacing w:before="0" w:after="50" w:line="250" w:lineRule="auto"/>
        <w:rPr/>
      </w:pPr>
      <w:r>
        <w:rPr>
          <w:rFonts w:ascii="Calibri" w:hAnsi="Calibri"/>
          <w:color w:val="000000"/>
          <w:sz w:val="20"/>
        </w:rPr>
        <w:t xml:space="preserve">This table produces an important strategic insight: </w:t>
      </w:r>
      <w:r>
        <w:rPr>
          <w:rFonts w:ascii="Calibri" w:hAnsi="Calibri"/>
          <w:b/>
          <w:color w:val="000000"/>
          <w:sz w:val="20"/>
        </w:rPr>
        <w:t>AI zone detection itself is not defensible IP anymore</w:t>
      </w:r>
      <w:r>
        <w:rPr>
          <w:rFonts w:ascii="Calibri" w:hAnsi="Calibri"/>
          <w:color w:val="000000"/>
          <w:sz w:val="20"/>
        </w:rPr>
        <w:t>. Published research and open software already demonstrate it. AMR</w:t>
        <w:noBreakHyphen/>
        <w:t>Eye’s moat has to come from the integrated system: optical calibration, quality-control logic, carefully collected local data, hardware robustness, standards governance, reviewer workflow, deployment economics and regulatory evidence.</w:t>
      </w:r>
    </w:p>
    <w:p>
      <w:pPr>
        <w:pStyle w:val="Heading3"/>
        <w:keepNext/>
        <w:keepLines/>
        <w:spacing w:before="240" w:after="120" w:line="269" w:lineRule="auto"/>
      </w:pPr>
      <w:r>
        <w:rPr>
          <w:color w:val="000000"/>
        </w:rPr>
        <w:t>Business model</w:t>
      </w:r>
    </w:p>
    <w:p>
      <w:pPr>
        <w:pStyle w:val="Normal"/>
        <w:spacing w:before="0" w:after="50" w:line="250" w:lineRule="auto"/>
        <w:rPr/>
      </w:pPr>
      <w:r>
        <w:rPr>
          <w:rFonts w:ascii="Calibri" w:hAnsi="Calibri"/>
          <w:color w:val="000000"/>
          <w:sz w:val="20"/>
        </w:rPr>
        <w:t>The present dossier proposes instrument sale or lease, recurring software, optional workflow/AI modules, custom integration, maintenance and calibration. That is a sensible hybrid med-tech model. The initial beachhead of hospital and diagnostic microbiology laboratories is much better than trying to launch simultaneously into hospitals, dairy, water, pharma and environmental applications. </w:t>
      </w:r>
    </w:p>
    <w:p>
      <w:pPr>
        <w:pStyle w:val="Normal"/>
        <w:spacing w:before="0" w:after="50" w:line="250" w:lineRule="auto"/>
        <w:rPr/>
      </w:pPr>
      <w:r>
        <w:rPr>
          <w:rFonts w:ascii="Calibri" w:hAnsi="Calibri"/>
          <w:color w:val="000000"/>
          <w:sz w:val="20"/>
        </w:rPr>
        <w:t>I would simplify commercial packaging to three layers:</w:t>
      </w:r>
    </w:p>
    <w:p>
      <w:pPr>
        <w:spacing w:before="0" w:after="50" w:line="250" w:lineRule="auto"/>
      </w:pPr>
      <w:r>
        <w:rPr>
          <w:rFonts w:ascii="Calibri" w:hAnsi="Calibri"/>
          <w:color w:val="000000"/>
          <w:sz w:val="20"/>
        </w:rPr>
        <w:t xml:space="preserve">Offer: AMR-Eye Core</w:t>
      </w:r>
    </w:p>
    <w:p>
      <w:pPr>
        <w:spacing w:before="0" w:after="50" w:line="250" w:lineRule="auto"/>
      </w:pPr>
      <w:r>
        <w:rPr>
          <w:rFonts w:ascii="Calibri" w:hAnsi="Calibri"/>
          <w:color w:val="000000"/>
          <w:sz w:val="20"/>
        </w:rPr>
        <w:t xml:space="preserve">Buyer pays for: Instrument + calibrated imaging + offline AST workflow + annual calibration/service</w:t>
      </w:r>
    </w:p>
    <w:p>
      <w:pPr>
        <w:spacing w:before="0" w:after="50" w:line="250" w:lineRule="auto"/>
      </w:pPr>
      <w:r>
        <w:rPr>
          <w:rFonts w:ascii="Calibri" w:hAnsi="Calibri"/>
          <w:color w:val="000000"/>
          <w:sz w:val="20"/>
        </w:rPr>
        <w:t xml:space="preserve">Why: Gives labs a complete useful product without forcing cloud adoption</w:t>
      </w:r>
    </w:p>
    <w:p>
      <w:pPr>
        <w:spacing w:before="0" w:after="50" w:line="250" w:lineRule="auto"/>
      </w:pPr>
      <w:r>
        <w:rPr>
          <w:rFonts w:ascii="Calibri" w:hAnsi="Calibri"/>
          <w:color w:val="000000"/>
          <w:sz w:val="20"/>
        </w:rPr>
        <w:t xml:space="preserve">Offer: AMR-Eye Connect</w:t>
      </w:r>
    </w:p>
    <w:p>
      <w:pPr>
        <w:spacing w:before="0" w:after="50" w:line="250" w:lineRule="auto"/>
      </w:pPr>
      <w:r>
        <w:rPr>
          <w:rFonts w:ascii="Calibri" w:hAnsi="Calibri"/>
          <w:color w:val="000000"/>
          <w:sz w:val="20"/>
        </w:rPr>
        <w:t xml:space="preserve">Buyer pays for: LIS/LIMS integration, fleet management, central QC, dashboards, secure backup</w:t>
      </w:r>
    </w:p>
    <w:p>
      <w:pPr>
        <w:spacing w:before="0" w:after="50" w:line="250" w:lineRule="auto"/>
      </w:pPr>
      <w:r>
        <w:rPr>
          <w:rFonts w:ascii="Calibri" w:hAnsi="Calibri"/>
          <w:color w:val="000000"/>
          <w:sz w:val="20"/>
        </w:rPr>
        <w:t xml:space="preserve">Why: Recurring enterprise software value</w:t>
      </w:r>
    </w:p>
    <w:p>
      <w:pPr>
        <w:spacing w:before="0" w:after="50" w:line="250" w:lineRule="auto"/>
      </w:pPr>
      <w:r>
        <w:rPr>
          <w:rFonts w:ascii="Calibri" w:hAnsi="Calibri"/>
          <w:color w:val="000000"/>
          <w:sz w:val="20"/>
        </w:rPr>
        <w:t xml:space="preserve">Offer: AMR-Eye Research</w:t>
      </w:r>
    </w:p>
    <w:p>
      <w:pPr>
        <w:spacing w:before="0" w:after="50" w:line="250" w:lineRule="auto"/>
      </w:pPr>
      <w:r>
        <w:rPr>
          <w:rFonts w:ascii="Calibri" w:hAnsi="Calibri"/>
          <w:color w:val="000000"/>
          <w:sz w:val="20"/>
        </w:rPr>
        <w:t xml:space="preserve">Buyer pays for: Time-series experiments, model-development tools, bulk export/API, experimental sensors</w:t>
      </w:r>
    </w:p>
    <w:p>
      <w:pPr>
        <w:spacing w:before="0" w:after="50" w:line="250" w:lineRule="auto"/>
      </w:pPr>
      <w:r>
        <w:rPr>
          <w:rFonts w:ascii="Calibri" w:hAnsi="Calibri"/>
          <w:color w:val="000000"/>
          <w:sz w:val="20"/>
        </w:rPr>
        <w:t xml:space="preserve">Why: Keeps speculative R&amp;D away from clinical product claims</w:t>
      </w:r>
    </w:p>
    <w:p>
      <w:pPr>
        <w:pStyle w:val="Normal"/>
        <w:spacing w:before="0" w:after="50" w:line="250" w:lineRule="auto"/>
        <w:rPr/>
      </w:pPr>
      <w:r>
        <w:rPr>
          <w:rFonts w:ascii="Calibri" w:hAnsi="Calibri"/>
          <w:color w:val="000000"/>
          <w:sz w:val="20"/>
        </w:rPr>
        <w:t>Cloud should be optional rather than mandatory. If “works offline” is a differentiation claim, basic AST measurement, standards logic, report generation and review must remain usable without AWS.</w:t>
      </w:r>
    </w:p>
    <w:p>
      <w:pPr>
        <w:pStyle w:val="Heading3"/>
        <w:keepNext/>
        <w:keepLines/>
        <w:spacing w:before="240" w:after="120" w:line="269" w:lineRule="auto"/>
      </w:pPr>
      <w:r>
        <w:rPr>
          <w:color w:val="000000"/>
        </w:rPr>
        <w:t>Financial-model audit</w:t>
      </w:r>
    </w:p>
    <w:p>
      <w:pPr>
        <w:pStyle w:val="Normal"/>
        <w:spacing w:before="0" w:after="50" w:line="250" w:lineRule="auto"/>
        <w:rPr/>
      </w:pPr>
      <w:r>
        <w:rPr>
          <w:rFonts w:ascii="Calibri" w:hAnsi="Calibri"/>
          <w:color w:val="000000"/>
          <w:sz w:val="20"/>
        </w:rPr>
        <w:t xml:space="preserve">The July financial workbook contains a reasonably structured model but should </w:t>
      </w:r>
      <w:r>
        <w:rPr>
          <w:rFonts w:ascii="Calibri" w:hAnsi="Calibri"/>
          <w:b/>
          <w:color w:val="000000"/>
          <w:sz w:val="20"/>
        </w:rPr>
        <w:t>not currently be treated as the commercial plan</w:t>
      </w:r>
      <w:r>
        <w:rPr>
          <w:rFonts w:ascii="Calibri" w:hAnsi="Calibri"/>
          <w:color w:val="000000"/>
          <w:sz w:val="20"/>
        </w:rPr>
        <w:t xml:space="preserve">. It models a hardware selling price of about </w:t>
      </w:r>
      <w:r>
        <w:rPr>
          <w:rFonts w:ascii="Calibri" w:hAnsi="Calibri"/>
          <w:b/>
          <w:color w:val="000000"/>
          <w:sz w:val="20"/>
        </w:rPr>
        <w:t>₹3.5 lakh</w:t>
      </w:r>
      <w:r>
        <w:rPr>
          <w:rFonts w:ascii="Calibri" w:hAnsi="Calibri"/>
          <w:color w:val="000000"/>
          <w:sz w:val="20"/>
        </w:rPr>
        <w:t xml:space="preserve">, hardware COGS around </w:t>
      </w:r>
      <w:r>
        <w:rPr>
          <w:rFonts w:ascii="Calibri" w:hAnsi="Calibri"/>
          <w:b/>
          <w:color w:val="000000"/>
          <w:sz w:val="20"/>
        </w:rPr>
        <w:t>₹2 lakh</w:t>
      </w:r>
      <w:r>
        <w:rPr>
          <w:rFonts w:ascii="Calibri" w:hAnsi="Calibri"/>
          <w:color w:val="000000"/>
          <w:sz w:val="20"/>
        </w:rPr>
        <w:t xml:space="preserve">, approximately 42.8% hardware gross margin, and a </w:t>
      </w:r>
      <w:r>
        <w:rPr>
          <w:rFonts w:ascii="Calibri" w:hAnsi="Calibri"/>
          <w:b/>
          <w:color w:val="000000"/>
          <w:sz w:val="20"/>
        </w:rPr>
        <w:t>₹20,000/month per-unit SaaS subscription</w:t>
      </w:r>
      <w:r>
        <w:rPr>
          <w:rFonts w:ascii="Calibri" w:hAnsi="Calibri"/>
          <w:color w:val="000000"/>
          <w:sz w:val="20"/>
        </w:rPr>
        <w:t>. It also projects rapidly increasing hardware deployment over five years. These are internal planning assumptions, not validated customer willingness-to-pay or production economics. The workbook artifact is dated July 2026 and predates the newer September evidence-control documents. </w:t>
      </w:r>
    </w:p>
    <w:p>
      <w:pPr>
        <w:pStyle w:val="Normal"/>
        <w:spacing w:before="0" w:after="50" w:line="250" w:lineRule="auto"/>
        <w:rPr/>
      </w:pPr>
      <w:r>
        <w:rPr>
          <w:rFonts w:ascii="Calibri" w:hAnsi="Calibri"/>
          <w:color w:val="000000"/>
          <w:sz w:val="20"/>
        </w:rPr>
        <w:t xml:space="preserve">More importantly, the workbook contains a </w:t>
      </w:r>
      <w:r>
        <w:rPr>
          <w:rFonts w:ascii="Calibri" w:hAnsi="Calibri"/>
          <w:b/>
          <w:color w:val="000000"/>
          <w:sz w:val="20"/>
        </w:rPr>
        <w:t>₹5 crore seed-raise model</w:t>
      </w:r>
      <w:r>
        <w:rPr>
          <w:rFonts w:ascii="Calibri" w:hAnsi="Calibri"/>
          <w:color w:val="000000"/>
          <w:sz w:val="20"/>
        </w:rPr>
        <w:t xml:space="preserve"> with assumptions including a 500-sample validation programme, a stated “CDSCO Class B IVD” pathway, multiple beta deployments and aggressive national/global scaling. The current dossier instead uses a </w:t>
      </w:r>
      <w:r>
        <w:rPr>
          <w:rFonts w:ascii="Calibri" w:hAnsi="Calibri"/>
          <w:b/>
          <w:color w:val="000000"/>
          <w:sz w:val="20"/>
        </w:rPr>
        <w:t>₹10 lakh prototype/validation-readiness ask</w:t>
      </w:r>
      <w:r>
        <w:rPr>
          <w:rFonts w:ascii="Calibri" w:hAnsi="Calibri"/>
          <w:color w:val="000000"/>
          <w:sz w:val="20"/>
        </w:rPr>
        <w:t xml:space="preserve"> and explicitly warns against assuming the eventual CDSCO class. These are different fundraising stages, but the workbook does not presently make that distinction cleanly enough.</w:t>
      </w:r>
    </w:p>
    <w:p>
      <w:pPr>
        <w:pStyle w:val="Normal"/>
        <w:spacing w:before="0" w:after="50" w:line="250" w:lineRule="auto"/>
        <w:rPr/>
      </w:pPr>
      <w:r>
        <w:rPr>
          <w:rFonts w:ascii="Calibri" w:hAnsi="Calibri"/>
          <w:color w:val="000000"/>
          <w:sz w:val="20"/>
        </w:rPr>
        <w:t>This should be fixed immediately because investors perform inconsistency checks across decks, spreadsheets and data rooms.</w:t>
      </w:r>
    </w:p>
    <w:p>
      <w:pPr>
        <w:pStyle w:val="Normal"/>
        <w:spacing w:before="0" w:after="50" w:line="250" w:lineRule="auto"/>
        <w:rPr/>
      </w:pPr>
      <w:r>
        <w:rPr>
          <w:rFonts w:ascii="Calibri" w:hAnsi="Calibri"/>
          <w:color w:val="000000"/>
          <w:sz w:val="20"/>
        </w:rPr>
        <w:t>Recommended status for the financial sheet:</w:t>
      </w:r>
    </w:p>
    <w:p>
      <w:pPr>
        <w:pStyle w:val="Normal"/>
        <w:spacing w:before="0" w:after="50" w:line="250" w:lineRule="auto"/>
        <w:rPr/>
      </w:pPr>
      <w:r>
        <w:rPr>
          <w:rFonts w:ascii="Calibri" w:hAnsi="Calibri"/>
          <w:b/>
          <w:color w:val="000000"/>
          <w:sz w:val="20"/>
        </w:rPr>
        <w:t>ILLUSTRATIVE SCENARIO MODEL ;  NOT CURRENT FORECAST. Assumptions require validation against current BOM quotations, regulatory classification, pilot demand, pricing interviews and latest project stage.</w:t>
      </w:r>
    </w:p>
    <w:p>
      <w:pPr>
        <w:pStyle w:val="Normal"/>
        <w:spacing w:before="0" w:after="50" w:line="250" w:lineRule="auto"/>
        <w:rPr/>
      </w:pPr>
      <w:r>
        <w:rPr>
          <w:rFonts w:ascii="Calibri" w:hAnsi="Calibri"/>
          <w:color w:val="000000"/>
          <w:sz w:val="20"/>
        </w:rPr>
        <w:t>The SaaS model also needs customer discovery. ₹20,000 per month equals ₹2.4 lakh per year; almost 69% of a ₹3.5 lakh target hardware price every year. That can work for a high-value enterprise system, but it is hard to reconcile with a positioning centred on affordability for smaller laboratories unless the subscription provides substantial multi-site workflow value.</w:t>
      </w:r>
    </w:p>
    <w:p>
      <w:pPr>
        <w:pStyle w:val="Normal"/>
        <w:spacing w:before="0" w:after="50" w:line="250" w:lineRule="auto"/>
        <w:rPr/>
      </w:pPr>
      <w:r>
        <w:rPr>
          <w:rFonts w:ascii="Calibri" w:hAnsi="Calibri"/>
          <w:color w:val="000000"/>
          <w:sz w:val="20"/>
        </w:rPr>
        <w:t xml:space="preserve">The stronger early model may be </w:t>
      </w:r>
      <w:r>
        <w:rPr>
          <w:rFonts w:ascii="Calibri" w:hAnsi="Calibri"/>
          <w:b/>
          <w:color w:val="000000"/>
          <w:sz w:val="20"/>
        </w:rPr>
        <w:t>hardware or lease + mandatory annual service/calibration + lower base software licence, with optional cloud/fleet analytics</w:t>
      </w:r>
      <w:r>
        <w:rPr>
          <w:rFonts w:ascii="Calibri" w:hAnsi="Calibri"/>
          <w:color w:val="000000"/>
          <w:sz w:val="20"/>
        </w:rPr>
        <w:t>.</w:t>
      </w:r>
    </w:p>
    <w:p>
      <w:pPr>
        <w:pStyle w:val="Heading3"/>
        <w:keepNext/>
        <w:keepLines/>
        <w:spacing w:before="240" w:after="120" w:line="269" w:lineRule="auto"/>
      </w:pPr>
      <w:r>
        <w:rPr>
          <w:color w:val="000000"/>
        </w:rPr>
        <w:t>Commercial evidence still missing</w:t>
      </w:r>
    </w:p>
    <w:p>
      <w:pPr>
        <w:pStyle w:val="Normal"/>
        <w:spacing w:before="0" w:after="50" w:line="250" w:lineRule="auto"/>
        <w:rPr/>
      </w:pPr>
      <w:r>
        <w:rPr>
          <w:rFonts w:ascii="Calibri" w:hAnsi="Calibri"/>
          <w:color w:val="000000"/>
          <w:sz w:val="20"/>
        </w:rPr>
        <w:t>There is currently no evidence in the material reviewed of paying AMR</w:t>
        <w:noBreakHyphen/>
        <w:t>Eye customers, signed pilots, revenue, production units, a validated commercial price, regulatory clearance or a completed clinical performance study. The canonical dossier itself treats the project as PoC/early prototype. </w:t>
      </w:r>
    </w:p>
    <w:p>
      <w:pPr>
        <w:pStyle w:val="Normal"/>
        <w:spacing w:before="0" w:after="50" w:line="250" w:lineRule="auto"/>
        <w:rPr/>
      </w:pPr>
      <w:r>
        <w:rPr>
          <w:rFonts w:ascii="Calibri" w:hAnsi="Calibri"/>
          <w:color w:val="000000"/>
          <w:sz w:val="20"/>
        </w:rPr>
        <w:t>Before the next serious funding round, the commercial evidence stack should include:</w:t>
      </w:r>
    </w:p>
    <w:p>
      <w:pPr>
        <w:spacing w:before="0" w:after="50" w:line="250" w:lineRule="auto"/>
      </w:pPr>
      <w:r>
        <w:rPr>
          <w:rFonts w:ascii="Calibri" w:hAnsi="Calibri"/>
          <w:color w:val="000000"/>
          <w:sz w:val="20"/>
        </w:rPr>
        <w:t xml:space="preserve">Evidence: Customer interviews</w:t>
      </w:r>
    </w:p>
    <w:p>
      <w:pPr>
        <w:spacing w:before="0" w:after="50" w:line="250" w:lineRule="auto"/>
      </w:pPr>
      <w:r>
        <w:rPr>
          <w:rFonts w:ascii="Calibri" w:hAnsi="Calibri"/>
          <w:color w:val="000000"/>
          <w:sz w:val="20"/>
        </w:rPr>
        <w:t xml:space="preserve">Target: Microbiology lab directors, technicians, diagnostic chains and hospital procurement</w:t>
      </w:r>
    </w:p>
    <w:p>
      <w:pPr>
        <w:spacing w:before="0" w:after="50" w:line="250" w:lineRule="auto"/>
      </w:pPr>
      <w:r>
        <w:rPr>
          <w:rFonts w:ascii="Calibri" w:hAnsi="Calibri"/>
          <w:color w:val="000000"/>
          <w:sz w:val="20"/>
        </w:rPr>
        <w:t xml:space="preserve">Evidence: Workflow baseline</w:t>
      </w:r>
    </w:p>
    <w:p>
      <w:pPr>
        <w:spacing w:before="0" w:after="50" w:line="250" w:lineRule="auto"/>
      </w:pPr>
      <w:r>
        <w:rPr>
          <w:rFonts w:ascii="Calibri" w:hAnsi="Calibri"/>
          <w:color w:val="000000"/>
          <w:sz w:val="20"/>
        </w:rPr>
        <w:t xml:space="preserve">Target: Minutes/plate, reread rate, transcription steps, pain points</w:t>
      </w:r>
    </w:p>
    <w:p>
      <w:pPr>
        <w:spacing w:before="0" w:after="50" w:line="250" w:lineRule="auto"/>
      </w:pPr>
      <w:r>
        <w:rPr>
          <w:rFonts w:ascii="Calibri" w:hAnsi="Calibri"/>
          <w:color w:val="000000"/>
          <w:sz w:val="20"/>
        </w:rPr>
        <w:t xml:space="preserve">Evidence: Willingness-to-pay</w:t>
      </w:r>
    </w:p>
    <w:p>
      <w:pPr>
        <w:spacing w:before="0" w:after="50" w:line="250" w:lineRule="auto"/>
      </w:pPr>
      <w:r>
        <w:rPr>
          <w:rFonts w:ascii="Calibri" w:hAnsi="Calibri"/>
          <w:color w:val="000000"/>
          <w:sz w:val="20"/>
        </w:rPr>
        <w:t xml:space="preserve">Target: Instrument purchase vs lease vs software/service preferences</w:t>
      </w:r>
    </w:p>
    <w:p>
      <w:pPr>
        <w:spacing w:before="0" w:after="50" w:line="250" w:lineRule="auto"/>
      </w:pPr>
      <w:r>
        <w:rPr>
          <w:rFonts w:ascii="Calibri" w:hAnsi="Calibri"/>
          <w:color w:val="000000"/>
          <w:sz w:val="20"/>
        </w:rPr>
        <w:t xml:space="preserve">Evidence: Partner letters</w:t>
      </w:r>
    </w:p>
    <w:p>
      <w:pPr>
        <w:spacing w:before="0" w:after="50" w:line="250" w:lineRule="auto"/>
      </w:pPr>
      <w:r>
        <w:rPr>
          <w:rFonts w:ascii="Calibri" w:hAnsi="Calibri"/>
          <w:color w:val="000000"/>
          <w:sz w:val="20"/>
        </w:rPr>
        <w:t xml:space="preserve">Target: Validation-site or research collaboration letters</w:t>
      </w:r>
    </w:p>
    <w:p>
      <w:pPr>
        <w:spacing w:before="0" w:after="50" w:line="250" w:lineRule="auto"/>
      </w:pPr>
      <w:r>
        <w:rPr>
          <w:rFonts w:ascii="Calibri" w:hAnsi="Calibri"/>
          <w:color w:val="000000"/>
          <w:sz w:val="20"/>
        </w:rPr>
        <w:t xml:space="preserve">Evidence: Manufacturing quotes</w:t>
      </w:r>
    </w:p>
    <w:p>
      <w:pPr>
        <w:spacing w:before="0" w:after="50" w:line="250" w:lineRule="auto"/>
      </w:pPr>
      <w:r>
        <w:rPr>
          <w:rFonts w:ascii="Calibri" w:hAnsi="Calibri"/>
          <w:color w:val="000000"/>
          <w:sz w:val="20"/>
        </w:rPr>
        <w:t xml:space="preserve">Target: Exact optics, camera, enclosure, electronics, assembly and QA</w:t>
      </w:r>
    </w:p>
    <w:p>
      <w:pPr>
        <w:spacing w:before="0" w:after="50" w:line="250" w:lineRule="auto"/>
      </w:pPr>
      <w:r>
        <w:rPr>
          <w:rFonts w:ascii="Calibri" w:hAnsi="Calibri"/>
          <w:color w:val="000000"/>
          <w:sz w:val="20"/>
        </w:rPr>
        <w:t xml:space="preserve">Evidence: Service assumptions</w:t>
      </w:r>
    </w:p>
    <w:p>
      <w:pPr>
        <w:spacing w:before="0" w:after="50" w:line="250" w:lineRule="auto"/>
      </w:pPr>
      <w:r>
        <w:rPr>
          <w:rFonts w:ascii="Calibri" w:hAnsi="Calibri"/>
          <w:color w:val="000000"/>
          <w:sz w:val="20"/>
        </w:rPr>
        <w:t xml:space="preserve">Target: Calibration interval, on-site support cost, spare parts and warranty</w:t>
      </w:r>
    </w:p>
    <w:p>
      <w:pPr>
        <w:spacing w:before="0" w:after="50" w:line="250" w:lineRule="auto"/>
      </w:pPr>
      <w:r>
        <w:rPr>
          <w:rFonts w:ascii="Calibri" w:hAnsi="Calibri"/>
          <w:color w:val="000000"/>
          <w:sz w:val="20"/>
        </w:rPr>
        <w:t xml:space="preserve">Evidence: Pilot protocol</w:t>
      </w:r>
    </w:p>
    <w:p>
      <w:pPr>
        <w:spacing w:before="0" w:after="50" w:line="250" w:lineRule="auto"/>
      </w:pPr>
      <w:r>
        <w:rPr>
          <w:rFonts w:ascii="Calibri" w:hAnsi="Calibri"/>
          <w:color w:val="000000"/>
          <w:sz w:val="20"/>
        </w:rPr>
        <w:t xml:space="preserve">Target: What counts as technical, usability and workflow success</w:t>
      </w:r>
    </w:p>
    <w:p>
      <w:pPr>
        <w:spacing w:before="0" w:after="50" w:line="250" w:lineRule="auto"/>
      </w:pPr>
      <w:r>
        <w:rPr>
          <w:rFonts w:ascii="Calibri" w:hAnsi="Calibri"/>
          <w:color w:val="000000"/>
          <w:sz w:val="20"/>
        </w:rPr>
        <w:t xml:space="preserve">Evidence: Revenue model</w:t>
      </w:r>
    </w:p>
    <w:p>
      <w:pPr>
        <w:spacing w:before="0" w:after="50" w:line="250" w:lineRule="auto"/>
      </w:pPr>
      <w:r>
        <w:rPr>
          <w:rFonts w:ascii="Calibri" w:hAnsi="Calibri"/>
          <w:color w:val="000000"/>
          <w:sz w:val="20"/>
        </w:rPr>
        <w:t xml:space="preserve">Target: Conservative scenario, base scenario, scale scenario; not one heroic five-year forecast</w:t>
      </w:r>
    </w:p>
    <w:p>
      <w:pPr>
        <w:pStyle w:val="Normal"/>
        <w:spacing w:before="0" w:after="50" w:line="250" w:lineRule="auto"/>
        <w:rPr/>
      </w:pPr>
      <w:r>
        <w:rPr>
          <w:rFonts w:ascii="Calibri" w:hAnsi="Calibri"/>
          <w:color w:val="000000"/>
          <w:sz w:val="20"/>
        </w:rPr>
        <w:t>The strongest next investor story is therefore not “we will deploy thousands of devices”. It is:</w:t>
      </w:r>
    </w:p>
    <w:p>
      <w:pPr>
        <w:pStyle w:val="Normal"/>
        <w:spacing w:before="0" w:after="50" w:line="250" w:lineRule="auto"/>
        <w:rPr/>
      </w:pPr>
      <w:r>
        <w:rPr>
          <w:rFonts w:ascii="Calibri" w:hAnsi="Calibri"/>
          <w:b/>
          <w:color w:val="000000"/>
          <w:sz w:val="20"/>
        </w:rPr>
        <w:t>Investment-readiness target: lock the intended workflow, demonstrate repeatable calibrated measurement, establish a traceable dataset and authorized validation partnership, and quantify performance against a suitable comparator. These outcomes are not established by the current documentation.</w:t>
      </w:r>
    </w:p>
    <w:p>
      <w:pPr>
        <w:pStyle w:val="Heading3"/>
        <w:keepNext/>
        <w:keepLines/>
        <w:spacing w:before="240" w:after="120" w:line="269" w:lineRule="auto"/>
      </w:pPr>
      <w:r>
        <w:rPr>
          <w:color w:val="000000"/>
        </w:rPr>
        <w:t>Regulatory, IP, security and ethical risk audit</w:t>
      </w:r>
    </w:p>
    <w:p>
      <w:pPr>
        <w:pStyle w:val="Heading3"/>
        <w:keepNext/>
        <w:keepLines/>
        <w:spacing w:before="240" w:after="120" w:line="269" w:lineRule="auto"/>
      </w:pPr>
      <w:r>
        <w:rPr>
          <w:color w:val="000000"/>
        </w:rPr>
        <w:t>India regulatory pathway</w:t>
      </w:r>
    </w:p>
    <w:p>
      <w:pPr>
        <w:pStyle w:val="Normal"/>
        <w:spacing w:before="0" w:after="50" w:line="250" w:lineRule="auto"/>
        <w:rPr/>
      </w:pPr>
      <w:r>
        <w:rPr>
          <w:rFonts w:ascii="Calibri" w:hAnsi="Calibri"/>
          <w:color w:val="000000"/>
          <w:sz w:val="20"/>
        </w:rPr>
        <w:t>The regulatory section needs to be treated as an engineering input now, not something added just before launch.</w:t>
      </w:r>
    </w:p>
    <w:p>
      <w:pPr>
        <w:pStyle w:val="Normal"/>
        <w:spacing w:before="0" w:after="50" w:line="250" w:lineRule="auto"/>
        <w:rPr/>
      </w:pPr>
      <w:r>
        <w:rPr>
          <w:rFonts w:ascii="Calibri" w:hAnsi="Calibri"/>
          <w:color w:val="000000"/>
          <w:sz w:val="20"/>
        </w:rPr>
        <w:t xml:space="preserve">CDSCO published a final </w:t>
      </w:r>
      <w:r>
        <w:rPr>
          <w:rFonts w:ascii="Calibri" w:hAnsi="Calibri"/>
          <w:b/>
          <w:color w:val="000000"/>
          <w:sz w:val="20"/>
        </w:rPr>
        <w:t>Guidance Document on Medical Device Software under MDR</w:t>
        <w:noBreakHyphen/>
        <w:t>2017</w:t>
      </w:r>
      <w:r>
        <w:rPr>
          <w:rFonts w:ascii="Calibri" w:hAnsi="Calibri"/>
          <w:color w:val="000000"/>
          <w:sz w:val="20"/>
        </w:rPr>
        <w:t xml:space="preserve"> in 2026. It makes clear that medical-purpose software within the relevant scope is regulated under the medical-device framework and discusses quality, lifecycle, cybersecurity and documentation expectations. The document itself also states that it is guidance for public awareness and not a substitute for statutory/legal advice. [TA-15]</w:t>
      </w:r>
    </w:p>
    <w:p>
      <w:pPr>
        <w:pStyle w:val="Normal"/>
        <w:spacing w:before="0" w:after="50" w:line="250" w:lineRule="auto"/>
        <w:rPr/>
      </w:pPr>
      <w:r>
        <w:rPr>
          <w:rFonts w:ascii="Calibri" w:hAnsi="Calibri"/>
          <w:color w:val="000000"/>
          <w:sz w:val="20"/>
        </w:rPr>
        <w:t>Most importantly for AMR</w:t>
        <w:noBreakHyphen/>
        <w:t xml:space="preserve">Eye, CDSCO states that actual risk classification depends on factors including intended use and design; the classification list can change, and where classification is unclear an applicant can approach the Central Licensing Authority. In other words, the older spreadsheet language assuming </w:t>
      </w:r>
      <w:r>
        <w:rPr>
          <w:rFonts w:ascii="Calibri" w:hAnsi="Calibri"/>
          <w:b/>
          <w:color w:val="000000"/>
          <w:sz w:val="20"/>
        </w:rPr>
        <w:t>“CDSCO Class B IVD” should be removed as an established fact</w:t>
      </w:r>
      <w:r>
        <w:rPr>
          <w:rFonts w:ascii="Calibri" w:hAnsi="Calibri"/>
          <w:color w:val="000000"/>
          <w:sz w:val="20"/>
        </w:rPr>
        <w:t>. [TA-15]</w:t>
      </w:r>
    </w:p>
    <w:p>
      <w:pPr>
        <w:pStyle w:val="Normal"/>
        <w:spacing w:before="0" w:after="50" w:line="250" w:lineRule="auto"/>
        <w:rPr/>
      </w:pPr>
      <w:r>
        <w:rPr>
          <w:rFonts w:ascii="Calibri" w:hAnsi="Calibri"/>
          <w:color w:val="000000"/>
          <w:sz w:val="20"/>
        </w:rPr>
        <w:t>The guidance identifies relevant standards/frameworks including quality-management, risk-management, software lifecycle, health-software and cybersecurity standards. The published table includes ISO 13485, ISO 14971, IEC 62304, IEC 82304</w:t>
        <w:noBreakHyphen/>
        <w:t>1 and IEC 81001</w:t>
        <w:noBreakHyphen/>
        <w:t>5</w:t>
        <w:noBreakHyphen/>
        <w:t>1 among the important references. [TA-15]</w:t>
      </w:r>
    </w:p>
    <w:p>
      <w:pPr>
        <w:pStyle w:val="Normal"/>
        <w:spacing w:before="0" w:after="50" w:line="250" w:lineRule="auto"/>
        <w:rPr/>
      </w:pPr>
      <w:r>
        <w:rPr>
          <w:rFonts w:ascii="Calibri" w:hAnsi="Calibri"/>
          <w:color w:val="000000"/>
          <w:sz w:val="20"/>
        </w:rPr>
        <w:t>For AMR</w:t>
        <w:noBreakHyphen/>
        <w:t>Eye that means the design process should begin creating, at minimum:</w:t>
      </w:r>
    </w:p>
    <w:p>
      <w:pPr>
        <w:pStyle w:val="Normal"/>
        <w:spacing w:before="0" w:after="50" w:line="250" w:lineRule="auto"/>
        <w:rPr/>
      </w:pPr>
      <w:r>
        <w:rPr>
          <w:rFonts w:ascii="Calibri" w:hAnsi="Calibri"/>
          <w:b/>
          <w:color w:val="000000"/>
          <w:sz w:val="20"/>
        </w:rPr>
        <w:t>Intended-use statement → user needs → system/software requirements → architecture → hazard analysis → verification traceability → software version/change control → cybersecurity threat model → clinical/performance evaluation plan → post-market/change strategy.</w:t>
      </w:r>
    </w:p>
    <w:p>
      <w:pPr>
        <w:pStyle w:val="Normal"/>
        <w:spacing w:before="0" w:after="50" w:line="250" w:lineRule="auto"/>
        <w:rPr/>
      </w:pPr>
      <w:r>
        <w:rPr>
          <w:rFonts w:ascii="Calibri" w:hAnsi="Calibri"/>
          <w:color w:val="000000"/>
          <w:sz w:val="20"/>
        </w:rPr>
        <w:t>The earlier the team works this way, the less painful a future regulated submission becomes.</w:t>
      </w:r>
    </w:p>
    <w:p>
      <w:pPr>
        <w:pStyle w:val="Heading3"/>
        <w:keepNext/>
        <w:keepLines/>
        <w:spacing w:before="240" w:after="120" w:line="269" w:lineRule="auto"/>
      </w:pPr>
      <w:r>
        <w:rPr>
          <w:color w:val="000000"/>
        </w:rPr>
        <w:t>Standards engine and licensing risk</w:t>
      </w:r>
    </w:p>
    <w:p>
      <w:pPr>
        <w:pStyle w:val="Normal"/>
        <w:spacing w:before="0" w:after="50" w:line="250" w:lineRule="auto"/>
        <w:rPr/>
      </w:pPr>
      <w:r>
        <w:rPr>
          <w:rFonts w:ascii="Calibri" w:hAnsi="Calibri"/>
          <w:color w:val="000000"/>
          <w:sz w:val="20"/>
        </w:rPr>
        <w:t>CLSI M100’s 36th edition is the relevant current 2026 CLSI reference identified during this pass. [TA-13] EUCAST released updated clinical breakpoint material in 2026 and itself emphasises that its documents are updated as evidence changes. [TA-14]</w:t>
      </w:r>
    </w:p>
    <w:p>
      <w:pPr>
        <w:pStyle w:val="Normal"/>
        <w:spacing w:before="0" w:after="50" w:line="250" w:lineRule="auto"/>
        <w:rPr/>
      </w:pPr>
      <w:r>
        <w:rPr>
          <w:rFonts w:ascii="Calibri" w:hAnsi="Calibri"/>
          <w:color w:val="000000"/>
          <w:sz w:val="20"/>
        </w:rPr>
        <w:t>This validates a key decision already present in the AMR</w:t>
        <w:noBreakHyphen/>
        <w:t xml:space="preserve">Eye dossier: </w:t>
      </w:r>
      <w:r>
        <w:rPr>
          <w:rFonts w:ascii="Calibri" w:hAnsi="Calibri"/>
          <w:b/>
          <w:color w:val="000000"/>
          <w:sz w:val="20"/>
        </w:rPr>
        <w:t>never bake breakpoint values into model weights or one permanent code table</w:t>
      </w:r>
      <w:r>
        <w:rPr>
          <w:rFonts w:ascii="Calibri" w:hAnsi="Calibri"/>
          <w:color w:val="000000"/>
          <w:sz w:val="20"/>
        </w:rPr>
        <w:t>.</w:t>
      </w:r>
    </w:p>
    <w:p>
      <w:pPr>
        <w:pStyle w:val="Normal"/>
        <w:spacing w:before="0" w:after="50" w:line="250" w:lineRule="auto"/>
        <w:rPr/>
      </w:pPr>
      <w:r>
        <w:rPr>
          <w:rFonts w:ascii="Calibri" w:hAnsi="Calibri"/>
          <w:color w:val="000000"/>
          <w:sz w:val="20"/>
        </w:rPr>
        <w:t>A standards package should be independently versioned:</w:t>
      </w:r>
    </w:p>
    <w:p>
      <w:pPr>
        <w:pStyle w:val="Normal"/>
        <w:spacing w:before="0" w:after="50" w:line="250" w:lineRule="auto"/>
        <w:rPr/>
      </w:pPr>
      <w:r>
        <w:rPr>
          <w:rFonts w:ascii="Calibri" w:hAnsi="Calibri"/>
          <w:color w:val="000000"/>
          <w:sz w:val="20"/>
        </w:rPr>
        <w:t>standard_provider</w:t>
        <w:br/>
        <w:t>standard_family</w:t>
        <w:br/>
        <w:t>edition/version</w:t>
        <w:br/>
        <w:t>release_date</w:t>
        <w:br/>
        <w:t>organism/group</w:t>
        <w:br/>
        <w:t>antimicrobial</w:t>
        <w:br/>
        <w:t>disk_content</w:t>
        <w:br/>
        <w:t>method</w:t>
        <w:br/>
        <w:t>incubation/read requirements</w:t>
        <w:br/>
        <w:t>breakpoints</w:t>
        <w:br/>
        <w:t>special_interpretive_rules</w:t>
        <w:br/>
        <w:t>source/licence</w:t>
        <w:br/>
        <w:t>effective_from</w:t>
        <w:br/>
        <w:t>effective_to</w:t>
        <w:br/>
      </w:r>
    </w:p>
    <w:p>
      <w:pPr>
        <w:pStyle w:val="Normal"/>
        <w:spacing w:before="0" w:after="50" w:line="250" w:lineRule="auto"/>
        <w:rPr/>
      </w:pPr>
      <w:r>
        <w:rPr>
          <w:rFonts w:ascii="Calibri" w:hAnsi="Calibri"/>
          <w:color w:val="000000"/>
          <w:sz w:val="20"/>
        </w:rPr>
        <w:t xml:space="preserve">There is also an IP/licensing issue. “Publicly accessible” is not synonymous with “freely redistributable inside commercial software”. Before shipping CLSI-derived proprietary content, obtain a licence review. EUCAST has different reuse conditions. The project should maintain a </w:t>
      </w:r>
      <w:r>
        <w:rPr>
          <w:rFonts w:ascii="Calibri" w:hAnsi="Calibri"/>
          <w:b/>
          <w:color w:val="000000"/>
          <w:sz w:val="20"/>
        </w:rPr>
        <w:t>standards-content licensing register</w:t>
      </w:r>
      <w:r>
        <w:rPr>
          <w:rFonts w:ascii="Calibri" w:hAnsi="Calibri"/>
          <w:color w:val="000000"/>
          <w:sz w:val="20"/>
        </w:rPr>
        <w:t xml:space="preserve"> separate from software licensing.</w:t>
      </w:r>
    </w:p>
    <w:p>
      <w:pPr>
        <w:pStyle w:val="Heading3"/>
        <w:keepNext/>
        <w:keepLines/>
        <w:spacing w:before="240" w:after="120" w:line="269" w:lineRule="auto"/>
      </w:pPr>
      <w:r>
        <w:rPr>
          <w:color w:val="000000"/>
        </w:rPr>
        <w:t>Patent and IP position</w:t>
      </w:r>
    </w:p>
    <w:p>
      <w:pPr>
        <w:pStyle w:val="Normal"/>
        <w:spacing w:before="0" w:after="50" w:line="250" w:lineRule="auto"/>
        <w:rPr/>
      </w:pPr>
      <w:r>
        <w:rPr>
          <w:rFonts w:ascii="Calibri" w:hAnsi="Calibri"/>
          <w:color w:val="000000"/>
          <w:sz w:val="20"/>
        </w:rPr>
        <w:t>No exact-name AMR</w:t>
        <w:noBreakHyphen/>
        <w:t xml:space="preserve">Eye patent surfaced during the public search conducted for this report. That does </w:t>
      </w:r>
      <w:r>
        <w:rPr>
          <w:rFonts w:ascii="Calibri" w:hAnsi="Calibri"/>
          <w:b/>
          <w:color w:val="000000"/>
          <w:sz w:val="20"/>
        </w:rPr>
        <w:t>not</w:t>
      </w:r>
      <w:r>
        <w:rPr>
          <w:rFonts w:ascii="Calibri" w:hAnsi="Calibri"/>
          <w:color w:val="000000"/>
          <w:sz w:val="20"/>
        </w:rPr>
        <w:t xml:space="preserve"> establish patentability, novelty or freedom to operate.</w:t>
      </w:r>
    </w:p>
    <w:p>
      <w:pPr>
        <w:pStyle w:val="Normal"/>
        <w:spacing w:before="0" w:after="50" w:line="250" w:lineRule="auto"/>
        <w:rPr/>
      </w:pPr>
      <w:r>
        <w:rPr>
          <w:rFonts w:ascii="Calibri" w:hAnsi="Calibri"/>
          <w:color w:val="000000"/>
          <w:sz w:val="20"/>
        </w:rPr>
        <w:t>Broad areas such as automated AST, plate imaging, inhibition-zone measurement, computer vision, automated culture handling and rapid phenotypic susceptibility testing already contain extensive prior art. Therefore, a patent framed merely as:</w:t>
      </w:r>
    </w:p>
    <w:p>
      <w:pPr>
        <w:pStyle w:val="Normal"/>
        <w:spacing w:before="0" w:after="50" w:line="250" w:lineRule="auto"/>
        <w:rPr/>
      </w:pPr>
      <w:r>
        <w:rPr>
          <w:rFonts w:ascii="Calibri" w:hAnsi="Calibri"/>
          <w:color w:val="000000"/>
          <w:sz w:val="20"/>
        </w:rPr>
        <w:t>“</w:t>
      </w:r>
      <w:r>
        <w:rPr>
          <w:rFonts w:ascii="Calibri" w:hAnsi="Calibri"/>
          <w:color w:val="000000"/>
          <w:sz w:val="20"/>
        </w:rPr>
        <w:t>use AI/camera to measure antimicrobial susceptibility”</w:t>
      </w:r>
    </w:p>
    <w:p>
      <w:pPr>
        <w:pStyle w:val="Normal"/>
        <w:spacing w:before="0" w:after="50" w:line="250" w:lineRule="auto"/>
        <w:rPr/>
      </w:pPr>
      <w:r>
        <w:rPr>
          <w:rFonts w:ascii="Calibri" w:hAnsi="Calibri"/>
          <w:color w:val="000000"/>
          <w:sz w:val="20"/>
        </w:rPr>
        <w:t>would likely face a crowded landscape.</w:t>
      </w:r>
    </w:p>
    <w:p>
      <w:pPr>
        <w:pStyle w:val="Normal"/>
        <w:spacing w:before="0" w:after="50" w:line="250" w:lineRule="auto"/>
        <w:rPr/>
      </w:pPr>
      <w:r>
        <w:rPr>
          <w:rFonts w:ascii="Calibri" w:hAnsi="Calibri"/>
          <w:color w:val="000000"/>
          <w:sz w:val="20"/>
        </w:rPr>
        <w:t>Potentially more defensible inventions, if genuinely novel and technically realised, include:</w:t>
      </w:r>
    </w:p>
    <w:p>
      <w:pPr>
        <w:pStyle w:val="Normal"/>
        <w:spacing w:before="0" w:after="50" w:line="250" w:lineRule="auto"/>
        <w:rPr/>
      </w:pPr>
      <w:r>
        <w:rPr>
          <w:rFonts w:ascii="Calibri" w:hAnsi="Calibri"/>
          <w:color w:val="000000"/>
          <w:sz w:val="20"/>
        </w:rPr>
        <w:t>a particular calibrated optical/illumination geometry for robust AST metrology;</w:t>
      </w:r>
    </w:p>
    <w:p>
      <w:pPr>
        <w:pStyle w:val="Normal"/>
        <w:spacing w:before="0" w:after="50" w:line="250" w:lineRule="auto"/>
        <w:rPr/>
      </w:pPr>
      <w:r>
        <w:rPr>
          <w:rFonts w:ascii="Calibri" w:hAnsi="Calibri"/>
          <w:color w:val="000000"/>
          <w:sz w:val="20"/>
        </w:rPr>
        <w:t>an integrated condensation-management imaging mechanism;</w:t>
      </w:r>
    </w:p>
    <w:p>
      <w:pPr>
        <w:pStyle w:val="Normal"/>
        <w:spacing w:before="0" w:after="50" w:line="250" w:lineRule="auto"/>
        <w:rPr/>
      </w:pPr>
      <w:r>
        <w:rPr>
          <w:rFonts w:ascii="Calibri" w:hAnsi="Calibri"/>
          <w:color w:val="000000"/>
          <w:sz w:val="20"/>
        </w:rPr>
        <w:t>specific closed-loop incubation + imaging + calibration control;</w:t>
      </w:r>
    </w:p>
    <w:p>
      <w:pPr>
        <w:pStyle w:val="Normal"/>
        <w:spacing w:before="0" w:after="50" w:line="250" w:lineRule="auto"/>
        <w:rPr/>
      </w:pPr>
      <w:r>
        <w:rPr>
          <w:rFonts w:ascii="Calibri" w:hAnsi="Calibri"/>
          <w:color w:val="000000"/>
          <w:sz w:val="20"/>
        </w:rPr>
        <w:t>a novel dynamic early-growth AST algorithm tied to defined assay conditions;</w:t>
      </w:r>
    </w:p>
    <w:p>
      <w:pPr>
        <w:pStyle w:val="Normal"/>
        <w:spacing w:before="0" w:after="50" w:line="250" w:lineRule="auto"/>
        <w:rPr/>
      </w:pPr>
      <w:r>
        <w:rPr>
          <w:rFonts w:ascii="Calibri" w:hAnsi="Calibri"/>
          <w:color w:val="000000"/>
          <w:sz w:val="20"/>
        </w:rPr>
        <w:t>an unusual calibration/quality-control method;</w:t>
      </w:r>
    </w:p>
    <w:p>
      <w:pPr>
        <w:pStyle w:val="Normal"/>
        <w:spacing w:before="0" w:after="50" w:line="250" w:lineRule="auto"/>
        <w:rPr/>
      </w:pPr>
      <w:r>
        <w:rPr>
          <w:rFonts w:ascii="Calibri" w:hAnsi="Calibri"/>
          <w:color w:val="000000"/>
          <w:sz w:val="20"/>
        </w:rPr>
        <w:t>device-specific workflow mechanisms or cartridge/plate handling.</w:t>
      </w:r>
    </w:p>
    <w:p>
      <w:pPr>
        <w:pStyle w:val="Normal"/>
        <w:spacing w:before="0" w:after="50" w:line="250" w:lineRule="auto"/>
        <w:rPr/>
      </w:pPr>
      <w:r>
        <w:rPr>
          <w:rFonts w:ascii="Calibri" w:hAnsi="Calibri"/>
          <w:color w:val="000000"/>
          <w:sz w:val="20"/>
        </w:rPr>
        <w:t xml:space="preserve">Dataset curation, annotation procedures, calibration data, manufacturing tolerances and deployment know-how may be better treated partly as </w:t>
      </w:r>
      <w:r>
        <w:rPr>
          <w:rFonts w:ascii="Calibri" w:hAnsi="Calibri"/>
          <w:b/>
          <w:color w:val="000000"/>
          <w:sz w:val="20"/>
        </w:rPr>
        <w:t>trade secrets</w:t>
      </w:r>
      <w:r>
        <w:rPr>
          <w:rFonts w:ascii="Calibri" w:hAnsi="Calibri"/>
          <w:color w:val="000000"/>
          <w:sz w:val="20"/>
        </w:rPr>
        <w:t>, while software/database content can use copyright/licensing protection. The AMR</w:t>
        <w:noBreakHyphen/>
        <w:t>Eye name/logo should also be assessed separately for trademark availability.</w:t>
      </w:r>
    </w:p>
    <w:p>
      <w:pPr>
        <w:pStyle w:val="Normal"/>
        <w:spacing w:before="0" w:after="50" w:line="250" w:lineRule="auto"/>
        <w:rPr/>
      </w:pPr>
      <w:r>
        <w:rPr>
          <w:rFonts w:ascii="Calibri" w:hAnsi="Calibri"/>
          <w:color w:val="000000"/>
          <w:sz w:val="20"/>
        </w:rPr>
        <w:t xml:space="preserve">A real freedom-to-operate review should be completed by patent counsel </w:t>
      </w:r>
      <w:r>
        <w:rPr>
          <w:rFonts w:ascii="Calibri" w:hAnsi="Calibri"/>
          <w:b/>
          <w:color w:val="000000"/>
          <w:sz w:val="20"/>
        </w:rPr>
        <w:t>before</w:t>
      </w:r>
      <w:r>
        <w:rPr>
          <w:rFonts w:ascii="Calibri" w:hAnsi="Calibri"/>
          <w:color w:val="000000"/>
          <w:sz w:val="20"/>
        </w:rPr>
        <w:t xml:space="preserve"> a broad public engineering disclosure of genuinely novel hardware mechanisms.</w:t>
      </w:r>
    </w:p>
    <w:p>
      <w:pPr>
        <w:pStyle w:val="Heading3"/>
        <w:keepNext/>
        <w:keepLines/>
        <w:spacing w:before="240" w:after="120" w:line="269" w:lineRule="auto"/>
      </w:pPr>
      <w:r>
        <w:rPr>
          <w:color w:val="000000"/>
        </w:rPr>
        <w:t>Cybersecurity and privacy</w:t>
      </w:r>
    </w:p>
    <w:p>
      <w:pPr>
        <w:pStyle w:val="Normal"/>
        <w:spacing w:before="0" w:after="50" w:line="250" w:lineRule="auto"/>
        <w:rPr/>
      </w:pPr>
      <w:r>
        <w:rPr>
          <w:rFonts w:ascii="Calibri" w:hAnsi="Calibri"/>
          <w:color w:val="000000"/>
          <w:sz w:val="20"/>
        </w:rPr>
        <w:t>AMR</w:t>
        <w:noBreakHyphen/>
        <w:t>Eye could ultimately process patient-linked laboratory records, which changes the security standard substantially compared with a hackathon web demo. CDSCO’s 2026 software guidance explicitly elevates cybersecurity and software lifecycle expectations. [TA-15]</w:t>
      </w:r>
    </w:p>
    <w:p>
      <w:pPr>
        <w:pStyle w:val="Normal"/>
        <w:spacing w:before="0" w:after="50" w:line="250" w:lineRule="auto"/>
        <w:rPr/>
      </w:pPr>
      <w:r>
        <w:rPr>
          <w:rFonts w:ascii="Calibri" w:hAnsi="Calibri"/>
          <w:color w:val="000000"/>
          <w:sz w:val="20"/>
        </w:rPr>
        <w:t>Minimum architecture should include:</w:t>
      </w:r>
    </w:p>
    <w:p>
      <w:pPr>
        <w:spacing w:before="0" w:after="50" w:line="250" w:lineRule="auto"/>
      </w:pPr>
      <w:r>
        <w:rPr>
          <w:rFonts w:ascii="Calibri" w:hAnsi="Calibri"/>
          <w:color w:val="000000"/>
          <w:sz w:val="20"/>
        </w:rPr>
        <w:t xml:space="preserve">Control: Identity</w:t>
      </w:r>
    </w:p>
    <w:p>
      <w:pPr>
        <w:spacing w:before="0" w:after="50" w:line="250" w:lineRule="auto"/>
      </w:pPr>
      <w:r>
        <w:rPr>
          <w:rFonts w:ascii="Calibri" w:hAnsi="Calibri"/>
          <w:color w:val="000000"/>
          <w:sz w:val="20"/>
        </w:rPr>
        <w:t xml:space="preserve">Requirement: Named accounts, role-based permissions, no shared admin account in deployed systems</w:t>
      </w:r>
    </w:p>
    <w:p>
      <w:pPr>
        <w:spacing w:before="0" w:after="50" w:line="250" w:lineRule="auto"/>
      </w:pPr>
      <w:r>
        <w:rPr>
          <w:rFonts w:ascii="Calibri" w:hAnsi="Calibri"/>
          <w:color w:val="000000"/>
          <w:sz w:val="20"/>
        </w:rPr>
        <w:t xml:space="preserve">Control: Encryption</w:t>
      </w:r>
    </w:p>
    <w:p>
      <w:pPr>
        <w:spacing w:before="0" w:after="50" w:line="250" w:lineRule="auto"/>
      </w:pPr>
      <w:r>
        <w:rPr>
          <w:rFonts w:ascii="Calibri" w:hAnsi="Calibri"/>
          <w:color w:val="000000"/>
          <w:sz w:val="20"/>
        </w:rPr>
        <w:t xml:space="preserve">Requirement: TLS in transit; encrypted databases/storage at rest where patient data are stored</w:t>
      </w:r>
    </w:p>
    <w:p>
      <w:pPr>
        <w:spacing w:before="0" w:after="50" w:line="250" w:lineRule="auto"/>
      </w:pPr>
      <w:r>
        <w:rPr>
          <w:rFonts w:ascii="Calibri" w:hAnsi="Calibri"/>
          <w:color w:val="000000"/>
          <w:sz w:val="20"/>
        </w:rPr>
        <w:t xml:space="preserve">Control: Raw evidence</w:t>
      </w:r>
    </w:p>
    <w:p>
      <w:pPr>
        <w:spacing w:before="0" w:after="50" w:line="250" w:lineRule="auto"/>
      </w:pPr>
      <w:r>
        <w:rPr>
          <w:rFonts w:ascii="Calibri" w:hAnsi="Calibri"/>
          <w:color w:val="000000"/>
          <w:sz w:val="20"/>
        </w:rPr>
        <w:t xml:space="preserve">Requirement: Original image immutable or cryptographically hashed</w:t>
      </w:r>
    </w:p>
    <w:p>
      <w:pPr>
        <w:spacing w:before="0" w:after="50" w:line="250" w:lineRule="auto"/>
      </w:pPr>
      <w:r>
        <w:rPr>
          <w:rFonts w:ascii="Calibri" w:hAnsi="Calibri"/>
          <w:color w:val="000000"/>
          <w:sz w:val="20"/>
        </w:rPr>
        <w:t xml:space="preserve">Control: Audit</w:t>
      </w:r>
    </w:p>
    <w:p>
      <w:pPr>
        <w:spacing w:before="0" w:after="50" w:line="250" w:lineRule="auto"/>
      </w:pPr>
      <w:r>
        <w:rPr>
          <w:rFonts w:ascii="Calibri" w:hAnsi="Calibri"/>
          <w:color w:val="000000"/>
          <w:sz w:val="20"/>
        </w:rPr>
        <w:t xml:space="preserve">Requirement: User, time, old value, new value, override reason, model/standard versions</w:t>
      </w:r>
    </w:p>
    <w:p>
      <w:pPr>
        <w:spacing w:before="0" w:after="50" w:line="250" w:lineRule="auto"/>
      </w:pPr>
      <w:r>
        <w:rPr>
          <w:rFonts w:ascii="Calibri" w:hAnsi="Calibri"/>
          <w:color w:val="000000"/>
          <w:sz w:val="20"/>
        </w:rPr>
        <w:t xml:space="preserve">Control: Updates</w:t>
      </w:r>
    </w:p>
    <w:p>
      <w:pPr>
        <w:spacing w:before="0" w:after="50" w:line="250" w:lineRule="auto"/>
      </w:pPr>
      <w:r>
        <w:rPr>
          <w:rFonts w:ascii="Calibri" w:hAnsi="Calibri"/>
          <w:color w:val="000000"/>
          <w:sz w:val="20"/>
        </w:rPr>
        <w:t xml:space="preserve">Requirement: Signed software/model packages; controlled rollback</w:t>
      </w:r>
    </w:p>
    <w:p>
      <w:pPr>
        <w:spacing w:before="0" w:after="50" w:line="250" w:lineRule="auto"/>
      </w:pPr>
      <w:r>
        <w:rPr>
          <w:rFonts w:ascii="Calibri" w:hAnsi="Calibri"/>
          <w:color w:val="000000"/>
          <w:sz w:val="20"/>
        </w:rPr>
        <w:t xml:space="preserve">Control: SBOM</w:t>
      </w:r>
    </w:p>
    <w:p>
      <w:pPr>
        <w:spacing w:before="0" w:after="50" w:line="250" w:lineRule="auto"/>
      </w:pPr>
      <w:r>
        <w:rPr>
          <w:rFonts w:ascii="Calibri" w:hAnsi="Calibri"/>
          <w:color w:val="000000"/>
          <w:sz w:val="20"/>
        </w:rPr>
        <w:t xml:space="preserve">Requirement: Software bill of materials per release</w:t>
      </w:r>
    </w:p>
    <w:p>
      <w:pPr>
        <w:spacing w:before="0" w:after="50" w:line="250" w:lineRule="auto"/>
      </w:pPr>
      <w:r>
        <w:rPr>
          <w:rFonts w:ascii="Calibri" w:hAnsi="Calibri"/>
          <w:color w:val="000000"/>
          <w:sz w:val="20"/>
        </w:rPr>
        <w:t xml:space="preserve">Control: Secrets</w:t>
      </w:r>
    </w:p>
    <w:p>
      <w:pPr>
        <w:spacing w:before="0" w:after="50" w:line="250" w:lineRule="auto"/>
      </w:pPr>
      <w:r>
        <w:rPr>
          <w:rFonts w:ascii="Calibri" w:hAnsi="Calibri"/>
          <w:color w:val="000000"/>
          <w:sz w:val="20"/>
        </w:rPr>
        <w:t xml:space="preserve">Requirement: No API keys embedded in application or source</w:t>
      </w:r>
    </w:p>
    <w:p>
      <w:pPr>
        <w:spacing w:before="0" w:after="50" w:line="250" w:lineRule="auto"/>
      </w:pPr>
      <w:r>
        <w:rPr>
          <w:rFonts w:ascii="Calibri" w:hAnsi="Calibri"/>
          <w:color w:val="000000"/>
          <w:sz w:val="20"/>
        </w:rPr>
        <w:t xml:space="preserve">Control: Network</w:t>
      </w:r>
    </w:p>
    <w:p>
      <w:pPr>
        <w:spacing w:before="0" w:after="50" w:line="250" w:lineRule="auto"/>
      </w:pPr>
      <w:r>
        <w:rPr>
          <w:rFonts w:ascii="Calibri" w:hAnsi="Calibri"/>
          <w:color w:val="000000"/>
          <w:sz w:val="20"/>
        </w:rPr>
        <w:t xml:space="preserve">Requirement: Core AST workflow remains functional offline; cloud access least-privilege</w:t>
      </w:r>
    </w:p>
    <w:p>
      <w:pPr>
        <w:spacing w:before="0" w:after="50" w:line="250" w:lineRule="auto"/>
      </w:pPr>
      <w:r>
        <w:rPr>
          <w:rFonts w:ascii="Calibri" w:hAnsi="Calibri"/>
          <w:color w:val="000000"/>
          <w:sz w:val="20"/>
        </w:rPr>
        <w:t xml:space="preserve">Control: Data minimisation</w:t>
      </w:r>
    </w:p>
    <w:p>
      <w:pPr>
        <w:spacing w:before="0" w:after="50" w:line="250" w:lineRule="auto"/>
      </w:pPr>
      <w:r>
        <w:rPr>
          <w:rFonts w:ascii="Calibri" w:hAnsi="Calibri"/>
          <w:color w:val="000000"/>
          <w:sz w:val="20"/>
        </w:rPr>
        <w:t xml:space="preserve">Requirement: Do not put patient identifiers into image frames unless clinically required</w:t>
      </w:r>
    </w:p>
    <w:p>
      <w:pPr>
        <w:spacing w:before="0" w:after="50" w:line="250" w:lineRule="auto"/>
      </w:pPr>
      <w:r>
        <w:rPr>
          <w:rFonts w:ascii="Calibri" w:hAnsi="Calibri"/>
          <w:color w:val="000000"/>
          <w:sz w:val="20"/>
        </w:rPr>
        <w:t xml:space="preserve">Control: Backup</w:t>
      </w:r>
    </w:p>
    <w:p>
      <w:pPr>
        <w:spacing w:before="0" w:after="50" w:line="250" w:lineRule="auto"/>
      </w:pPr>
      <w:r>
        <w:rPr>
          <w:rFonts w:ascii="Calibri" w:hAnsi="Calibri"/>
          <w:color w:val="000000"/>
          <w:sz w:val="20"/>
        </w:rPr>
        <w:t xml:space="preserve">Requirement: Tested restore, not merely “cloud backup exists”</w:t>
      </w:r>
    </w:p>
    <w:p>
      <w:pPr>
        <w:spacing w:before="0" w:after="50" w:line="250" w:lineRule="auto"/>
      </w:pPr>
      <w:r>
        <w:rPr>
          <w:rFonts w:ascii="Calibri" w:hAnsi="Calibri"/>
          <w:color w:val="000000"/>
          <w:sz w:val="20"/>
        </w:rPr>
        <w:t xml:space="preserve">Control: Model provenance</w:t>
      </w:r>
    </w:p>
    <w:p>
      <w:pPr>
        <w:spacing w:before="0" w:after="50" w:line="250" w:lineRule="auto"/>
      </w:pPr>
      <w:r>
        <w:rPr>
          <w:rFonts w:ascii="Calibri" w:hAnsi="Calibri"/>
          <w:color w:val="000000"/>
          <w:sz w:val="20"/>
        </w:rPr>
        <w:t xml:space="preserve">Requirement: exact model checksum/version associated with every result</w:t>
      </w:r>
    </w:p>
    <w:p>
      <w:pPr>
        <w:spacing w:before="0" w:after="50" w:line="250" w:lineRule="auto"/>
      </w:pPr>
      <w:r>
        <w:rPr>
          <w:rFonts w:ascii="Calibri" w:hAnsi="Calibri"/>
          <w:color w:val="000000"/>
          <w:sz w:val="20"/>
        </w:rPr>
        <w:t xml:space="preserve">Control: Vulnerability process</w:t>
      </w:r>
    </w:p>
    <w:p>
      <w:pPr>
        <w:spacing w:before="0" w:after="50" w:line="250" w:lineRule="auto"/>
      </w:pPr>
      <w:r>
        <w:rPr>
          <w:rFonts w:ascii="Calibri" w:hAnsi="Calibri"/>
          <w:color w:val="000000"/>
          <w:sz w:val="20"/>
        </w:rPr>
        <w:t xml:space="preserve">Requirement: dependency scanning, patch policy, disclosure/incident process</w:t>
      </w:r>
    </w:p>
    <w:p>
      <w:pPr>
        <w:spacing w:before="0" w:after="50" w:line="250" w:lineRule="auto"/>
      </w:pPr>
      <w:r>
        <w:rPr>
          <w:rFonts w:ascii="Calibri" w:hAnsi="Calibri"/>
          <w:color w:val="000000"/>
          <w:sz w:val="20"/>
        </w:rPr>
        <w:t xml:space="preserve">Control: Service mode</w:t>
      </w:r>
    </w:p>
    <w:p>
      <w:pPr>
        <w:spacing w:before="0" w:after="50" w:line="250" w:lineRule="auto"/>
      </w:pPr>
      <w:r>
        <w:rPr>
          <w:rFonts w:ascii="Calibri" w:hAnsi="Calibri"/>
          <w:color w:val="000000"/>
          <w:sz w:val="20"/>
        </w:rPr>
        <w:t xml:space="preserve">Requirement: technician access separated from clinical records wherever possible</w:t>
      </w:r>
    </w:p>
    <w:p>
      <w:pPr>
        <w:pStyle w:val="Normal"/>
        <w:spacing w:before="0" w:after="50" w:line="250" w:lineRule="auto"/>
        <w:rPr/>
      </w:pPr>
      <w:r>
        <w:rPr>
          <w:rFonts w:ascii="Calibri" w:hAnsi="Calibri"/>
          <w:color w:val="000000"/>
          <w:sz w:val="20"/>
        </w:rPr>
        <w:t>The unresolved externally owned GSF presentation with broad link permissions is a smaller issue than clinical cybersecurity but should still be fixed because it creates brand/version-control risk.</w:t>
      </w:r>
    </w:p>
    <w:p>
      <w:pPr>
        <w:pStyle w:val="Heading3"/>
        <w:keepNext/>
        <w:keepLines/>
        <w:spacing w:before="240" w:after="120" w:line="269" w:lineRule="auto"/>
      </w:pPr>
      <w:r>
        <w:rPr>
          <w:color w:val="000000"/>
        </w:rPr>
        <w:t>Ethical and clinical risks</w:t>
      </w:r>
    </w:p>
    <w:p>
      <w:pPr>
        <w:pStyle w:val="Normal"/>
        <w:spacing w:before="0" w:after="50" w:line="250" w:lineRule="auto"/>
        <w:rPr/>
      </w:pPr>
      <w:r>
        <w:rPr>
          <w:rFonts w:ascii="Calibri" w:hAnsi="Calibri"/>
          <w:color w:val="000000"/>
          <w:sz w:val="20"/>
        </w:rPr>
        <w:t xml:space="preserve">The most consequential error in AST is not an inaccurate bounding box. It is an </w:t>
      </w:r>
      <w:r>
        <w:rPr>
          <w:rFonts w:ascii="Calibri" w:hAnsi="Calibri"/>
          <w:b/>
          <w:color w:val="000000"/>
          <w:sz w:val="20"/>
        </w:rPr>
        <w:t>incorrect susceptibility interpretation that could contribute to inappropriate therapy</w:t>
      </w:r>
      <w:r>
        <w:rPr>
          <w:rFonts w:ascii="Calibri" w:hAnsi="Calibri"/>
          <w:color w:val="000000"/>
          <w:sz w:val="20"/>
        </w:rPr>
        <w:t>. That is why AMR</w:t>
        <w:noBreakHyphen/>
        <w:t>Eye’s abstention capability is a safety feature, not a weakness.</w:t>
      </w:r>
    </w:p>
    <w:p>
      <w:pPr>
        <w:pStyle w:val="Normal"/>
        <w:spacing w:before="0" w:after="50" w:line="250" w:lineRule="auto"/>
        <w:rPr/>
      </w:pPr>
      <w:r>
        <w:rPr>
          <w:rFonts w:ascii="Calibri" w:hAnsi="Calibri"/>
          <w:color w:val="000000"/>
          <w:sz w:val="20"/>
        </w:rPr>
        <w:t>The system should be expected to say:</w:t>
      </w:r>
    </w:p>
    <w:p>
      <w:pPr>
        <w:pStyle w:val="Normal"/>
        <w:spacing w:before="0" w:after="50" w:line="250" w:lineRule="auto"/>
        <w:rPr/>
      </w:pPr>
      <w:r>
        <w:rPr>
          <w:rFonts w:ascii="Calibri" w:hAnsi="Calibri"/>
          <w:color w:val="000000"/>
          <w:sz w:val="20"/>
        </w:rPr>
        <w:t>“</w:t>
      </w:r>
      <w:r>
        <w:rPr>
          <w:rFonts w:ascii="Calibri" w:hAnsi="Calibri"/>
          <w:color w:val="000000"/>
          <w:sz w:val="20"/>
        </w:rPr>
        <w:t>I cannot reliably interpret this plate.”</w:t>
      </w:r>
    </w:p>
    <w:p>
      <w:pPr>
        <w:pStyle w:val="Normal"/>
        <w:spacing w:before="0" w:after="50" w:line="250" w:lineRule="auto"/>
        <w:rPr/>
      </w:pPr>
      <w:r>
        <w:rPr>
          <w:rFonts w:ascii="Calibri" w:hAnsi="Calibri"/>
          <w:color w:val="000000"/>
          <w:sz w:val="20"/>
        </w:rPr>
        <w:t>Examples include confluent or abnormal growth, overlapping inhibition zones, indistinct edges, swarming, colonies within the zone, double-zone phenomena, contaminated or damaged plates, glare, severe condensation, wrong plate geometry and failed calibration.</w:t>
      </w:r>
    </w:p>
    <w:p>
      <w:pPr>
        <w:pStyle w:val="Normal"/>
        <w:spacing w:before="0" w:after="50" w:line="250" w:lineRule="auto"/>
        <w:rPr/>
      </w:pPr>
      <w:r>
        <w:rPr>
          <w:rFonts w:ascii="Calibri" w:hAnsi="Calibri"/>
          <w:color w:val="000000"/>
          <w:sz w:val="20"/>
        </w:rPr>
        <w:t>Human review should remain mandatory at the current stage. COPAN’s FDA-cleared PhenoMATRIX system is useful as an adjacent regulatory precedent because it pairs automated image assessment with trained-personnel oversight rather than implying that automation automatically eliminates professional judgement. [TA-19][TA-20]</w:t>
      </w:r>
    </w:p>
    <w:p>
      <w:pPr>
        <w:pStyle w:val="Normal"/>
        <w:spacing w:before="0" w:after="50" w:line="250" w:lineRule="auto"/>
        <w:rPr/>
      </w:pPr>
      <w:r>
        <w:rPr>
          <w:rFonts w:ascii="Calibri" w:hAnsi="Calibri"/>
          <w:color w:val="000000"/>
          <w:sz w:val="20"/>
        </w:rPr>
        <w:t>Bias assessment must also be microbiological rather than demographic only: performance can vary by organism, antibiotic, growth phenotype, site, media supplier/lot, incubator, inoculum quality and image conditions. Those subgroups belong in the validation plan.</w:t>
      </w:r>
    </w:p>
    <w:p>
      <w:pPr>
        <w:pStyle w:val="Heading3"/>
        <w:keepNext/>
        <w:keepLines/>
        <w:spacing w:before="240" w:after="120" w:line="269" w:lineRule="auto"/>
      </w:pPr>
      <w:r>
        <w:rPr>
          <w:color w:val="000000"/>
        </w:rPr>
        <w:t>Highest-priority risk register</w:t>
      </w:r>
    </w:p>
    <w:p>
      <w:pPr>
        <w:keepNext/>
        <w:spacing w:before="0" w:after="50" w:line="250" w:lineRule="auto"/>
      </w:pPr>
      <w:r>
        <w:rPr>
          <w:rFonts w:ascii="Calibri" w:hAnsi="Calibri"/>
          <w:color w:val="000000"/>
          <w:sz w:val="20"/>
        </w:rPr>
        <w:t xml:space="preserve">Priority: Critical</w:t>
      </w:r>
    </w:p>
    <w:p>
      <w:pPr>
        <w:keepNext/>
        <w:spacing w:before="0" w:after="50" w:line="250" w:lineRule="auto"/>
      </w:pPr>
      <w:r>
        <w:rPr>
          <w:rFonts w:ascii="Calibri" w:hAnsi="Calibri"/>
          <w:color w:val="000000"/>
          <w:sz w:val="20"/>
        </w:rPr>
        <w:t xml:space="preserve">Risk: External users mistake research concept for validated AST</w:t>
      </w:r>
    </w:p>
    <w:p>
      <w:pPr>
        <w:spacing w:before="0" w:after="50" w:line="250" w:lineRule="auto"/>
      </w:pPr>
      <w:r>
        <w:rPr>
          <w:rFonts w:ascii="Calibri" w:hAnsi="Calibri"/>
          <w:color w:val="000000"/>
          <w:sz w:val="20"/>
        </w:rPr>
        <w:t xml:space="preserve">Severity: Very high</w:t>
      </w:r>
    </w:p>
    <w:p>
      <w:pPr>
        <w:spacing w:before="0" w:after="50" w:line="250" w:lineRule="auto"/>
      </w:pPr>
      <w:r>
        <w:rPr>
          <w:rFonts w:ascii="Calibri" w:hAnsi="Calibri"/>
          <w:color w:val="000000"/>
          <w:sz w:val="20"/>
        </w:rPr>
        <w:t xml:space="preserve">Current state: Historical decks contain strong language</w:t>
      </w:r>
    </w:p>
    <w:p>
      <w:pPr>
        <w:spacing w:before="0" w:after="50" w:line="250" w:lineRule="auto"/>
      </w:pPr>
      <w:r>
        <w:rPr>
          <w:rFonts w:ascii="Calibri" w:hAnsi="Calibri"/>
          <w:color w:val="000000"/>
          <w:sz w:val="20"/>
        </w:rPr>
        <w:t xml:space="preserve">Mitigation: Claim register + disclaimer + remove unsupported claims everywhere</w:t>
      </w:r>
    </w:p>
    <w:p>
      <w:pPr>
        <w:keepNext/>
        <w:spacing w:before="0" w:after="50" w:line="250" w:lineRule="auto"/>
      </w:pPr>
      <w:r>
        <w:rPr>
          <w:rFonts w:ascii="Calibri" w:hAnsi="Calibri"/>
          <w:color w:val="000000"/>
          <w:sz w:val="20"/>
        </w:rPr>
        <w:t xml:space="preserve">Priority: Critical</w:t>
      </w:r>
    </w:p>
    <w:p>
      <w:pPr>
        <w:keepNext/>
        <w:spacing w:before="0" w:after="50" w:line="250" w:lineRule="auto"/>
      </w:pPr>
      <w:r>
        <w:rPr>
          <w:rFonts w:ascii="Calibri" w:hAnsi="Calibri"/>
          <w:color w:val="000000"/>
          <w:sz w:val="20"/>
        </w:rPr>
        <w:t xml:space="preserve">Risk: Dataset/validation insufficient for clinical conclusions</w:t>
      </w:r>
    </w:p>
    <w:p>
      <w:pPr>
        <w:spacing w:before="0" w:after="50" w:line="250" w:lineRule="auto"/>
      </w:pPr>
      <w:r>
        <w:rPr>
          <w:rFonts w:ascii="Calibri" w:hAnsi="Calibri"/>
          <w:color w:val="000000"/>
          <w:sz w:val="20"/>
        </w:rPr>
        <w:t xml:space="preserve">Severity: Very high</w:t>
      </w:r>
    </w:p>
    <w:p>
      <w:pPr>
        <w:spacing w:before="0" w:after="50" w:line="250" w:lineRule="auto"/>
      </w:pPr>
      <w:r>
        <w:rPr>
          <w:rFonts w:ascii="Calibri" w:hAnsi="Calibri"/>
          <w:color w:val="000000"/>
          <w:sz w:val="20"/>
        </w:rPr>
        <w:t xml:space="preserve">Current state: No project clinical benchmark established</w:t>
      </w:r>
    </w:p>
    <w:p>
      <w:pPr>
        <w:spacing w:before="0" w:after="50" w:line="250" w:lineRule="auto"/>
      </w:pPr>
      <w:r>
        <w:rPr>
          <w:rFonts w:ascii="Calibri" w:hAnsi="Calibri"/>
          <w:color w:val="000000"/>
          <w:sz w:val="20"/>
        </w:rPr>
        <w:t xml:space="preserve">Mitigation: Multisite locked protocol and independent test set</w:t>
      </w:r>
    </w:p>
    <w:p>
      <w:pPr>
        <w:keepNext/>
        <w:spacing w:before="0" w:after="50" w:line="250" w:lineRule="auto"/>
      </w:pPr>
      <w:r>
        <w:rPr>
          <w:rFonts w:ascii="Calibri" w:hAnsi="Calibri"/>
          <w:color w:val="000000"/>
          <w:sz w:val="20"/>
        </w:rPr>
        <w:t xml:space="preserve">Priority: Critical</w:t>
      </w:r>
    </w:p>
    <w:p>
      <w:pPr>
        <w:keepNext/>
        <w:spacing w:before="0" w:after="50" w:line="250" w:lineRule="auto"/>
      </w:pPr>
      <w:r>
        <w:rPr>
          <w:rFonts w:ascii="Calibri" w:hAnsi="Calibri"/>
          <w:color w:val="000000"/>
          <w:sz w:val="20"/>
        </w:rPr>
        <w:t xml:space="preserve">Risk: Breakpoint/version errors</w:t>
      </w:r>
    </w:p>
    <w:p>
      <w:pPr>
        <w:spacing w:before="0" w:after="50" w:line="250" w:lineRule="auto"/>
      </w:pPr>
      <w:r>
        <w:rPr>
          <w:rFonts w:ascii="Calibri" w:hAnsi="Calibri"/>
          <w:color w:val="000000"/>
          <w:sz w:val="20"/>
        </w:rPr>
        <w:t xml:space="preserve">Severity: Very high</w:t>
      </w:r>
    </w:p>
    <w:p>
      <w:pPr>
        <w:spacing w:before="0" w:after="50" w:line="250" w:lineRule="auto"/>
      </w:pPr>
      <w:r>
        <w:rPr>
          <w:rFonts w:ascii="Calibri" w:hAnsi="Calibri"/>
          <w:color w:val="000000"/>
          <w:sz w:val="20"/>
        </w:rPr>
        <w:t xml:space="preserve">Current state: Standards architecture proposed</w:t>
      </w:r>
    </w:p>
    <w:p>
      <w:pPr>
        <w:spacing w:before="0" w:after="50" w:line="250" w:lineRule="auto"/>
      </w:pPr>
      <w:r>
        <w:rPr>
          <w:rFonts w:ascii="Calibri" w:hAnsi="Calibri"/>
          <w:color w:val="000000"/>
          <w:sz w:val="20"/>
        </w:rPr>
        <w:t xml:space="preserve">Mitigation: Separate version-controlled standards engine and regression test suite</w:t>
      </w:r>
    </w:p>
    <w:p>
      <w:pPr>
        <w:keepNext/>
        <w:spacing w:before="0" w:after="50" w:line="250" w:lineRule="auto"/>
      </w:pPr>
      <w:r>
        <w:rPr>
          <w:rFonts w:ascii="Calibri" w:hAnsi="Calibri"/>
          <w:color w:val="000000"/>
          <w:sz w:val="20"/>
        </w:rPr>
        <w:t xml:space="preserve">Priority: Critical</w:t>
      </w:r>
    </w:p>
    <w:p>
      <w:pPr>
        <w:keepNext/>
        <w:spacing w:before="0" w:after="50" w:line="250" w:lineRule="auto"/>
      </w:pPr>
      <w:r>
        <w:rPr>
          <w:rFonts w:ascii="Calibri" w:hAnsi="Calibri"/>
          <w:color w:val="000000"/>
          <w:sz w:val="20"/>
        </w:rPr>
        <w:t xml:space="preserve">Risk: Regulatory class assumed incorrectly</w:t>
      </w:r>
    </w:p>
    <w:p>
      <w:pPr>
        <w:spacing w:before="0" w:after="50" w:line="250" w:lineRule="auto"/>
      </w:pPr>
      <w:r>
        <w:rPr>
          <w:rFonts w:ascii="Calibri" w:hAnsi="Calibri"/>
          <w:color w:val="000000"/>
          <w:sz w:val="20"/>
        </w:rPr>
        <w:t xml:space="preserve">Severity: High</w:t>
      </w:r>
    </w:p>
    <w:p>
      <w:pPr>
        <w:spacing w:before="0" w:after="50" w:line="250" w:lineRule="auto"/>
      </w:pPr>
      <w:r>
        <w:rPr>
          <w:rFonts w:ascii="Calibri" w:hAnsi="Calibri"/>
          <w:color w:val="000000"/>
          <w:sz w:val="20"/>
        </w:rPr>
        <w:t xml:space="preserve">Current state: Legacy financial sheet says Class B</w:t>
      </w:r>
    </w:p>
    <w:p>
      <w:pPr>
        <w:spacing w:before="0" w:after="50" w:line="250" w:lineRule="auto"/>
      </w:pPr>
      <w:r>
        <w:rPr>
          <w:rFonts w:ascii="Calibri" w:hAnsi="Calibri"/>
          <w:color w:val="000000"/>
          <w:sz w:val="20"/>
        </w:rPr>
        <w:t xml:space="preserve">Mitigation: Freeze intended use, seek regulatory classification advice/CDSCO route</w:t>
      </w:r>
    </w:p>
    <w:p>
      <w:pPr>
        <w:keepNext/>
        <w:spacing w:before="0" w:after="50" w:line="250" w:lineRule="auto"/>
      </w:pPr>
      <w:r>
        <w:rPr>
          <w:rFonts w:ascii="Calibri" w:hAnsi="Calibri"/>
          <w:color w:val="000000"/>
          <w:sz w:val="20"/>
        </w:rPr>
        <w:t xml:space="preserve">Priority: High</w:t>
      </w:r>
    </w:p>
    <w:p>
      <w:pPr>
        <w:keepNext/>
        <w:spacing w:before="0" w:after="50" w:line="250" w:lineRule="auto"/>
      </w:pPr>
      <w:r>
        <w:rPr>
          <w:rFonts w:ascii="Calibri" w:hAnsi="Calibri"/>
          <w:color w:val="000000"/>
          <w:sz w:val="20"/>
        </w:rPr>
        <w:t xml:space="preserve">Risk: False susceptibility near breakpoint</w:t>
      </w:r>
    </w:p>
    <w:p>
      <w:pPr>
        <w:spacing w:before="0" w:after="50" w:line="250" w:lineRule="auto"/>
      </w:pPr>
      <w:r>
        <w:rPr>
          <w:rFonts w:ascii="Calibri" w:hAnsi="Calibri"/>
          <w:color w:val="000000"/>
          <w:sz w:val="20"/>
        </w:rPr>
        <w:t xml:space="preserve">Severity: Very high</w:t>
      </w:r>
    </w:p>
    <w:p>
      <w:pPr>
        <w:spacing w:before="0" w:after="50" w:line="250" w:lineRule="auto"/>
      </w:pPr>
      <w:r>
        <w:rPr>
          <w:rFonts w:ascii="Calibri" w:hAnsi="Calibri"/>
          <w:color w:val="000000"/>
          <w:sz w:val="20"/>
        </w:rPr>
        <w:t xml:space="preserve">Current state: Unvalidated</w:t>
      </w:r>
    </w:p>
    <w:p>
      <w:pPr>
        <w:spacing w:before="0" w:after="50" w:line="250" w:lineRule="auto"/>
      </w:pPr>
      <w:r>
        <w:rPr>
          <w:rFonts w:ascii="Calibri" w:hAnsi="Calibri"/>
          <w:color w:val="000000"/>
          <w:sz w:val="20"/>
        </w:rPr>
        <w:t xml:space="preserve">Mitigation: uncertainty, abstention, reviewer, error analysis</w:t>
      </w:r>
    </w:p>
    <w:p>
      <w:pPr>
        <w:keepNext/>
        <w:spacing w:before="0" w:after="50" w:line="250" w:lineRule="auto"/>
      </w:pPr>
      <w:r>
        <w:rPr>
          <w:rFonts w:ascii="Calibri" w:hAnsi="Calibri"/>
          <w:color w:val="000000"/>
          <w:sz w:val="20"/>
        </w:rPr>
        <w:t xml:space="preserve">Priority: High</w:t>
      </w:r>
    </w:p>
    <w:p>
      <w:pPr>
        <w:keepNext/>
        <w:spacing w:before="0" w:after="50" w:line="250" w:lineRule="auto"/>
      </w:pPr>
      <w:r>
        <w:rPr>
          <w:rFonts w:ascii="Calibri" w:hAnsi="Calibri"/>
          <w:color w:val="000000"/>
          <w:sz w:val="20"/>
        </w:rPr>
        <w:t xml:space="preserve">Risk: Financial assumptions conflict with the selected product scope</w:t>
      </w:r>
    </w:p>
    <w:p>
      <w:pPr>
        <w:spacing w:before="0" w:after="50" w:line="250" w:lineRule="auto"/>
      </w:pPr>
      <w:r>
        <w:rPr>
          <w:rFonts w:ascii="Calibri" w:hAnsi="Calibri"/>
          <w:color w:val="000000"/>
          <w:sz w:val="20"/>
        </w:rPr>
        <w:t xml:space="preserve">Severity: High</w:t>
      </w:r>
    </w:p>
    <w:p>
      <w:pPr>
        <w:spacing w:before="0" w:after="50" w:line="250" w:lineRule="auto"/>
      </w:pPr>
      <w:r>
        <w:rPr>
          <w:rFonts w:ascii="Calibri" w:hAnsi="Calibri"/>
          <w:color w:val="000000"/>
          <w:sz w:val="20"/>
        </w:rPr>
        <w:t xml:space="preserve">Current state: ₹5 crore legacy scenario vs ₹10 lakh current programme</w:t>
      </w:r>
    </w:p>
    <w:p>
      <w:pPr>
        <w:spacing w:before="0" w:after="50" w:line="250" w:lineRule="auto"/>
      </w:pPr>
      <w:r>
        <w:rPr>
          <w:rFonts w:ascii="Calibri" w:hAnsi="Calibri"/>
          <w:color w:val="000000"/>
          <w:sz w:val="20"/>
        </w:rPr>
        <w:t xml:space="preserve">Mitigation: Relabel and rebuild financial model</w:t>
      </w:r>
    </w:p>
    <w:p>
      <w:pPr>
        <w:keepNext/>
        <w:spacing w:before="0" w:after="50" w:line="250" w:lineRule="auto"/>
      </w:pPr>
      <w:r>
        <w:rPr>
          <w:rFonts w:ascii="Calibri" w:hAnsi="Calibri"/>
          <w:color w:val="000000"/>
          <w:sz w:val="20"/>
        </w:rPr>
        <w:t xml:space="preserve">Priority: High</w:t>
      </w:r>
    </w:p>
    <w:p>
      <w:pPr>
        <w:keepNext/>
        <w:spacing w:before="0" w:after="50" w:line="250" w:lineRule="auto"/>
      </w:pPr>
      <w:r>
        <w:rPr>
          <w:rFonts w:ascii="Calibri" w:hAnsi="Calibri"/>
          <w:color w:val="000000"/>
          <w:sz w:val="20"/>
        </w:rPr>
        <w:t xml:space="preserve">Risk: AI novelty overestimated</w:t>
      </w:r>
    </w:p>
    <w:p>
      <w:pPr>
        <w:spacing w:before="0" w:after="50" w:line="250" w:lineRule="auto"/>
      </w:pPr>
      <w:r>
        <w:rPr>
          <w:rFonts w:ascii="Calibri" w:hAnsi="Calibri"/>
          <w:color w:val="000000"/>
          <w:sz w:val="20"/>
        </w:rPr>
        <w:t xml:space="preserve">Severity: High</w:t>
      </w:r>
    </w:p>
    <w:p>
      <w:pPr>
        <w:spacing w:before="0" w:after="50" w:line="250" w:lineRule="auto"/>
      </w:pPr>
      <w:r>
        <w:rPr>
          <w:rFonts w:ascii="Calibri" w:hAnsi="Calibri"/>
          <w:color w:val="000000"/>
          <w:sz w:val="20"/>
        </w:rPr>
        <w:t xml:space="preserve">Current state: Published/open alternatives exist</w:t>
      </w:r>
    </w:p>
    <w:p>
      <w:pPr>
        <w:spacing w:before="0" w:after="50" w:line="250" w:lineRule="auto"/>
      </w:pPr>
      <w:r>
        <w:rPr>
          <w:rFonts w:ascii="Calibri" w:hAnsi="Calibri"/>
          <w:color w:val="000000"/>
          <w:sz w:val="20"/>
        </w:rPr>
        <w:t xml:space="preserve">Mitigation: Build moat around metrology/data/workflow/regulatory evidence</w:t>
      </w:r>
    </w:p>
    <w:p>
      <w:pPr>
        <w:keepNext/>
        <w:spacing w:before="0" w:after="50" w:line="250" w:lineRule="auto"/>
      </w:pPr>
      <w:r>
        <w:rPr>
          <w:rFonts w:ascii="Calibri" w:hAnsi="Calibri"/>
          <w:color w:val="000000"/>
          <w:sz w:val="20"/>
        </w:rPr>
        <w:t xml:space="preserve">Priority: High</w:t>
      </w:r>
    </w:p>
    <w:p>
      <w:pPr>
        <w:keepNext/>
        <w:spacing w:before="0" w:after="50" w:line="250" w:lineRule="auto"/>
      </w:pPr>
      <w:r>
        <w:rPr>
          <w:rFonts w:ascii="Calibri" w:hAnsi="Calibri"/>
          <w:color w:val="000000"/>
          <w:sz w:val="20"/>
        </w:rPr>
        <w:t xml:space="preserve">Risk: CLSI content licensing</w:t>
      </w:r>
    </w:p>
    <w:p>
      <w:pPr>
        <w:spacing w:before="0" w:after="50" w:line="250" w:lineRule="auto"/>
      </w:pPr>
      <w:r>
        <w:rPr>
          <w:rFonts w:ascii="Calibri" w:hAnsi="Calibri"/>
          <w:color w:val="000000"/>
          <w:sz w:val="20"/>
        </w:rPr>
        <w:t xml:space="preserve">Severity: Medium-high</w:t>
      </w:r>
    </w:p>
    <w:p>
      <w:pPr>
        <w:spacing w:before="0" w:after="50" w:line="250" w:lineRule="auto"/>
      </w:pPr>
      <w:r>
        <w:rPr>
          <w:rFonts w:ascii="Calibri" w:hAnsi="Calibri"/>
          <w:color w:val="000000"/>
          <w:sz w:val="20"/>
        </w:rPr>
        <w:t xml:space="preserve">Current state: Not yet closed</w:t>
      </w:r>
    </w:p>
    <w:p>
      <w:pPr>
        <w:spacing w:before="0" w:after="50" w:line="250" w:lineRule="auto"/>
      </w:pPr>
      <w:r>
        <w:rPr>
          <w:rFonts w:ascii="Calibri" w:hAnsi="Calibri"/>
          <w:color w:val="000000"/>
          <w:sz w:val="20"/>
        </w:rPr>
        <w:t xml:space="preserve">Mitigation: Formal content/licensing review</w:t>
      </w:r>
    </w:p>
    <w:p>
      <w:pPr>
        <w:keepNext/>
        <w:spacing w:before="0" w:after="50" w:line="250" w:lineRule="auto"/>
      </w:pPr>
      <w:r>
        <w:rPr>
          <w:rFonts w:ascii="Calibri" w:hAnsi="Calibri"/>
          <w:color w:val="000000"/>
          <w:sz w:val="20"/>
        </w:rPr>
        <w:t xml:space="preserve">Priority: High</w:t>
      </w:r>
    </w:p>
    <w:p>
      <w:pPr>
        <w:keepNext/>
        <w:spacing w:before="0" w:after="50" w:line="250" w:lineRule="auto"/>
      </w:pPr>
      <w:r>
        <w:rPr>
          <w:rFonts w:ascii="Calibri" w:hAnsi="Calibri"/>
          <w:color w:val="000000"/>
          <w:sz w:val="20"/>
        </w:rPr>
        <w:t xml:space="preserve">Risk: Public duplicate deck remains editable outside control</w:t>
      </w:r>
    </w:p>
    <w:p>
      <w:pPr>
        <w:spacing w:before="0" w:after="50" w:line="250" w:lineRule="auto"/>
      </w:pPr>
      <w:r>
        <w:rPr>
          <w:rFonts w:ascii="Calibri" w:hAnsi="Calibri"/>
          <w:color w:val="000000"/>
          <w:sz w:val="20"/>
        </w:rPr>
        <w:t xml:space="preserve">Severity: Medium</w:t>
      </w:r>
    </w:p>
    <w:p>
      <w:pPr>
        <w:spacing w:before="0" w:after="50" w:line="250" w:lineRule="auto"/>
      </w:pPr>
      <w:r>
        <w:rPr>
          <w:rFonts w:ascii="Calibri" w:hAnsi="Calibri"/>
          <w:color w:val="000000"/>
          <w:sz w:val="20"/>
        </w:rPr>
        <w:t xml:space="preserve">Current state: Permission-blocked exact duplicate</w:t>
      </w:r>
    </w:p>
    <w:p>
      <w:pPr>
        <w:spacing w:before="0" w:after="50" w:line="250" w:lineRule="auto"/>
      </w:pPr>
      <w:r>
        <w:rPr>
          <w:rFonts w:ascii="Calibri" w:hAnsi="Calibri"/>
          <w:color w:val="000000"/>
          <w:sz w:val="20"/>
        </w:rPr>
        <w:t xml:space="preserve">Mitigation: Owning account must revoke/delete</w:t>
      </w:r>
    </w:p>
    <w:p>
      <w:pPr>
        <w:keepNext/>
        <w:spacing w:before="0" w:after="50" w:line="250" w:lineRule="auto"/>
      </w:pPr>
      <w:r>
        <w:rPr>
          <w:rFonts w:ascii="Calibri" w:hAnsi="Calibri"/>
          <w:color w:val="000000"/>
          <w:sz w:val="20"/>
        </w:rPr>
        <w:t xml:space="preserve">Priority: Medium</w:t>
      </w:r>
    </w:p>
    <w:p>
      <w:pPr>
        <w:keepNext/>
        <w:spacing w:before="0" w:after="50" w:line="250" w:lineRule="auto"/>
      </w:pPr>
      <w:r>
        <w:rPr>
          <w:rFonts w:ascii="Calibri" w:hAnsi="Calibri"/>
          <w:color w:val="000000"/>
          <w:sz w:val="20"/>
        </w:rPr>
        <w:t xml:space="preserve">Risk: Excess sensors consume budget and distract validation</w:t>
      </w:r>
    </w:p>
    <w:p>
      <w:pPr>
        <w:spacing w:before="0" w:after="50" w:line="250" w:lineRule="auto"/>
      </w:pPr>
      <w:r>
        <w:rPr>
          <w:rFonts w:ascii="Calibri" w:hAnsi="Calibri"/>
          <w:color w:val="000000"/>
          <w:sz w:val="20"/>
        </w:rPr>
        <w:t xml:space="preserve">Severity: Medium-high</w:t>
      </w:r>
    </w:p>
    <w:p>
      <w:pPr>
        <w:spacing w:before="0" w:after="50" w:line="250" w:lineRule="auto"/>
      </w:pPr>
      <w:r>
        <w:rPr>
          <w:rFonts w:ascii="Calibri" w:hAnsi="Calibri"/>
          <w:color w:val="000000"/>
          <w:sz w:val="20"/>
        </w:rPr>
        <w:t xml:space="preserve">Current state: BME688/ToF/load-cell/NIR in concept</w:t>
      </w:r>
    </w:p>
    <w:p>
      <w:pPr>
        <w:spacing w:before="0" w:after="50" w:line="250" w:lineRule="auto"/>
      </w:pPr>
      <w:r>
        <w:rPr>
          <w:rFonts w:ascii="Calibri" w:hAnsi="Calibri"/>
          <w:color w:val="000000"/>
          <w:sz w:val="20"/>
        </w:rPr>
        <w:t xml:space="preserve">Mitigation: Strip v1 to highest-value components</w:t>
      </w:r>
    </w:p>
    <w:p>
      <w:pPr>
        <w:keepNext/>
        <w:spacing w:before="0" w:after="50" w:line="250" w:lineRule="auto"/>
      </w:pPr>
      <w:r>
        <w:rPr>
          <w:rFonts w:ascii="Calibri" w:hAnsi="Calibri"/>
          <w:color w:val="000000"/>
          <w:sz w:val="20"/>
        </w:rPr>
        <w:t xml:space="preserve">Priority: Medium</w:t>
      </w:r>
    </w:p>
    <w:p>
      <w:pPr>
        <w:keepNext/>
        <w:spacing w:before="0" w:after="50" w:line="250" w:lineRule="auto"/>
      </w:pPr>
      <w:r>
        <w:rPr>
          <w:rFonts w:ascii="Calibri" w:hAnsi="Calibri"/>
          <w:color w:val="000000"/>
          <w:sz w:val="20"/>
        </w:rPr>
        <w:t xml:space="preserve">Risk: Cloud dependency conflicts with offline positioning</w:t>
      </w:r>
    </w:p>
    <w:p>
      <w:pPr>
        <w:spacing w:before="0" w:after="50" w:line="250" w:lineRule="auto"/>
      </w:pPr>
      <w:r>
        <w:rPr>
          <w:rFonts w:ascii="Calibri" w:hAnsi="Calibri"/>
          <w:color w:val="000000"/>
          <w:sz w:val="20"/>
        </w:rPr>
        <w:t xml:space="preserve">Severity: Medium</w:t>
      </w:r>
    </w:p>
    <w:p>
      <w:pPr>
        <w:spacing w:before="0" w:after="50" w:line="250" w:lineRule="auto"/>
      </w:pPr>
      <w:r>
        <w:rPr>
          <w:rFonts w:ascii="Calibri" w:hAnsi="Calibri"/>
          <w:color w:val="000000"/>
          <w:sz w:val="20"/>
        </w:rPr>
        <w:t xml:space="preserve">Current state: HIVE/AWS future concepts</w:t>
      </w:r>
    </w:p>
    <w:p>
      <w:pPr>
        <w:spacing w:before="0" w:after="50" w:line="250" w:lineRule="auto"/>
      </w:pPr>
      <w:r>
        <w:rPr>
          <w:rFonts w:ascii="Calibri" w:hAnsi="Calibri"/>
          <w:color w:val="000000"/>
          <w:sz w:val="20"/>
        </w:rPr>
        <w:t xml:space="preserve">Mitigation: Keep core inference/rules/report local</w:t>
      </w:r>
    </w:p>
    <w:p>
      <w:pPr>
        <w:keepNext/>
        <w:spacing w:before="0" w:after="50" w:line="250" w:lineRule="auto"/>
      </w:pPr>
      <w:r>
        <w:rPr>
          <w:rFonts w:ascii="Calibri" w:hAnsi="Calibri"/>
          <w:color w:val="000000"/>
          <w:sz w:val="20"/>
        </w:rPr>
        <w:t xml:space="preserve">Priority: Medium</w:t>
      </w:r>
    </w:p>
    <w:p>
      <w:pPr>
        <w:keepNext/>
        <w:spacing w:before="0" w:after="50" w:line="250" w:lineRule="auto"/>
      </w:pPr>
      <w:r>
        <w:rPr>
          <w:rFonts w:ascii="Calibri" w:hAnsi="Calibri"/>
          <w:color w:val="000000"/>
          <w:sz w:val="20"/>
        </w:rPr>
        <w:t xml:space="preserve">Risk: One Health expansion dilutes human AST programme</w:t>
      </w:r>
    </w:p>
    <w:p>
      <w:pPr>
        <w:spacing w:before="0" w:after="50" w:line="250" w:lineRule="auto"/>
      </w:pPr>
      <w:r>
        <w:rPr>
          <w:rFonts w:ascii="Calibri" w:hAnsi="Calibri"/>
          <w:color w:val="000000"/>
          <w:sz w:val="20"/>
        </w:rPr>
        <w:t xml:space="preserve">Severity: Medium</w:t>
      </w:r>
    </w:p>
    <w:p>
      <w:pPr>
        <w:spacing w:before="0" w:after="50" w:line="250" w:lineRule="auto"/>
      </w:pPr>
      <w:r>
        <w:rPr>
          <w:rFonts w:ascii="Calibri" w:hAnsi="Calibri"/>
          <w:color w:val="000000"/>
          <w:sz w:val="20"/>
        </w:rPr>
        <w:t xml:space="preserve">Current state: Multiple historical use cases</w:t>
      </w:r>
    </w:p>
    <w:p>
      <w:pPr>
        <w:spacing w:before="0" w:after="50" w:line="250" w:lineRule="auto"/>
      </w:pPr>
      <w:r>
        <w:rPr>
          <w:rFonts w:ascii="Calibri" w:hAnsi="Calibri"/>
          <w:color w:val="000000"/>
          <w:sz w:val="20"/>
        </w:rPr>
        <w:t xml:space="preserve">Mitigation: Stage expansion only after clinical workflow proof</w:t>
      </w:r>
    </w:p>
    <w:p>
      <w:pPr>
        <w:pStyle w:val="Heading1"/>
        <w:keepNext/>
        <w:keepLines/>
        <w:pageBreakBefore/>
      </w:pPr>
      <w:bookmarkStart w:id="200001" w:name="P5_chapter_2"/>
      <w:r>
        <w:rPr>
          <w:color w:val="000000"/>
        </w:rPr>
        <w:t>Citation statistics and research coverage</w:t>
      </w:r>
      <w:bookmarkStart w:id="95011" w:name="product_12"/>
      <w:bookmarkEnd w:id="95011"/>
      <w:bookmarkEnd w:id="200001"/>
    </w:p>
    <w:p>
      <w:pPr>
        <w:spacing w:before="0" w:after="50" w:line="250" w:lineRule="auto"/>
      </w:pPr>
      <w:r>
        <w:rPr>
          <w:rFonts w:ascii="Calibri" w:hAnsi="Calibri"/>
          <w:sz w:val="20"/>
        </w:rPr>
        <w:t>This inventory counts the reference endpoints retained for the product narrative, technical compendium and research assessment. Counts describe the evidence catalogue, not completed experiments, unique papers or independently verified findings.</w:t>
      </w:r>
    </w:p>
    <w:p>
      <w:pPr>
        <w:pStyle w:val="Caption"/>
        <w:keepNext/>
      </w:pPr>
      <w:bookmarkStart w:id="97028" w:name="table_16"/>
      <w:r>
        <w:t>Table 16 Reference inventory</w:t>
      </w:r>
      <w:bookmarkEnd w:id="97028"/>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5400"/>
        <w:gridCol w:w="5400"/>
      </w:tblGrid>
      <w:tr>
        <w:trPr>
          <w:cantSplit/>
          <w:tblHeader/>
        </w:trPr>
        <w:tc>
          <w:tcPr>
            <w:tcW w:type="dxa" w:w="792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Metric</w:t>
            </w:r>
          </w:p>
        </w:tc>
        <w:tc>
          <w:tcPr>
            <w:tcW w:type="dxa" w:w="288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Count</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Unique external reference URLs</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233</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Distinct source domains</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67</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Distinct DOI identifiers detected</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43</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Named literature and technical reference entries</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91</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Research audit citation labels resolved to external sources</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40</w:t>
            </w:r>
          </w:p>
        </w:tc>
      </w:tr>
    </w:tbl>
    <w:p>
      <w:pPr>
        <w:pStyle w:val="Heading2"/>
        <w:keepNext/>
        <w:keepLines/>
      </w:pPr>
      <w:r>
        <w:rPr>
          <w:color w:val="000000"/>
        </w:rPr>
        <w:t>Most represented source domains</w:t>
      </w:r>
    </w:p>
    <w:p>
      <w:pPr>
        <w:pStyle w:val="Caption"/>
        <w:keepNext/>
      </w:pPr>
      <w:bookmarkStart w:id="97029" w:name="table_17"/>
      <w:r>
        <w:t>Table 17 External endpoints by source domain</w:t>
      </w:r>
      <w:bookmarkEnd w:id="97029"/>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5400"/>
        <w:gridCol w:w="5400"/>
      </w:tblGrid>
      <w:tr>
        <w:trPr>
          <w:cantSplit/>
          <w:tblHeader/>
        </w:trPr>
        <w:tc>
          <w:tcPr>
            <w:tcW w:type="dxa" w:w="792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Domain</w:t>
            </w:r>
          </w:p>
        </w:tc>
        <w:tc>
          <w:tcPr>
            <w:tcW w:type="dxa" w:w="288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Unique URLs</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doi.org</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43</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www.eucast.org</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25</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clsi.org</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17</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www.who.int</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14</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patents.google.com</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9</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www.isro.gov.in</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www.cdsco.gov.in</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7</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www.paho.org</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6</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www.fda.gov</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www.icmr.gov.in</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5</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africacdc.org</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www.iso.org</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4</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www.accessdata.fda.gov</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w:t>
            </w:r>
          </w:p>
        </w:tc>
      </w:tr>
      <w:tr>
        <w:trPr>
          <w:cantSplit/>
        </w:trPr>
        <w:tc>
          <w:tcPr>
            <w:tcW w:type="dxa" w:w="792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www.cdc.gov</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w:t>
            </w:r>
          </w:p>
        </w:tc>
      </w:tr>
      <w:tr>
        <w:trPr>
          <w:cantSplit/>
        </w:trPr>
        <w:tc>
          <w:tcPr>
            <w:tcW w:type="dxa" w:w="792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ncdc.mohfw.gov.in</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3</w:t>
            </w:r>
          </w:p>
        </w:tc>
      </w:tr>
    </w:tbl>
    <w:p>
      <w:pPr>
        <w:pStyle w:val="Heading2"/>
        <w:keepNext/>
        <w:keepLines/>
      </w:pPr>
      <w:r>
        <w:rPr>
          <w:color w:val="000000"/>
        </w:rPr>
        <w:t>Coverage and limitations</w:t>
      </w:r>
    </w:p>
    <w:p>
      <w:pPr>
        <w:spacing w:before="0" w:after="50" w:line="250" w:lineRule="auto"/>
      </w:pPr>
      <w:r>
        <w:rPr>
          <w:rFonts w:ascii="Calibri" w:hAnsi="Calibri"/>
          <w:sz w:val="20"/>
        </w:rPr>
        <w:t>The catalogue includes microbiology and AST standards, metrology and sensing, AI and data management, peer-reviewed research, regulatory and public-health material, manufacturers, competitors and procurement sources. Multiple pages from one organization are distinct endpoints but not independent corroboration. A DOI is a publication identifier, not a quality score.</w:t>
      </w:r>
    </w:p>
    <w:p>
      <w:pPr>
        <w:spacing w:before="0" w:after="50" w:line="250" w:lineRule="auto"/>
      </w:pPr>
      <w:r>
        <w:rPr>
          <w:rFonts w:ascii="Calibri" w:hAnsi="Calibri"/>
          <w:sz w:val="20"/>
        </w:rPr>
        <w:t>The technical programme still needs project-specific metrology results, independent organism–drug evaluation, error denominators, abstention coverage, cross-site testing, clinical/regulatory review and verified commercial costs. Literature results and vendor specifications cannot fill these gaps. Source access and correctness have not been newly revalidated by this editorial consolidation.</w:t>
      </w:r>
    </w:p>
    <w:p>
      <w:pPr>
        <w:spacing w:before="0" w:after="50" w:line="250" w:lineRule="auto"/>
      </w:pPr>
      <w:r>
        <w:rPr>
          <w:rFonts w:ascii="Calibri" w:hAnsi="Calibri"/>
          <w:sz w:val="20"/>
        </w:rPr>
        <w:t>Maintain this page when evidence changes: add the source to the register, link it to the relevant claim or requirement, revise affected conclusions and recompute counts. Unavailable or unresolved evidence must remain an explicit uncertainty rather than a numerical claim.</w:t>
      </w:r>
    </w:p>
    <w:p>
      <w:pPr>
        <w:pStyle w:val="Heading1"/>
        <w:keepNext/>
        <w:keepLines/>
        <w:pageBreakBefore/>
      </w:pPr>
      <w:bookmarkStart w:id="200002" w:name="P5_chapter_3"/>
      <w:r>
        <w:rPr>
          <w:color w:val="000000"/>
        </w:rPr>
        <w:t>References and source register</w:t>
      </w:r>
      <w:bookmarkStart w:id="95012" w:name="product_13"/>
      <w:bookmarkEnd w:id="95012"/>
      <w:bookmarkEnd w:id="200002"/>
    </w:p>
    <w:p>
      <w:pPr>
        <w:pStyle w:val="Heading2"/>
        <w:keepNext/>
        <w:keepLines/>
      </w:pPr>
      <w:r>
        <w:rPr>
          <w:color w:val="000000"/>
        </w:rPr>
        <w:t>Named literature standards and technical references</w:t>
      </w:r>
    </w:p>
    <w:p>
      <w:pPr>
        <w:spacing w:before="0" w:after="50" w:line="250" w:lineRule="auto"/>
      </w:pPr>
      <w:r>
        <w:rPr>
          <w:rFonts w:ascii="Calibri" w:hAnsi="Calibri"/>
          <w:sz w:val="20"/>
        </w:rPr>
        <w:t>CLSI (2026). Performance Standards for Antimicrobial Susceptibility Testing M100 Edition 36.</w:t>
      </w:r>
    </w:p>
    <w:p>
      <w:pPr>
        <w:spacing w:before="0" w:after="50" w:line="250" w:lineRule="auto"/>
      </w:pPr>
      <w:r>
        <w:rPr>
          <w:rFonts w:ascii="Calibri" w:hAnsi="Calibri"/>
          <w:sz w:val="20"/>
        </w:rPr>
        <w:t>EUCAST (2026). Clinical breakpoint tables version 16.1.</w:t>
      </w:r>
    </w:p>
    <w:p>
      <w:pPr>
        <w:spacing w:before="0" w:after="50" w:line="250" w:lineRule="auto"/>
      </w:pPr>
      <w:r>
        <w:rPr>
          <w:rFonts w:ascii="Calibri" w:hAnsi="Calibri"/>
          <w:sz w:val="20"/>
        </w:rPr>
        <w:t>EUCAST (2026). Disk diffusion and quality control.</w:t>
      </w:r>
    </w:p>
    <w:p>
      <w:pPr>
        <w:spacing w:before="0" w:after="50" w:line="250" w:lineRule="auto"/>
      </w:pPr>
      <w:r>
        <w:rPr>
          <w:rFonts w:ascii="Calibri" w:hAnsi="Calibri"/>
          <w:sz w:val="20"/>
        </w:rPr>
        <w:t>EUCAST (2026). Breakpoints for rapid AST.</w:t>
      </w:r>
    </w:p>
    <w:p>
      <w:pPr>
        <w:spacing w:before="0" w:after="50" w:line="250" w:lineRule="auto"/>
      </w:pPr>
      <w:r>
        <w:rPr>
          <w:rFonts w:ascii="Calibri" w:hAnsi="Calibri"/>
          <w:sz w:val="20"/>
        </w:rPr>
        <w:t>EUCAST (2026). Rapid AST methods and quality control.</w:t>
      </w:r>
    </w:p>
    <w:p>
      <w:pPr>
        <w:spacing w:before="0" w:after="50" w:line="250" w:lineRule="auto"/>
      </w:pPr>
      <w:r>
        <w:rPr>
          <w:rFonts w:ascii="Calibri" w:hAnsi="Calibri"/>
          <w:sz w:val="20"/>
        </w:rPr>
        <w:t>Band VI, Hufnagel DA, Jaggavarapu S, et al. (2019). Antibiotic combinations that exploit heteroresistance to multiple drugs effectively control infection. DOI 10.1038/s41564-019-0480-z.</w:t>
      </w:r>
    </w:p>
    <w:p>
      <w:pPr>
        <w:spacing w:before="0" w:after="50" w:line="250" w:lineRule="auto"/>
      </w:pPr>
      <w:r>
        <w:rPr>
          <w:rFonts w:ascii="Calibri" w:hAnsi="Calibri"/>
          <w:sz w:val="20"/>
        </w:rPr>
        <w:t>Band VI, Crispell EK, Napier BA, et al. (2016). Antibiotic failure mediated by a resistant subpopulation in Enterobacter cloacae. DOI 10.1038/nmicrobiol.2016.53.</w:t>
      </w:r>
    </w:p>
    <w:p>
      <w:pPr>
        <w:spacing w:before="0" w:after="50" w:line="250" w:lineRule="auto"/>
      </w:pPr>
      <w:r>
        <w:rPr>
          <w:rFonts w:ascii="Calibri" w:hAnsi="Calibri"/>
          <w:sz w:val="20"/>
        </w:rPr>
        <w:t>Doijad SP, Gisch N, Frantz R, et al. (2023). Resolving colistin resistance and heteroresistance in Enterobacter species.</w:t>
      </w:r>
    </w:p>
    <w:p>
      <w:pPr>
        <w:spacing w:before="0" w:after="50" w:line="250" w:lineRule="auto"/>
      </w:pPr>
      <w:r>
        <w:rPr>
          <w:rFonts w:ascii="Calibri" w:hAnsi="Calibri"/>
          <w:sz w:val="20"/>
        </w:rPr>
        <w:t>Balaban NQ, Helaine S, Lewis K, et al. (2019). Definitions and guidelines for research on antibiotic persistence.</w:t>
      </w:r>
    </w:p>
    <w:p>
      <w:pPr>
        <w:spacing w:before="0" w:after="50" w:line="250" w:lineRule="auto"/>
      </w:pPr>
      <w:r>
        <w:rPr>
          <w:rFonts w:ascii="Calibri" w:hAnsi="Calibri"/>
          <w:sz w:val="20"/>
        </w:rPr>
        <w:t>Baltekin Ö, Boucharin A, Tano E, Andersson DI, Elf J (2017). Antibiotic susceptibility testing in less than 30 min using direct single-cell imaging. Proc Natl Acad Sci U S A 114:9170-9175. DOI 10.1073/pnas.1708558114.</w:t>
      </w:r>
    </w:p>
    <w:p>
      <w:pPr>
        <w:spacing w:before="0" w:after="50" w:line="250" w:lineRule="auto"/>
      </w:pPr>
      <w:r>
        <w:rPr>
          <w:rFonts w:ascii="Calibri" w:hAnsi="Calibri"/>
          <w:sz w:val="20"/>
        </w:rPr>
        <w:t>Ciftci F, Erarslan A, Rahebi J (2026). Automatic detection and quantification of antimicrobial inhibition zones using YOLO11n with post-hoc interpretability validation. Front Microbiol 17:1810754. DOI 10.3389/fmicb.2026.1810754.</w:t>
      </w:r>
    </w:p>
    <w:p>
      <w:pPr>
        <w:spacing w:before="0" w:after="50" w:line="250" w:lineRule="auto"/>
      </w:pPr>
      <w:r>
        <w:rPr>
          <w:rFonts w:ascii="Calibri" w:hAnsi="Calibri"/>
          <w:sz w:val="20"/>
        </w:rPr>
        <w:t>Thomas P, Terradot G, Danos V, Weiße AY (2018). Sources propagation and consequences of stochasticity in cellular growth. DOI 10.1038/s41467-018-06912-9.</w:t>
      </w:r>
    </w:p>
    <w:p>
      <w:pPr>
        <w:spacing w:before="0" w:after="50" w:line="250" w:lineRule="auto"/>
      </w:pPr>
      <w:r>
        <w:rPr>
          <w:rFonts w:ascii="Calibri" w:hAnsi="Calibri"/>
          <w:sz w:val="20"/>
        </w:rPr>
        <w:t>Kupke J, Brombach J, Fang Y, et al. (2025). Heteroresistance in Enterobacter cloacae complex caused by variation in transient gene amplification events. DOI 10.1038/s44259-025-00082-7.</w:t>
      </w:r>
    </w:p>
    <w:p>
      <w:pPr>
        <w:spacing w:before="0" w:after="50" w:line="250" w:lineRule="auto"/>
      </w:pPr>
      <w:r>
        <w:rPr>
          <w:rFonts w:ascii="Calibri" w:hAnsi="Calibri"/>
          <w:sz w:val="20"/>
        </w:rPr>
        <w:t>Wei C, Wu J, Zhang J, et al. (2025). Clinical characteristics, molecular epidemiology and mechanisms of colistin heteroresistance in Enterobacter cloacae complex. DOI 10.3389/fcimb.2025.1536058.</w:t>
      </w:r>
    </w:p>
    <w:p>
      <w:pPr>
        <w:spacing w:before="0" w:after="50" w:line="250" w:lineRule="auto"/>
      </w:pPr>
      <w:r>
        <w:rPr>
          <w:rFonts w:ascii="Calibri" w:hAnsi="Calibri"/>
          <w:sz w:val="20"/>
        </w:rPr>
        <w:t>Hombach M, Zbinden R, Böttger EC (2013). Standardisation of disk diffusion results for antibiotic susceptibility testing using the sirscan automated zone reader. DOI 10.1186/1471-2180-13-225.</w:t>
      </w:r>
    </w:p>
    <w:p>
      <w:pPr>
        <w:spacing w:before="0" w:after="50" w:line="250" w:lineRule="auto"/>
      </w:pPr>
      <w:r>
        <w:rPr>
          <w:rFonts w:ascii="Calibri" w:hAnsi="Calibri"/>
          <w:sz w:val="20"/>
        </w:rPr>
        <w:t>Hombach M, Ochoa C, Maurer FP, et al. (2016). Relative contribution of biological variation and technical variables to zone diameter variations of disc diffusion susceptibility testing. DOI 10.1093/jac/dkv309.</w:t>
      </w:r>
    </w:p>
    <w:p>
      <w:pPr>
        <w:spacing w:before="0" w:after="50" w:line="250" w:lineRule="auto"/>
      </w:pPr>
      <w:r>
        <w:rPr>
          <w:rFonts w:ascii="Calibri" w:hAnsi="Calibri"/>
          <w:sz w:val="20"/>
        </w:rPr>
        <w:t>CLSI (2026). M100 Edition 36 correction notice, Table 2H-1, 9 July 2026.</w:t>
      </w:r>
    </w:p>
    <w:p>
      <w:pPr>
        <w:spacing w:before="0" w:after="50" w:line="250" w:lineRule="auto"/>
      </w:pPr>
      <w:r>
        <w:rPr>
          <w:rFonts w:ascii="Calibri" w:hAnsi="Calibri"/>
          <w:sz w:val="20"/>
        </w:rPr>
        <w:t>European Machine Vision Association (2021). EMVA 1288 Standard for characterization of image sensors and cameras.</w:t>
      </w:r>
    </w:p>
    <w:p>
      <w:pPr>
        <w:spacing w:before="0" w:after="50" w:line="250" w:lineRule="auto"/>
      </w:pPr>
      <w:r>
        <w:rPr>
          <w:rFonts w:ascii="Calibri" w:hAnsi="Calibri"/>
          <w:sz w:val="20"/>
        </w:rPr>
        <w:t>Edmund Optics (undated). Advantages of telecentricity.</w:t>
      </w:r>
    </w:p>
    <w:p>
      <w:pPr>
        <w:spacing w:before="0" w:after="50" w:line="250" w:lineRule="auto"/>
      </w:pPr>
      <w:r>
        <w:rPr>
          <w:rFonts w:ascii="Calibri" w:hAnsi="Calibri"/>
          <w:sz w:val="20"/>
        </w:rPr>
        <w:t>JCGM BIPM (2008). Evaluation of measurement data Guide to the expression of uncertainty in measurement.</w:t>
      </w:r>
    </w:p>
    <w:p>
      <w:pPr>
        <w:spacing w:before="0" w:after="50" w:line="250" w:lineRule="auto"/>
      </w:pPr>
      <w:r>
        <w:rPr>
          <w:rFonts w:ascii="Calibri" w:hAnsi="Calibri"/>
          <w:sz w:val="20"/>
        </w:rPr>
        <w:t>Bosch Sensortec (undated). Gas sensors and application software.</w:t>
      </w:r>
    </w:p>
    <w:p>
      <w:pPr>
        <w:spacing w:before="0" w:after="50" w:line="250" w:lineRule="auto"/>
      </w:pPr>
      <w:r>
        <w:rPr>
          <w:rFonts w:ascii="Calibri" w:hAnsi="Calibri"/>
          <w:sz w:val="20"/>
        </w:rPr>
        <w:t>Bosch Sensortec (undated). BME690 data sheet.</w:t>
      </w:r>
    </w:p>
    <w:p>
      <w:pPr>
        <w:spacing w:before="0" w:after="50" w:line="250" w:lineRule="auto"/>
      </w:pPr>
      <w:r>
        <w:rPr>
          <w:rFonts w:ascii="Calibri" w:hAnsi="Calibri"/>
          <w:sz w:val="20"/>
        </w:rPr>
        <w:t>STMicroelectronics (undated). VL53L8CX multizone time of flight ranging sensor.</w:t>
      </w:r>
    </w:p>
    <w:p>
      <w:pPr>
        <w:spacing w:before="0" w:after="50" w:line="250" w:lineRule="auto"/>
      </w:pPr>
      <w:r>
        <w:rPr>
          <w:rFonts w:ascii="Calibri" w:hAnsi="Calibri"/>
          <w:sz w:val="20"/>
        </w:rPr>
        <w:t>Analog Devices (undated). Analog front end design considerations for RTD ratiometric measurements.</w:t>
      </w:r>
    </w:p>
    <w:p>
      <w:pPr>
        <w:spacing w:before="0" w:after="50" w:line="250" w:lineRule="auto"/>
      </w:pPr>
      <w:r>
        <w:rPr>
          <w:rFonts w:ascii="Calibri" w:hAnsi="Calibri"/>
          <w:sz w:val="20"/>
        </w:rPr>
        <w:t>Spencer DC, Paton TF, Mulroney KT, Inglis TJJ, Sutton JM, Morgan H (2020). A fast impedance-based antimicrobial susceptibility test. Nat Commun 11:5328. DOI 10.1038/s41467-020-18902-x.</w:t>
      </w:r>
    </w:p>
    <w:p>
      <w:pPr>
        <w:spacing w:before="0" w:after="50" w:line="250" w:lineRule="auto"/>
      </w:pPr>
      <w:r>
        <w:rPr>
          <w:rFonts w:ascii="Calibri" w:hAnsi="Calibri"/>
          <w:sz w:val="20"/>
        </w:rPr>
        <w:t>Yang Y, Gupta K, Ekinci KL (2020). All-electrical monitoring of bacterial antibiotic susceptibility in a microfluidic device. Proc Natl Acad Sci U S A 117:10639-10644. DOI 10.1073/pnas.1922172117.</w:t>
      </w:r>
    </w:p>
    <w:p>
      <w:pPr>
        <w:spacing w:before="0" w:after="50" w:line="250" w:lineRule="auto"/>
      </w:pPr>
      <w:r>
        <w:rPr>
          <w:rFonts w:ascii="Calibri" w:hAnsi="Calibri"/>
          <w:sz w:val="20"/>
        </w:rPr>
        <w:t>Swami P, Verma G, Holani A, Kamaraju S, Manchanda V, Sritharan V, Gupta S (2022). Rapid antimicrobial susceptibility profiling using impedance spectroscopy. Biosens Bioelectron 200:113876. DOI 10.1016/j.bios.2021.113876.</w:t>
      </w:r>
    </w:p>
    <w:p>
      <w:pPr>
        <w:spacing w:before="0" w:after="50" w:line="250" w:lineRule="auto"/>
      </w:pPr>
      <w:r>
        <w:rPr>
          <w:rFonts w:ascii="Calibri" w:hAnsi="Calibri"/>
          <w:sz w:val="20"/>
        </w:rPr>
        <w:t>Pitruzzello G, Johnson S, Krauss TF (2023). Exploring the fundamental limit of antimicrobial susceptibility by near-single-cell electrical impedance spectroscopy. Biosens Bioelectron 224:115056. DOI 10.1016/j.bios.2022.115056.</w:t>
      </w:r>
    </w:p>
    <w:p>
      <w:pPr>
        <w:spacing w:before="0" w:after="50" w:line="250" w:lineRule="auto"/>
      </w:pPr>
      <w:r>
        <w:rPr>
          <w:rFonts w:ascii="Calibri" w:hAnsi="Calibri"/>
          <w:sz w:val="20"/>
        </w:rPr>
        <w:t>Balmages I, Reinis A, Kistkins S, Bliznuks D, Plorina EV, Lihachev A, Lihacova I (2023). Laser speckle imaging for visualization of hidden effects for early detection of antibacterial susceptibility in disc diffusion tests. Front Microbiol 14:1221134. DOI 10.3389/fmicb.2023.1221134.</w:t>
      </w:r>
    </w:p>
    <w:p>
      <w:pPr>
        <w:spacing w:before="0" w:after="50" w:line="250" w:lineRule="auto"/>
      </w:pPr>
      <w:r>
        <w:rPr>
          <w:rFonts w:ascii="Calibri" w:hAnsi="Calibri"/>
          <w:sz w:val="20"/>
        </w:rPr>
        <w:t>Kim D, Moon S, Lee J, Cho K, Lee C, Yoon J (2025). Light scattering-based screening method for rapid evaluating antibiotic effects on bacteria using laser speckle imaging. J Biol Eng 19:68. DOI 10.1186/s13036-025-00542-8.</w:t>
      </w:r>
    </w:p>
    <w:p>
      <w:pPr>
        <w:spacing w:before="0" w:after="50" w:line="250" w:lineRule="auto"/>
      </w:pPr>
      <w:r>
        <w:rPr>
          <w:rFonts w:ascii="Calibri" w:hAnsi="Calibri"/>
          <w:sz w:val="20"/>
        </w:rPr>
        <w:t>Lu W, Li H, Qiu H, Wang L, Feng J, Fu YV (2023). Identification of pathogens and detection of antibiotic susceptibility at single-cell resolution by Raman spectroscopy combined with machine learning. Front Microbiol 13:1076965. DOI 10.3389/fmicb.2022.1076965. Published 4 January 2023 in volume13 (2022).</w:t>
      </w:r>
    </w:p>
    <w:p>
      <w:pPr>
        <w:spacing w:before="0" w:after="50" w:line="250" w:lineRule="auto"/>
      </w:pPr>
      <w:r>
        <w:rPr>
          <w:rFonts w:ascii="Calibri" w:hAnsi="Calibri"/>
          <w:sz w:val="20"/>
        </w:rPr>
        <w:t>Christensen MH, Jakobsen TH, Lichtenberg M, Hertz FB, Dahl B, Bjarnsholt T (2024). Antimicrobial susceptibility testing of bone and joint pathogens using isothermal microcalorimetry. APMIS 132:814-823. DOI 10.1111/apm.13470.</w:t>
      </w:r>
    </w:p>
    <w:p>
      <w:pPr>
        <w:spacing w:before="0" w:after="50" w:line="250" w:lineRule="auto"/>
      </w:pPr>
      <w:r>
        <w:rPr>
          <w:rFonts w:ascii="Calibri" w:hAnsi="Calibri"/>
          <w:sz w:val="20"/>
        </w:rPr>
        <w:t>Edmund Optics (undated). Hyperspectral and multispectral imaging.</w:t>
      </w:r>
    </w:p>
    <w:p>
      <w:pPr>
        <w:spacing w:before="0" w:after="50" w:line="250" w:lineRule="auto"/>
      </w:pPr>
      <w:r>
        <w:rPr>
          <w:rFonts w:ascii="Calibri" w:hAnsi="Calibri"/>
          <w:sz w:val="20"/>
        </w:rPr>
        <w:t>Hamamatsu Photonics (undated). Fluorescence lifetime imaging microscopy.</w:t>
      </w:r>
    </w:p>
    <w:p>
      <w:pPr>
        <w:spacing w:before="0" w:after="50" w:line="250" w:lineRule="auto"/>
      </w:pPr>
      <w:r>
        <w:rPr>
          <w:rFonts w:ascii="Calibri" w:hAnsi="Calibri"/>
          <w:sz w:val="20"/>
        </w:rPr>
        <w:t>Thorlabs (undated). Optical coherence tomography tutorial.</w:t>
      </w:r>
    </w:p>
    <w:p>
      <w:pPr>
        <w:spacing w:before="0" w:after="50" w:line="250" w:lineRule="auto"/>
      </w:pPr>
      <w:r>
        <w:rPr>
          <w:rFonts w:ascii="Calibri" w:hAnsi="Calibri"/>
          <w:sz w:val="20"/>
        </w:rPr>
        <w:t>US FDA and IMDRF (2025). Good machine learning practice for medical device development Guiding principles.</w:t>
      </w:r>
    </w:p>
    <w:p>
      <w:pPr>
        <w:spacing w:before="0" w:after="50" w:line="250" w:lineRule="auto"/>
      </w:pPr>
      <w:r>
        <w:rPr>
          <w:rFonts w:ascii="Calibri" w:hAnsi="Calibri"/>
          <w:sz w:val="20"/>
        </w:rPr>
        <w:t>US FDA (2024). Transparency for machine learning enabled medical devices Guiding principles.</w:t>
      </w:r>
    </w:p>
    <w:p>
      <w:pPr>
        <w:spacing w:before="0" w:after="50" w:line="250" w:lineRule="auto"/>
      </w:pPr>
      <w:r>
        <w:rPr>
          <w:rFonts w:ascii="Calibri" w:hAnsi="Calibri"/>
          <w:sz w:val="20"/>
        </w:rPr>
        <w:t>NIST (2023). Artificial Intelligence Risk Management Framework AI RMF 1.0.</w:t>
      </w:r>
    </w:p>
    <w:p>
      <w:pPr>
        <w:spacing w:before="0" w:after="50" w:line="250" w:lineRule="auto"/>
      </w:pPr>
      <w:r>
        <w:rPr>
          <w:rFonts w:ascii="Calibri" w:hAnsi="Calibri"/>
          <w:sz w:val="20"/>
        </w:rPr>
        <w:t>CARD McMaster University (undated). Comprehensive Antibiotic Resistance Database.</w:t>
      </w:r>
    </w:p>
    <w:p>
      <w:pPr>
        <w:spacing w:before="0" w:after="50" w:line="250" w:lineRule="auto"/>
      </w:pPr>
      <w:r>
        <w:rPr>
          <w:rFonts w:ascii="Calibri" w:hAnsi="Calibri"/>
          <w:sz w:val="20"/>
        </w:rPr>
        <w:t>NCBI (undated). Pathogen Detection help documentation.</w:t>
      </w:r>
    </w:p>
    <w:p>
      <w:pPr>
        <w:spacing w:before="0" w:after="50" w:line="250" w:lineRule="auto"/>
      </w:pPr>
      <w:r>
        <w:rPr>
          <w:rFonts w:ascii="Calibri" w:hAnsi="Calibri"/>
          <w:sz w:val="20"/>
        </w:rPr>
        <w:t>US FDA (2026). Cybersecurity in Medical Devices Quality Management System Considerations and Content of Premarket Submissions.</w:t>
      </w:r>
    </w:p>
    <w:p>
      <w:pPr>
        <w:spacing w:before="0" w:after="50" w:line="250" w:lineRule="auto"/>
      </w:pPr>
      <w:r>
        <w:rPr>
          <w:rFonts w:ascii="Calibri" w:hAnsi="Calibri"/>
          <w:sz w:val="20"/>
        </w:rPr>
        <w:t>IEC (2015). IEC 62304 2006 with Amendment 1 2015 Medical device software Software life cycle processes.</w:t>
      </w:r>
    </w:p>
    <w:p>
      <w:pPr>
        <w:spacing w:before="0" w:after="50" w:line="250" w:lineRule="auto"/>
      </w:pPr>
      <w:r>
        <w:rPr>
          <w:rFonts w:ascii="Calibri" w:hAnsi="Calibri"/>
          <w:sz w:val="20"/>
        </w:rPr>
        <w:t>IEC (2021 corrected 2025). IEC 81001 5 1 2021 Health software and health IT systems safety effectiveness and security Security activities in the product life cycle.</w:t>
      </w:r>
    </w:p>
    <w:p>
      <w:pPr>
        <w:spacing w:before="0" w:after="50" w:line="250" w:lineRule="auto"/>
      </w:pPr>
      <w:r>
        <w:rPr>
          <w:rFonts w:ascii="Calibri" w:hAnsi="Calibri"/>
          <w:sz w:val="20"/>
        </w:rPr>
        <w:t>US Food and Drug Administration (2023). Assessing the Credibility of Computational Modeling and Simulation in Medical Device Submissions.</w:t>
      </w:r>
    </w:p>
    <w:p>
      <w:pPr>
        <w:spacing w:before="0" w:after="50" w:line="250" w:lineRule="auto"/>
      </w:pPr>
      <w:r>
        <w:rPr>
          <w:rFonts w:ascii="Calibri" w:hAnsi="Calibri"/>
          <w:sz w:val="20"/>
        </w:rPr>
        <w:t>Kapteyn MG, Pretorius JVR, Willcox KE (2021). A probabilistic graphical model foundation for enabling predictive digital twins at scale.</w:t>
      </w:r>
    </w:p>
    <w:p>
      <w:pPr>
        <w:spacing w:before="0" w:after="50" w:line="250" w:lineRule="auto"/>
      </w:pPr>
      <w:r>
        <w:rPr>
          <w:rFonts w:ascii="Calibri" w:hAnsi="Calibri"/>
          <w:sz w:val="20"/>
        </w:rPr>
        <w:t>Interpretation of these sources</w:t>
      </w:r>
    </w:p>
    <w:p>
      <w:pPr>
        <w:spacing w:before="0" w:after="50" w:line="250" w:lineRule="auto"/>
      </w:pPr>
      <w:r>
        <w:rPr>
          <w:rFonts w:ascii="Calibri" w:hAnsi="Calibri"/>
          <w:sz w:val="20"/>
        </w:rPr>
        <w:t>Frameworks and guidance inform proposed requirements; citations do not establish implementation or conformity. Database content and models require independently preserved versions. The digital-twin engineering study supports a modelling approach, not a validated biological forecast.</w:t>
      </w:r>
    </w:p>
    <w:p>
      <w:pPr>
        <w:spacing w:before="0" w:after="50" w:line="250" w:lineRule="auto"/>
      </w:pPr>
      <w:r>
        <w:rPr>
          <w:rFonts w:ascii="Calibri" w:hAnsi="Calibri"/>
          <w:sz w:val="20"/>
        </w:rPr>
        <w:t>CDSCO (2026). Guidance document on Medical Device Software under MDR 2017.</w:t>
      </w:r>
    </w:p>
    <w:p>
      <w:pPr>
        <w:spacing w:before="0" w:after="50" w:line="250" w:lineRule="auto"/>
      </w:pPr>
      <w:r>
        <w:rPr>
          <w:rFonts w:ascii="Calibri" w:hAnsi="Calibri"/>
          <w:sz w:val="20"/>
        </w:rPr>
        <w:t>COPAN Diagnostics (undated). RADIAN disk diffusion automation.</w:t>
      </w:r>
    </w:p>
    <w:p>
      <w:pPr>
        <w:spacing w:before="0" w:after="50" w:line="250" w:lineRule="auto"/>
      </w:pPr>
      <w:r>
        <w:rPr>
          <w:rFonts w:ascii="Calibri" w:hAnsi="Calibri"/>
          <w:sz w:val="20"/>
        </w:rPr>
        <w:t>COPAN Diagnostics (2026). Laboratory automation brochure.</w:t>
      </w:r>
    </w:p>
    <w:p>
      <w:pPr>
        <w:spacing w:before="0" w:after="50" w:line="250" w:lineRule="auto"/>
      </w:pPr>
      <w:r>
        <w:rPr>
          <w:rFonts w:ascii="Calibri" w:hAnsi="Calibri"/>
          <w:sz w:val="20"/>
        </w:rPr>
        <w:t>Giles Scientific (undated). BIOMIC V3.</w:t>
      </w:r>
    </w:p>
    <w:p>
      <w:pPr>
        <w:spacing w:before="0" w:after="50" w:line="250" w:lineRule="auto"/>
      </w:pPr>
      <w:r>
        <w:rPr>
          <w:rFonts w:ascii="Calibri" w:hAnsi="Calibri"/>
          <w:sz w:val="20"/>
        </w:rPr>
        <w:t>bioMerieux (undated). VITEK 2.</w:t>
      </w:r>
    </w:p>
    <w:p>
      <w:pPr>
        <w:spacing w:before="0" w:after="50" w:line="250" w:lineRule="auto"/>
      </w:pPr>
      <w:r>
        <w:rPr>
          <w:rFonts w:ascii="Calibri" w:hAnsi="Calibri"/>
          <w:sz w:val="20"/>
        </w:rPr>
        <w:t>BD (undated). BD Phoenix M50 instrument.</w:t>
      </w:r>
    </w:p>
    <w:p>
      <w:pPr>
        <w:spacing w:before="0" w:after="50" w:line="250" w:lineRule="auto"/>
      </w:pPr>
      <w:r>
        <w:rPr>
          <w:rFonts w:ascii="Calibri" w:hAnsi="Calibri"/>
          <w:sz w:val="20"/>
        </w:rPr>
        <w:t>US FDA (2026). 510 k review K251511.</w:t>
      </w:r>
    </w:p>
    <w:p>
      <w:pPr>
        <w:spacing w:before="0" w:after="50" w:line="250" w:lineRule="auto"/>
      </w:pPr>
      <w:r>
        <w:rPr>
          <w:rFonts w:ascii="Calibri" w:hAnsi="Calibri"/>
          <w:sz w:val="20"/>
        </w:rPr>
        <w:t>Cherkaoui A, Renzi G, Vuilleumier N, Schrenzel J (2021). Performance of Fully Automated Antimicrobial Disk Diffusion Susceptibility Testing Using Copan WASP Colibri Coupled to the Radian In-Line Carousel and Expert System. DOI 10.1128/JCM.00777-21.</w:t>
      </w:r>
    </w:p>
    <w:p>
      <w:pPr>
        <w:spacing w:before="0" w:after="50" w:line="250" w:lineRule="auto"/>
      </w:pPr>
      <w:r>
        <w:rPr>
          <w:rFonts w:ascii="Calibri" w:hAnsi="Calibri"/>
          <w:sz w:val="20"/>
        </w:rPr>
        <w:t>Beckman Coulter (n.d.). DxM MicroScan WalkAway System.</w:t>
      </w:r>
    </w:p>
    <w:p>
      <w:pPr>
        <w:spacing w:before="0" w:after="50" w:line="250" w:lineRule="auto"/>
      </w:pPr>
      <w:r>
        <w:rPr>
          <w:rFonts w:ascii="Calibri" w:hAnsi="Calibri"/>
          <w:sz w:val="20"/>
        </w:rPr>
        <w:t>QuantaMatrix (n.d.). dRAST.</w:t>
      </w:r>
    </w:p>
    <w:p>
      <w:pPr>
        <w:spacing w:before="0" w:after="50" w:line="250" w:lineRule="auto"/>
      </w:pPr>
      <w:r>
        <w:rPr>
          <w:rFonts w:ascii="Calibri" w:hAnsi="Calibri"/>
          <w:sz w:val="20"/>
        </w:rPr>
        <w:t>bioMérieux (n.d.). VITEK REVEAL.</w:t>
      </w:r>
    </w:p>
    <w:p>
      <w:pPr>
        <w:spacing w:before="0" w:after="50" w:line="250" w:lineRule="auto"/>
      </w:pPr>
      <w:r>
        <w:rPr>
          <w:rFonts w:ascii="Calibri" w:hAnsi="Calibri"/>
          <w:sz w:val="20"/>
        </w:rPr>
        <w:t>bioMérieux (n.d.). VITEK MS PRIME.</w:t>
      </w:r>
    </w:p>
    <w:p>
      <w:pPr>
        <w:spacing w:before="0" w:after="50" w:line="250" w:lineRule="auto"/>
      </w:pPr>
      <w:r>
        <w:rPr>
          <w:rFonts w:ascii="Calibri" w:hAnsi="Calibri"/>
          <w:sz w:val="20"/>
        </w:rPr>
        <w:t>Reshape Biotech (2026). AI-driven operating system for microbiology.</w:t>
      </w:r>
    </w:p>
    <w:p>
      <w:pPr>
        <w:spacing w:before="0" w:after="50" w:line="250" w:lineRule="auto"/>
      </w:pPr>
      <w:r>
        <w:rPr>
          <w:rFonts w:ascii="Calibri" w:hAnsi="Calibri"/>
          <w:sz w:val="20"/>
        </w:rPr>
        <w:t>Q-linea (n.d.). ASTar in the lab.</w:t>
      </w:r>
    </w:p>
    <w:p>
      <w:pPr>
        <w:spacing w:before="0" w:after="50" w:line="250" w:lineRule="auto"/>
      </w:pPr>
      <w:r>
        <w:rPr>
          <w:rFonts w:ascii="Calibri" w:hAnsi="Calibri"/>
          <w:sz w:val="20"/>
        </w:rPr>
        <w:t>World Health Organization (2026). Antimicrobial resistance.</w:t>
      </w:r>
    </w:p>
    <w:p>
      <w:pPr>
        <w:spacing w:before="0" w:after="50" w:line="250" w:lineRule="auto"/>
      </w:pPr>
      <w:r>
        <w:rPr>
          <w:rFonts w:ascii="Calibri" w:hAnsi="Calibri"/>
          <w:sz w:val="20"/>
        </w:rPr>
        <w:t>NCDC Ministry of Health and Family Welfare (undated). National programme on AMR containment.</w:t>
      </w:r>
    </w:p>
    <w:p>
      <w:pPr>
        <w:spacing w:before="0" w:after="50" w:line="250" w:lineRule="auto"/>
      </w:pPr>
      <w:r>
        <w:rPr>
          <w:rFonts w:ascii="Calibri" w:hAnsi="Calibri"/>
          <w:sz w:val="20"/>
        </w:rPr>
        <w:t>Government of India NCDC (2025). National Action Plan on Antimicrobial Resistance 2.0.</w:t>
      </w:r>
    </w:p>
    <w:p>
      <w:pPr>
        <w:spacing w:before="0" w:after="50" w:line="250" w:lineRule="auto"/>
      </w:pPr>
      <w:r>
        <w:rPr>
          <w:rFonts w:ascii="Calibri" w:hAnsi="Calibri"/>
          <w:sz w:val="20"/>
        </w:rPr>
        <w:t>ICMR (2025). Guidance document for evaluation of antimicrobial resistance diagnostics.</w:t>
      </w:r>
    </w:p>
    <w:p>
      <w:pPr>
        <w:spacing w:before="0" w:after="50" w:line="250" w:lineRule="auto"/>
      </w:pPr>
      <w:r>
        <w:rPr>
          <w:rFonts w:ascii="Calibri" w:hAnsi="Calibri"/>
          <w:sz w:val="20"/>
        </w:rPr>
        <w:t>Government of Goa Department of Information and Publicity (2023). Awareness program on antimicrobial resistance by FDA.</w:t>
      </w:r>
    </w:p>
    <w:p>
      <w:pPr>
        <w:spacing w:before="0" w:after="50" w:line="250" w:lineRule="auto"/>
      </w:pPr>
      <w:r>
        <w:rPr>
          <w:rFonts w:ascii="Calibri" w:hAnsi="Calibri"/>
          <w:sz w:val="20"/>
        </w:rPr>
        <w:t>Directorate of Health Services Goa (undated). Integrated Disease Surveillance Programme.</w:t>
      </w:r>
    </w:p>
    <w:p>
      <w:pPr>
        <w:spacing w:before="0" w:after="50" w:line="250" w:lineRule="auto"/>
      </w:pPr>
      <w:r>
        <w:rPr>
          <w:rFonts w:ascii="Calibri" w:hAnsi="Calibri"/>
          <w:sz w:val="20"/>
        </w:rPr>
        <w:t>ISO (2016). ISO 13485 2016 Medical devices Quality management systems Requirements for regulatory purposes.</w:t>
      </w:r>
    </w:p>
    <w:p>
      <w:pPr>
        <w:spacing w:before="0" w:after="50" w:line="250" w:lineRule="auto"/>
      </w:pPr>
      <w:r>
        <w:rPr>
          <w:rFonts w:ascii="Calibri" w:hAnsi="Calibri"/>
          <w:sz w:val="20"/>
        </w:rPr>
        <w:t>ISO (2019). ISO 14971 2019 Medical devices Application of risk management to medical devices.</w:t>
      </w:r>
    </w:p>
    <w:p>
      <w:pPr>
        <w:spacing w:before="0" w:after="50" w:line="250" w:lineRule="auto"/>
      </w:pPr>
      <w:r>
        <w:rPr>
          <w:rFonts w:ascii="Calibri" w:hAnsi="Calibri"/>
          <w:sz w:val="20"/>
        </w:rPr>
        <w:t>Ministry of Electronics and Information Technology India (2025). Digital Personal Data Protection Rules 2025 and enforcement timeline.</w:t>
      </w:r>
    </w:p>
    <w:p>
      <w:pPr>
        <w:spacing w:before="0" w:after="50" w:line="250" w:lineRule="auto"/>
      </w:pPr>
      <w:r>
        <w:rPr>
          <w:rFonts w:ascii="Calibri" w:hAnsi="Calibri"/>
          <w:sz w:val="20"/>
        </w:rPr>
        <w:t>US National Institute of Diabetes and Digestive and Kidney Diseases (n.d.). Definition and Facts of Bladder Infection in Adults.</w:t>
      </w:r>
    </w:p>
    <w:p>
      <w:pPr>
        <w:spacing w:before="0" w:after="50" w:line="250" w:lineRule="auto"/>
      </w:pPr>
      <w:r>
        <w:rPr>
          <w:rFonts w:ascii="Calibri" w:hAnsi="Calibri"/>
          <w:sz w:val="20"/>
        </w:rPr>
        <w:t>US Centers for Disease Control and Prevention (2025). Laboratory Testing for Methicillin (oxacillin)-resistant Staphylococcus aureus (MRSA).</w:t>
      </w:r>
    </w:p>
    <w:p>
      <w:pPr>
        <w:spacing w:before="0" w:after="50" w:line="250" w:lineRule="auto"/>
      </w:pPr>
      <w:r>
        <w:rPr>
          <w:rFonts w:ascii="Calibri" w:hAnsi="Calibri"/>
          <w:sz w:val="20"/>
        </w:rPr>
        <w:t>International Organization for Standardization (2017). ISO/IEC 17025:2017 General requirements for the competence of testing and calibration laboratories.</w:t>
      </w:r>
    </w:p>
    <w:p>
      <w:pPr>
        <w:spacing w:before="0" w:after="50" w:line="250" w:lineRule="auto"/>
      </w:pPr>
      <w:r>
        <w:rPr>
          <w:rFonts w:ascii="Calibri" w:hAnsi="Calibri"/>
          <w:sz w:val="20"/>
        </w:rPr>
        <w:t>World Health Organization (2026). One Health.</w:t>
      </w:r>
    </w:p>
    <w:p>
      <w:pPr>
        <w:spacing w:before="0" w:after="50" w:line="250" w:lineRule="auto"/>
      </w:pPr>
      <w:r>
        <w:rPr>
          <w:rFonts w:ascii="Calibri" w:hAnsi="Calibri"/>
          <w:sz w:val="20"/>
        </w:rPr>
        <w:t>Raspberry Pi (undated). Camera hardware documentation.</w:t>
      </w:r>
    </w:p>
    <w:p>
      <w:pPr>
        <w:spacing w:before="0" w:after="50" w:line="250" w:lineRule="auto"/>
      </w:pPr>
      <w:r>
        <w:rPr>
          <w:rFonts w:ascii="Calibri" w:hAnsi="Calibri"/>
          <w:sz w:val="20"/>
        </w:rPr>
        <w:t>Raspberry Pi (undated). Camera software documentation.</w:t>
      </w:r>
    </w:p>
    <w:p>
      <w:pPr>
        <w:spacing w:before="0" w:after="50" w:line="250" w:lineRule="auto"/>
      </w:pPr>
      <w:r>
        <w:rPr>
          <w:rFonts w:ascii="Calibri" w:hAnsi="Calibri"/>
          <w:sz w:val="20"/>
        </w:rPr>
        <w:t>Raspberry Pi (undated). Raspberry Pi Active Cooler.</w:t>
      </w:r>
    </w:p>
    <w:p>
      <w:pPr>
        <w:spacing w:before="0" w:after="50" w:line="250" w:lineRule="auto"/>
      </w:pPr>
      <w:r>
        <w:rPr>
          <w:rFonts w:ascii="Calibri" w:hAnsi="Calibri"/>
          <w:sz w:val="20"/>
        </w:rPr>
        <w:t>Robocraze (2026 snapshot). Official Raspberry Pi 5 Model 8GB RAM Development Board.</w:t>
      </w:r>
    </w:p>
    <w:p>
      <w:pPr>
        <w:spacing w:before="0" w:after="50" w:line="250" w:lineRule="auto"/>
      </w:pPr>
      <w:r>
        <w:rPr>
          <w:rFonts w:ascii="Calibri" w:hAnsi="Calibri"/>
          <w:sz w:val="20"/>
        </w:rPr>
        <w:t>Robocraze (2026 snapshot). Raspberry Pi 16mm High Quality Camera Telephoto Lens.</w:t>
      </w:r>
    </w:p>
    <w:p>
      <w:pPr>
        <w:spacing w:before="0" w:after="50" w:line="250" w:lineRule="auto"/>
      </w:pPr>
      <w:r>
        <w:rPr>
          <w:rFonts w:ascii="Calibri" w:hAnsi="Calibri"/>
          <w:sz w:val="20"/>
        </w:rPr>
        <w:t>Robocraze (2026 snapshot). Official Raspberry Pi 5 27W USB C PD Power Supply Black.</w:t>
      </w:r>
    </w:p>
    <w:p>
      <w:pPr>
        <w:spacing w:before="0" w:after="50" w:line="250" w:lineRule="auto"/>
      </w:pPr>
      <w:r>
        <w:rPr>
          <w:rFonts w:ascii="Calibri" w:hAnsi="Calibri"/>
          <w:sz w:val="20"/>
        </w:rPr>
        <w:t>Silverline Electronics (2026 snapshot). Official Raspberry Pi 5 White 27W USB C PD Power Supply.</w:t>
      </w:r>
    </w:p>
    <w:p>
      <w:pPr>
        <w:spacing w:before="0" w:after="50" w:line="250" w:lineRule="auto"/>
      </w:pPr>
      <w:r>
        <w:rPr>
          <w:rFonts w:ascii="Calibri" w:hAnsi="Calibri"/>
          <w:sz w:val="20"/>
        </w:rPr>
        <w:t>Thingbits (2026 snapshot). Official Raspberry Pi 5 Active Cooler.</w:t>
      </w:r>
    </w:p>
    <w:p>
      <w:pPr>
        <w:spacing w:before="0" w:after="50" w:line="250" w:lineRule="auto"/>
      </w:pPr>
      <w:r>
        <w:rPr>
          <w:rFonts w:ascii="Calibri" w:hAnsi="Calibri"/>
          <w:sz w:val="20"/>
        </w:rPr>
        <w:t>Robocraze (2026 snapshot). Raspberry Pi High Quality Camera with Interchangeable Lens Base.</w:t>
      </w:r>
    </w:p>
    <w:p>
      <w:pPr>
        <w:spacing w:before="0" w:after="50" w:line="250" w:lineRule="auto"/>
      </w:pPr>
      <w:r>
        <w:rPr>
          <w:rFonts w:ascii="Calibri" w:hAnsi="Calibri"/>
          <w:sz w:val="20"/>
        </w:rPr>
        <w:t>Robocraze (2026 snapshot). Raspberry Pi 5 Camera Cable Standard Mini 300mm.</w:t>
      </w:r>
    </w:p>
    <w:p>
      <w:pPr>
        <w:spacing w:before="0" w:after="50" w:line="250" w:lineRule="auto"/>
      </w:pPr>
      <w:r>
        <w:rPr>
          <w:rFonts w:ascii="Calibri" w:hAnsi="Calibri"/>
          <w:sz w:val="20"/>
        </w:rPr>
        <w:t>Thingbits (2026). SanDisk MicroSD Card Class 10, 64 GB, No OS, TH1980.</w:t>
      </w:r>
    </w:p>
    <w:p>
      <w:pPr>
        <w:spacing w:before="0" w:after="50" w:line="250" w:lineRule="auto"/>
      </w:pPr>
      <w:r>
        <w:rPr>
          <w:rFonts w:ascii="Calibri" w:hAnsi="Calibri"/>
          <w:sz w:val="20"/>
        </w:rPr>
        <w:t>Thingbits (2026). Adafruit SHT40 breakout, TH2066.</w:t>
      </w:r>
    </w:p>
    <w:p>
      <w:pPr>
        <w:spacing w:before="0" w:after="50" w:line="250" w:lineRule="auto"/>
      </w:pPr>
      <w:r>
        <w:rPr>
          <w:rFonts w:ascii="Calibri" w:hAnsi="Calibri"/>
          <w:sz w:val="20"/>
        </w:rPr>
        <w:t>element14 India (2026). MEAN WELL GST25A12-P1J, order2815879.</w:t>
      </w:r>
    </w:p>
    <w:p>
      <w:pPr>
        <w:spacing w:before="0" w:after="50" w:line="250" w:lineRule="auto"/>
      </w:pPr>
      <w:r>
        <w:rPr>
          <w:rFonts w:ascii="Calibri" w:hAnsi="Calibri"/>
          <w:sz w:val="20"/>
        </w:rPr>
        <w:t>Thingbits (2026). Raspberry Pi 5 Computer, 8 GB, TH0489.</w:t>
      </w:r>
    </w:p>
    <w:p>
      <w:pPr>
        <w:spacing w:before="0" w:after="50" w:line="250" w:lineRule="auto"/>
      </w:pPr>
      <w:r>
        <w:rPr>
          <w:rFonts w:ascii="Calibri" w:hAnsi="Calibri"/>
          <w:sz w:val="20"/>
        </w:rPr>
        <w:t>Thingbits (2026). Raspberry Pi HQ Camera, C/CS mount, camera only, TH0267.</w:t>
      </w:r>
    </w:p>
    <w:p>
      <w:pPr>
        <w:spacing w:before="0" w:after="50" w:line="250" w:lineRule="auto"/>
      </w:pPr>
      <w:r>
        <w:rPr>
          <w:rFonts w:ascii="Calibri" w:hAnsi="Calibri"/>
          <w:sz w:val="20"/>
        </w:rPr>
        <w:t>Adafruit (2026). SHT40 Temperature and Humidity Sensor, product4885.</w:t>
      </w:r>
    </w:p>
    <w:p>
      <w:pPr>
        <w:spacing w:before="0" w:after="50" w:line="250" w:lineRule="auto"/>
      </w:pPr>
      <w:r>
        <w:rPr>
          <w:rFonts w:ascii="Calibri" w:hAnsi="Calibri"/>
          <w:sz w:val="20"/>
        </w:rPr>
        <w:t>MEAN WELL (2026). GST25A series data sheet.</w:t>
      </w:r>
    </w:p>
    <w:p>
      <w:pPr>
        <w:pStyle w:val="Heading2"/>
        <w:keepNext/>
        <w:keepLines/>
      </w:pPr>
      <w:r>
        <w:rPr>
          <w:color w:val="000000"/>
        </w:rPr>
        <w:t>Evidence audit citation keys</w:t>
      </w:r>
    </w:p>
    <w:p>
      <w:pPr>
        <w:spacing w:before="0" w:after="50" w:line="250" w:lineRule="auto"/>
      </w:pPr>
      <w:r>
        <w:rPr>
          <w:rFonts w:ascii="Calibri" w:hAnsi="Calibri"/>
          <w:sz w:val="20"/>
        </w:rPr>
        <w:t>[EA-4] Radian® | COPAN </w:t>
      </w:r>
      <w:hyperlink r:id="rId12">
        <w:r>
          <w:t>https://www.copanusa.com/laboratory-automation/microbiology-laboratory-automation-ai/radian/</w:t>
        </w:r>
      </w:hyperlink>
    </w:p>
    <w:p>
      <w:pPr>
        <w:spacing w:before="0" w:after="50" w:line="250" w:lineRule="auto"/>
      </w:pPr>
      <w:r>
        <w:rPr>
          <w:rFonts w:ascii="Calibri" w:hAnsi="Calibri"/>
          <w:sz w:val="20"/>
        </w:rPr>
        <w:t>[EA-5] Copan </w:t>
      </w:r>
      <w:hyperlink r:id="rId13">
        <w:r>
          <w:t>https://www.copangroup.com/product-ranges/wasplab/</w:t>
        </w:r>
      </w:hyperlink>
    </w:p>
    <w:p>
      <w:pPr>
        <w:spacing w:before="0" w:after="50" w:line="250" w:lineRule="auto"/>
      </w:pPr>
      <w:r>
        <w:rPr>
          <w:rFonts w:ascii="Calibri" w:hAnsi="Calibri"/>
          <w:sz w:val="20"/>
        </w:rPr>
        <w:t>[EA-6] BD Kiestra™ ReadA | BD </w:t>
      </w:r>
      <w:hyperlink r:id="rId14">
        <w:r>
          <w:t>https://www.bd.com/de-ch/products-and-solutions/products/product-families/bd-kiestra-reada</w:t>
        </w:r>
      </w:hyperlink>
    </w:p>
    <w:p>
      <w:pPr>
        <w:spacing w:before="0" w:after="50" w:line="250" w:lineRule="auto"/>
      </w:pPr>
      <w:r>
        <w:rPr>
          <w:rFonts w:ascii="Calibri" w:hAnsi="Calibri"/>
          <w:sz w:val="20"/>
        </w:rPr>
        <w:t>[EA-7] BD Phoenix™ M50 instrument | BD </w:t>
      </w:r>
      <w:hyperlink r:id="rId15">
        <w:r>
          <w:t>https://www.bd.com/en-no/products-and-solutions/products/product-families/bd-phoenix-m50-instrument</w:t>
        </w:r>
      </w:hyperlink>
    </w:p>
    <w:p>
      <w:pPr>
        <w:spacing w:before="0" w:after="50" w:line="250" w:lineRule="auto"/>
      </w:pPr>
      <w:r>
        <w:rPr>
          <w:rFonts w:ascii="Calibri" w:hAnsi="Calibri"/>
          <w:sz w:val="20"/>
        </w:rPr>
        <w:t>[EA-8] VITEK® 2 </w:t>
      </w:r>
      <w:hyperlink r:id="rId16">
        <w:r>
          <w:t>https://www.biomerieux.com/corp/en/our-offer/clinical-products/vitek-2.html</w:t>
        </w:r>
      </w:hyperlink>
    </w:p>
    <w:p>
      <w:pPr>
        <w:spacing w:before="0" w:after="50" w:line="250" w:lineRule="auto"/>
      </w:pPr>
      <w:r>
        <w:rPr>
          <w:rFonts w:ascii="Calibri" w:hAnsi="Calibri"/>
          <w:sz w:val="20"/>
        </w:rPr>
        <w:t>[EA-9] Système d’AST Sensititre ARIS HiQ | Thermo Fisher Scientific - FR </w:t>
      </w:r>
      <w:hyperlink r:id="rId17">
        <w:r>
          <w:t>https://www.thermofisher.com/fr/fr/home/clinical/clinical-microbiology/antimicrobial-susceptibility-testing/sensititre-ast/aris-hiq.html</w:t>
        </w:r>
      </w:hyperlink>
    </w:p>
    <w:p>
      <w:pPr>
        <w:spacing w:before="0" w:after="50" w:line="250" w:lineRule="auto"/>
      </w:pPr>
      <w:r>
        <w:rPr>
          <w:rFonts w:ascii="Calibri" w:hAnsi="Calibri"/>
          <w:sz w:val="20"/>
        </w:rPr>
        <w:t>[EA-10] Optimizing bloodstream infection diagnosis: Implementation of the EUCAST Rapid Antimicrobial Susceptibility Testing (RAST) with automated digital imaging | European Journal of Clinical Microbiology &amp; Infectious Diseases | Springer Nature Link </w:t>
      </w:r>
      <w:hyperlink r:id="rId18">
        <w:r>
          <w:t>https://link.springer.com/article/10.1007/s10096-025-05362-8</w:t>
        </w:r>
      </w:hyperlink>
    </w:p>
    <w:p>
      <w:pPr>
        <w:spacing w:before="0" w:after="50" w:line="250" w:lineRule="auto"/>
      </w:pPr>
      <w:r>
        <w:rPr>
          <w:rFonts w:ascii="Calibri" w:hAnsi="Calibri"/>
          <w:sz w:val="20"/>
        </w:rPr>
        <w:t>[EA-11] EUCAST: Breakpoints for Rapid AST </w:t>
      </w:r>
      <w:hyperlink r:id="rId19">
        <w:r>
          <w:t>https://www.eucast.org/bacteria/rapid-ast-in-blood-culture/breakpoints-for-rapid-ast/</w:t>
        </w:r>
      </w:hyperlink>
    </w:p>
    <w:p>
      <w:pPr>
        <w:spacing w:before="0" w:after="50" w:line="250" w:lineRule="auto"/>
      </w:pPr>
      <w:r>
        <w:rPr>
          <w:rFonts w:ascii="Calibri" w:hAnsi="Calibri"/>
          <w:sz w:val="20"/>
        </w:rPr>
        <w:t>[EA-12] EUCAST: Website changes </w:t>
      </w:r>
      <w:hyperlink r:id="rId20">
        <w:r>
          <w:t>https://www.eucast.org/website-changes/</w:t>
        </w:r>
      </w:hyperlink>
    </w:p>
    <w:p>
      <w:pPr>
        <w:spacing w:before="0" w:after="50" w:line="250" w:lineRule="auto"/>
      </w:pPr>
      <w:r>
        <w:rPr>
          <w:rFonts w:ascii="Calibri" w:hAnsi="Calibri"/>
          <w:sz w:val="20"/>
        </w:rPr>
        <w:t>[EA-17] Global burden of bacterial antimicrobial resistance 1990-2021: a systematic analysis with forecasts to 2050 - PubMed </w:t>
      </w:r>
      <w:hyperlink r:id="rId21">
        <w:r>
          <w:t>https://pubmed.ncbi.nlm.nih.gov/39299261/</w:t>
        </w:r>
      </w:hyperlink>
    </w:p>
    <w:p>
      <w:pPr>
        <w:spacing w:before="0" w:after="50" w:line="250" w:lineRule="auto"/>
      </w:pPr>
      <w:r>
        <w:rPr>
          <w:rFonts w:ascii="Calibri" w:hAnsi="Calibri"/>
          <w:sz w:val="20"/>
        </w:rPr>
        <w:t>[EA-18] Antimicrobial resistance </w:t>
      </w:r>
      <w:hyperlink r:id="rId22">
        <w:r>
          <w:t>https://www.who.int/news-room/fact-sheets/detail/antimicrobial-resistance</w:t>
        </w:r>
      </w:hyperlink>
    </w:p>
    <w:p>
      <w:pPr>
        <w:spacing w:before="0" w:after="50" w:line="250" w:lineRule="auto"/>
      </w:pPr>
      <w:r>
        <w:rPr>
          <w:rFonts w:ascii="Calibri" w:hAnsi="Calibri"/>
          <w:sz w:val="20"/>
        </w:rPr>
        <w:t>[EA-19] WHO warns of widespread resistance to common antibiotics worldwide </w:t>
      </w:r>
      <w:hyperlink r:id="rId23">
        <w:r>
          <w:t>https://www.who.int/news/item/13-10-2025-who-warns-of-widespread-resistance-to-common-antibiotics-worldwide</w:t>
        </w:r>
      </w:hyperlink>
    </w:p>
    <w:p>
      <w:pPr>
        <w:spacing w:before="0" w:after="50" w:line="250" w:lineRule="auto"/>
      </w:pPr>
      <w:r>
        <w:rPr>
          <w:rFonts w:ascii="Calibri" w:hAnsi="Calibri"/>
          <w:sz w:val="20"/>
        </w:rPr>
        <w:t>[EA-20] WHO updates list of drug-resistant bacteria most threatening to human health </w:t>
      </w:r>
      <w:hyperlink r:id="rId24">
        <w:r>
          <w:t>https://www.who.int/news/item/17-05-2024-who-updates-list-of-drug-resistant-bacteria-most-threatening-to-human-health</w:t>
        </w:r>
      </w:hyperlink>
    </w:p>
    <w:p>
      <w:pPr>
        <w:spacing w:before="0" w:after="50" w:line="250" w:lineRule="auto"/>
      </w:pPr>
      <w:r>
        <w:rPr>
          <w:rFonts w:ascii="Calibri" w:hAnsi="Calibri"/>
          <w:sz w:val="20"/>
        </w:rPr>
        <w:t>[EA-21] Frontiers | Automatic detection and quantification of antimicrobial inhibition zones using YOLO11n with post-hoc interpretability validation </w:t>
      </w:r>
      <w:hyperlink r:id="rId25">
        <w:r>
          <w:t>https://www.frontiersin.org/journals/microbiology/articles/10.3389/fmicb.2026.1810754/full</w:t>
        </w:r>
      </w:hyperlink>
    </w:p>
    <w:p>
      <w:pPr>
        <w:spacing w:before="0" w:after="50" w:line="250" w:lineRule="auto"/>
      </w:pPr>
      <w:r>
        <w:rPr>
          <w:rFonts w:ascii="Calibri" w:hAnsi="Calibri"/>
          <w:sz w:val="20"/>
        </w:rPr>
        <w:t>[EA-22] M100 | Performance Standards for Antimicrobial Susceptibility Testing </w:t>
      </w:r>
      <w:hyperlink r:id="rId26">
        <w:r>
          <w:t>https://clsi.org/shop/standards/m100/</w:t>
        </w:r>
      </w:hyperlink>
    </w:p>
    <w:p>
      <w:pPr>
        <w:spacing w:before="0" w:after="50" w:line="250" w:lineRule="auto"/>
      </w:pPr>
      <w:r>
        <w:rPr>
          <w:rFonts w:ascii="Calibri" w:hAnsi="Calibri"/>
          <w:sz w:val="20"/>
        </w:rPr>
        <w:t>[EA-23] Breakpoint Implementation Toolkit (BIT) | Resources | CLSI </w:t>
      </w:r>
      <w:hyperlink r:id="rId27">
        <w:r>
          <w:t>https://clsi.org/resources/breakpoint-implementation-toolkit/</w:t>
        </w:r>
      </w:hyperlink>
    </w:p>
    <w:p>
      <w:pPr>
        <w:spacing w:before="0" w:after="50" w:line="250" w:lineRule="auto"/>
      </w:pPr>
      <w:r>
        <w:rPr>
          <w:rFonts w:ascii="Calibri" w:hAnsi="Calibri"/>
          <w:sz w:val="20"/>
        </w:rPr>
        <w:t>[EA-24] EUCAST: Clinical Breakpoint Tables </w:t>
      </w:r>
      <w:hyperlink r:id="rId28">
        <w:r>
          <w:t>https://www.eucast.org/bacteria/clinical-breakpoints-and-interpretation/clinical-breakpoint-tables/</w:t>
        </w:r>
      </w:hyperlink>
    </w:p>
    <w:p>
      <w:pPr>
        <w:spacing w:before="0" w:after="50" w:line="250" w:lineRule="auto"/>
      </w:pPr>
      <w:r>
        <w:rPr>
          <w:rFonts w:ascii="Calibri" w:hAnsi="Calibri"/>
          <w:sz w:val="20"/>
        </w:rPr>
        <w:t>[EA-25] </w:t>
      </w:r>
      <w:hyperlink r:id="rId29">
        <w:r>
          <w:t>https://www.icmr.gov.in/icmrobject/uploads/Guidelines/1736941384_guidancedocument_amrdiagnostics_revised.pdf</w:t>
        </w:r>
      </w:hyperlink>
      <w:r>
        <w:rPr>
          <w:rFonts w:ascii="Calibri" w:hAnsi="Calibri"/>
          <w:sz w:val="20"/>
        </w:rPr>
        <w:t> </w:t>
      </w:r>
      <w:hyperlink r:id="rId29">
        <w:r>
          <w:t>https://www.icmr.gov.in/icmrobject/uploads/Guidelines/1736941384_guidancedocument_amrdiagnostics_revised.pdf</w:t>
        </w:r>
      </w:hyperlink>
    </w:p>
    <w:p>
      <w:pPr>
        <w:spacing w:before="0" w:after="50" w:line="250" w:lineRule="auto"/>
      </w:pPr>
      <w:r>
        <w:rPr>
          <w:rFonts w:ascii="Calibri" w:hAnsi="Calibri"/>
          <w:sz w:val="20"/>
        </w:rPr>
        <w:t>[EA-26] Inviting comments on standard IVD evaluation protocols drafted by ICMR and CDSCO (Last date: August 25, 2026) | Indian Council of Medical Research | Government of India </w:t>
      </w:r>
      <w:hyperlink r:id="rId30">
        <w:r>
          <w:t>https://www.icmr.gov.in/post/inviting-comments-on-standard-ivd-evaluation-protocols-drafted-by-icmr-and-cdsco-last-date-august-25-2026</w:t>
        </w:r>
      </w:hyperlink>
    </w:p>
    <w:p>
      <w:pPr>
        <w:spacing w:before="0" w:after="50" w:line="250" w:lineRule="auto"/>
      </w:pPr>
      <w:r>
        <w:rPr>
          <w:rFonts w:ascii="Calibri" w:hAnsi="Calibri"/>
          <w:sz w:val="20"/>
        </w:rPr>
        <w:t>[EA-27] </w:t>
      </w:r>
      <w:hyperlink r:id="rId31">
        <w:r>
          <w:t>https://www.icmr.gov.in/icmrobject/uploads/Documents/1786076836_cdsco_draftdocument.pdf</w:t>
        </w:r>
      </w:hyperlink>
      <w:r>
        <w:rPr>
          <w:rFonts w:ascii="Calibri" w:hAnsi="Calibri"/>
          <w:sz w:val="20"/>
        </w:rPr>
        <w:t> </w:t>
      </w:r>
      <w:hyperlink r:id="rId31">
        <w:r>
          <w:t>https://www.icmr.gov.in/icmrobject/uploads/Documents/1786076836_cdsco_draftdocument.pdf</w:t>
        </w:r>
      </w:hyperlink>
    </w:p>
    <w:p>
      <w:pPr>
        <w:spacing w:before="0" w:after="50" w:line="250" w:lineRule="auto"/>
      </w:pPr>
      <w:r>
        <w:rPr>
          <w:rFonts w:ascii="Calibri" w:hAnsi="Calibri"/>
          <w:sz w:val="20"/>
        </w:rPr>
        <w:t>[EA-28] स्वास्थ्य सेवा महानिदेशालय </w:t>
      </w:r>
      <w:hyperlink r:id="rId32">
        <w:r>
          <w:t>https://dghs.mohfw.gov.in/</w:t>
        </w:r>
      </w:hyperlink>
    </w:p>
    <w:p>
      <w:pPr>
        <w:spacing w:before="0" w:after="50" w:line="250" w:lineRule="auto"/>
      </w:pPr>
      <w:r>
        <w:rPr>
          <w:rFonts w:ascii="Calibri" w:hAnsi="Calibri"/>
          <w:sz w:val="20"/>
        </w:rPr>
        <w:t>[EA-29] IL311398A - Device of distribution of impregnated supports and associated method. - Google Patents </w:t>
      </w:r>
      <w:hyperlink r:id="rId33">
        <w:r>
          <w:t>https://patents.google.com/patent/IL311398A/en</w:t>
        </w:r>
      </w:hyperlink>
    </w:p>
    <w:p>
      <w:pPr>
        <w:spacing w:before="0" w:after="50" w:line="250" w:lineRule="auto"/>
      </w:pPr>
      <w:r>
        <w:rPr>
          <w:rFonts w:ascii="Calibri" w:hAnsi="Calibri"/>
          <w:sz w:val="20"/>
        </w:rPr>
        <w:t>[EA-30] AU2014259028B2 - Device and method for automatic processing of culture plates for microbiological samples - Google Patents </w:t>
      </w:r>
      <w:hyperlink r:id="rId34">
        <w:r>
          <w:t>https://patents.google.com/patent/AU2014259028B2/en</w:t>
        </w:r>
      </w:hyperlink>
    </w:p>
    <w:p>
      <w:pPr>
        <w:spacing w:before="0" w:after="50" w:line="250" w:lineRule="auto"/>
      </w:pPr>
      <w:r>
        <w:rPr>
          <w:rFonts w:ascii="Calibri" w:hAnsi="Calibri"/>
          <w:sz w:val="20"/>
        </w:rPr>
        <w:t>[EA-31] CN117467736A - Method and system for automated assessment of antibiotic susceptibility - Google Patents </w:t>
      </w:r>
      <w:hyperlink r:id="rId35">
        <w:r>
          <w:t>https://patents.google.com/patent/CN117467736A/en</w:t>
        </w:r>
      </w:hyperlink>
    </w:p>
    <w:p>
      <w:pPr>
        <w:spacing w:before="0" w:after="50" w:line="250" w:lineRule="auto"/>
      </w:pPr>
      <w:r>
        <w:rPr>
          <w:rFonts w:ascii="Calibri" w:hAnsi="Calibri"/>
          <w:sz w:val="20"/>
        </w:rPr>
        <w:t>[TA-3] Antimicrobial resistance - World Health Organization (WHO) </w:t>
      </w:r>
      <w:hyperlink r:id="rId22">
        <w:r>
          <w:t>https://www.who.int/news-room/fact-sheets/detail/antimicrobial-resistance</w:t>
        </w:r>
      </w:hyperlink>
    </w:p>
    <w:p>
      <w:pPr>
        <w:spacing w:before="0" w:after="50" w:line="250" w:lineRule="auto"/>
      </w:pPr>
      <w:r>
        <w:rPr>
          <w:rFonts w:ascii="Calibri" w:hAnsi="Calibri"/>
          <w:sz w:val="20"/>
        </w:rPr>
        <w:t>[TA-4] Union Health Minister Shri J P Nadda Launches National ... </w:t>
      </w:r>
      <w:hyperlink r:id="rId36">
        <w:r>
          <w:t>https://www.pib.gov.in/</w:t>
        </w:r>
      </w:hyperlink>
    </w:p>
    <w:p>
      <w:pPr>
        <w:spacing w:before="0" w:after="50" w:line="250" w:lineRule="auto"/>
      </w:pPr>
      <w:r>
        <w:rPr>
          <w:rFonts w:ascii="Calibri" w:hAnsi="Calibri"/>
          <w:sz w:val="20"/>
        </w:rPr>
        <w:t>[TA-12] National Centre for Disease Control -An Introduction 2017 </w:t>
      </w:r>
      <w:hyperlink r:id="rId37">
        <w:r>
          <w:t>https://ncdc.mohfw.gov.in/</w:t>
        </w:r>
      </w:hyperlink>
    </w:p>
    <w:p>
      <w:pPr>
        <w:spacing w:before="0" w:after="50" w:line="250" w:lineRule="auto"/>
      </w:pPr>
      <w:r>
        <w:rPr>
          <w:rFonts w:ascii="Calibri" w:hAnsi="Calibri"/>
          <w:sz w:val="20"/>
        </w:rPr>
        <w:t>[TA-13] Breakpoints Archived From CLSI Document M100 Since ... </w:t>
      </w:r>
      <w:hyperlink r:id="rId38">
        <w:r>
          <w:t>https://clsi.org/</w:t>
        </w:r>
      </w:hyperlink>
    </w:p>
    <w:p>
      <w:pPr>
        <w:spacing w:before="0" w:after="50" w:line="250" w:lineRule="auto"/>
      </w:pPr>
      <w:r>
        <w:rPr>
          <w:rFonts w:ascii="Calibri" w:hAnsi="Calibri"/>
          <w:sz w:val="20"/>
        </w:rPr>
        <w:t>[TA-14] Breakpoint table 14.0 (2024) available for consultation (5- ... </w:t>
      </w:r>
      <w:hyperlink r:id="rId39">
        <w:r>
          <w:t>https://www.eucast.org/</w:t>
        </w:r>
      </w:hyperlink>
    </w:p>
    <w:p>
      <w:pPr>
        <w:spacing w:before="0" w:after="50" w:line="250" w:lineRule="auto"/>
      </w:pPr>
      <w:r>
        <w:rPr>
          <w:rFonts w:ascii="Calibri" w:hAnsi="Calibri"/>
          <w:sz w:val="20"/>
        </w:rPr>
        <w:t>[TA-15] [PDF] Guidance document on Medical Device Software under MDR-2017 </w:t>
      </w:r>
      <w:hyperlink r:id="rId40">
        <w:r>
          <w:t>https://cdsco.gov.in/opencms/export/sites/CDSCO_WEB/Pdf-documents/Guidance-document-on-Medical-Device-Software-under-MDR-2017.pdf</w:t>
        </w:r>
      </w:hyperlink>
    </w:p>
    <w:p>
      <w:pPr>
        <w:spacing w:before="0" w:after="50" w:line="250" w:lineRule="auto"/>
      </w:pPr>
      <w:r>
        <w:rPr>
          <w:rFonts w:ascii="Calibri" w:hAnsi="Calibri"/>
          <w:sz w:val="20"/>
        </w:rPr>
        <w:t>[TA-16] Frontiers | Automatic detection and quantification of antimicrobial inhibition zones using YOLO11n with post-hoc interpretability validation </w:t>
      </w:r>
      <w:hyperlink r:id="rId25">
        <w:r>
          <w:t>https://www.frontiersin.org/journals/microbiology/articles/10.3389/fmicb.2026.1810754/full</w:t>
        </w:r>
      </w:hyperlink>
    </w:p>
    <w:p>
      <w:pPr>
        <w:spacing w:before="0" w:after="50" w:line="250" w:lineRule="auto"/>
      </w:pPr>
      <w:r>
        <w:rPr>
          <w:rFonts w:ascii="Calibri" w:hAnsi="Calibri"/>
          <w:sz w:val="20"/>
        </w:rPr>
        <w:t>[TA-17] J-AST: a web-based analysis platform for antimicrobial ... </w:t>
      </w:r>
      <w:hyperlink r:id="rId41">
        <w:r>
          <w:t>https://www.biorxiv.org/</w:t>
        </w:r>
      </w:hyperlink>
    </w:p>
    <w:p>
      <w:pPr>
        <w:spacing w:before="0" w:after="50" w:line="250" w:lineRule="auto"/>
      </w:pPr>
      <w:r>
        <w:rPr>
          <w:rFonts w:ascii="Calibri" w:hAnsi="Calibri"/>
          <w:sz w:val="20"/>
        </w:rPr>
        <w:t>[TA-18] J-AST: a web-based analysis platform for antimicrobial susceptibility ... </w:t>
      </w:r>
      <w:hyperlink r:id="rId42">
        <w:r>
          <w:t>https://zenodo.org/records/21721490</w:t>
        </w:r>
      </w:hyperlink>
    </w:p>
    <w:p>
      <w:pPr>
        <w:spacing w:before="0" w:after="50" w:line="250" w:lineRule="auto"/>
      </w:pPr>
      <w:r>
        <w:rPr>
          <w:rFonts w:ascii="Calibri" w:hAnsi="Calibri"/>
          <w:sz w:val="20"/>
        </w:rPr>
        <w:t>[TA-19] PhenoMATRIX - Copan Diagnostics </w:t>
      </w:r>
      <w:hyperlink r:id="rId43">
        <w:r>
          <w:t>https://www.copanusa.com/laboratory-automation/microbiology-laboratory-automation-ai/phenomatrix/</w:t>
        </w:r>
      </w:hyperlink>
    </w:p>
    <w:p>
      <w:pPr>
        <w:spacing w:before="0" w:after="50" w:line="250" w:lineRule="auto"/>
      </w:pPr>
      <w:r>
        <w:rPr>
          <w:rFonts w:ascii="Calibri" w:hAnsi="Calibri"/>
          <w:sz w:val="20"/>
        </w:rPr>
        <w:t>[TA-20] TPLC - Total Product Life Cycle - FDA </w:t>
      </w:r>
      <w:hyperlink r:id="rId44">
        <w:r>
          <w:t>https://www.accessdata.fda.gov/scripts/cdrh/cfdocs/cfTPLC/tplc.cfm?ID=3864&amp;manufacturer=COPAN+WASP+SRL&amp;min_report_year=2018&amp;pmndecision=SUBSTANTIALLY+EQUIVALENT</w:t>
        </w:r>
      </w:hyperlink>
    </w:p>
    <w:p>
      <w:pPr>
        <w:spacing w:before="0" w:after="50" w:line="250" w:lineRule="auto"/>
      </w:pPr>
      <w:r>
        <w:rPr>
          <w:rFonts w:ascii="Calibri" w:hAnsi="Calibri"/>
          <w:sz w:val="20"/>
        </w:rPr>
        <w:t>[TA-21] bioMérieux receives FDA 510(k) Clearance for its VITEK ... </w:t>
      </w:r>
      <w:hyperlink r:id="rId45">
        <w:r>
          <w:t>https://www.biomerieux.com/</w:t>
        </w:r>
      </w:hyperlink>
    </w:p>
    <w:p>
      <w:pPr>
        <w:spacing w:before="0" w:after="50" w:line="250" w:lineRule="auto"/>
      </w:pPr>
      <w:r>
        <w:rPr>
          <w:rFonts w:ascii="Calibri" w:hAnsi="Calibri"/>
          <w:sz w:val="20"/>
        </w:rPr>
        <w:t>[TA-22] VITEK REVEAL | bioMérieux, Inc. </w:t>
      </w:r>
      <w:hyperlink r:id="rId46">
        <w:r>
          <w:t>https://info.biomerieux.com/clin_us_2024_vitek-reveal</w:t>
        </w:r>
      </w:hyperlink>
    </w:p>
    <w:p>
      <w:pPr>
        <w:spacing w:before="0" w:after="50" w:line="250" w:lineRule="auto"/>
      </w:pPr>
      <w:r>
        <w:rPr>
          <w:rFonts w:ascii="Calibri" w:hAnsi="Calibri"/>
          <w:sz w:val="20"/>
        </w:rPr>
        <w:t>[TA-23] BD Phoenix™ Panels: Rapid, Accurate Microbial ... </w:t>
      </w:r>
      <w:hyperlink r:id="rId47">
        <w:r>
          <w:t>https://www.bd.com/</w:t>
        </w:r>
      </w:hyperlink>
    </w:p>
    <w:p>
      <w:pPr>
        <w:spacing w:before="0" w:after="50" w:line="250" w:lineRule="auto"/>
      </w:pPr>
      <w:r>
        <w:rPr>
          <w:rFonts w:ascii="Calibri" w:hAnsi="Calibri"/>
          <w:sz w:val="20"/>
        </w:rPr>
        <w:t>[TA-24] TRINITY V3: Antibiotic Zone Reader </w:t>
      </w:r>
      <w:hyperlink r:id="rId48">
        <w:r>
          <w:t>https://www.biomic.com/</w:t>
        </w:r>
      </w:hyperlink>
    </w:p>
    <w:p>
      <w:pPr>
        <w:spacing w:before="0" w:after="50" w:line="250" w:lineRule="auto"/>
      </w:pPr>
      <w:r>
        <w:rPr>
          <w:rFonts w:ascii="Calibri" w:hAnsi="Calibri"/>
          <w:sz w:val="20"/>
        </w:rPr>
        <w:t>[TA-25] Reshape Blog — AI, Lab Automation &amp; Microbiology Insights </w:t>
      </w:r>
      <w:hyperlink r:id="rId49">
        <w:r>
          <w:t>https://reshapebiotech.com/</w:t>
        </w:r>
      </w:hyperlink>
    </w:p>
    <w:p>
      <w:pPr>
        <w:pStyle w:val="Heading2"/>
        <w:keepNext/>
        <w:keepLines/>
      </w:pPr>
      <w:r>
        <w:rPr>
          <w:color w:val="000000"/>
        </w:rPr>
        <w:t>Advanced configuration reference keys</w:t>
      </w:r>
    </w:p>
    <w:p>
      <w:pPr>
        <w:spacing w:before="0" w:after="50" w:line="250" w:lineRule="auto"/>
      </w:pPr>
      <w:r>
        <w:rPr>
          <w:rFonts w:ascii="Calibri" w:hAnsi="Calibri"/>
          <w:sz w:val="20"/>
        </w:rPr>
        <w:t>[S6] NVIDIA Jetson Thor product page. Thor/T5000 architecture and specifications.</w:t>
      </w:r>
    </w:p>
    <w:p>
      <w:pPr>
        <w:spacing w:before="0" w:after="50" w:line="250" w:lineRule="auto"/>
      </w:pPr>
      <w:r>
        <w:rPr>
          <w:rFonts w:ascii="Calibri" w:hAnsi="Calibri"/>
          <w:sz w:val="20"/>
        </w:rPr>
        <w:t>[S7] NVIDIA Jetson FAQ. Developer-kit vs production-module boundary and reference pricing.</w:t>
      </w:r>
    </w:p>
    <w:p>
      <w:pPr>
        <w:spacing w:before="0" w:after="50" w:line="250" w:lineRule="auto"/>
      </w:pPr>
      <w:r>
        <w:rPr>
          <w:rFonts w:ascii="Calibri" w:hAnsi="Calibri"/>
          <w:sz w:val="20"/>
        </w:rPr>
        <w:t>[S8] Edmund Optics 0.238x 35 mm TitanTL telecentric lens. FOV, optical specifications and India reference price.</w:t>
      </w:r>
    </w:p>
    <w:p>
      <w:pPr>
        <w:spacing w:before="0" w:after="50" w:line="250" w:lineRule="auto"/>
      </w:pPr>
      <w:r>
        <w:rPr>
          <w:rFonts w:ascii="Calibri" w:hAnsi="Calibri"/>
          <w:sz w:val="20"/>
        </w:rPr>
        <w:t>[S9] Teledyne FLIR Oryx ORX-10G-310S9. 31 MP, global-shutter, 10GigE camera specifications.</w:t>
      </w:r>
    </w:p>
    <w:p>
      <w:pPr>
        <w:spacing w:before="0" w:after="50" w:line="250" w:lineRule="auto"/>
      </w:pPr>
      <w:r>
        <w:rPr>
          <w:rFonts w:ascii="Calibri" w:hAnsi="Calibri"/>
          <w:sz w:val="20"/>
        </w:rPr>
        <w:t>[S10] Bosch Sensortec BME690. Condensation robustness and application-specific gas-sensing ecosystem.</w:t>
      </w:r>
    </w:p>
    <w:p>
      <w:pPr>
        <w:spacing w:before="0" w:after="50" w:line="250" w:lineRule="auto"/>
      </w:pPr>
      <w:r>
        <w:rPr>
          <w:rFonts w:ascii="Calibri" w:hAnsi="Calibri"/>
          <w:sz w:val="20"/>
        </w:rPr>
        <w:t>[S11] STMicroelectronics VL53L8CX. 8x8 multizone ToF specification.</w:t>
      </w:r>
    </w:p>
    <w:p>
      <w:pPr>
        <w:spacing w:before="0" w:after="50" w:line="250" w:lineRule="auto"/>
      </w:pPr>
      <w:r>
        <w:rPr>
          <w:rFonts w:ascii="Calibri" w:hAnsi="Calibri"/>
          <w:sz w:val="20"/>
        </w:rPr>
        <w:t>[S12] EUCAST Clinical Breakpoint Tables. Current structured breakpoint and interpretation context.</w:t>
      </w:r>
    </w:p>
    <w:p>
      <w:pPr>
        <w:spacing w:before="0" w:after="50" w:line="250" w:lineRule="auto"/>
      </w:pPr>
      <w:r>
        <w:rPr>
          <w:rFonts w:ascii="Calibri" w:hAnsi="Calibri"/>
          <w:sz w:val="20"/>
        </w:rPr>
        <w:t>[S13] EUCAST Breakpoints for Rapid AST. Method- and time-specific RAST tables.</w:t>
      </w:r>
    </w:p>
    <w:p>
      <w:pPr>
        <w:spacing w:before="0" w:after="50" w:line="250" w:lineRule="auto"/>
      </w:pPr>
      <w:r>
        <w:rPr>
          <w:rFonts w:ascii="Calibri" w:hAnsi="Calibri"/>
          <w:sz w:val="20"/>
        </w:rPr>
        <w:t>[S14] CLSI M100 / Breakpoint Implementation Toolkit. Current breakpoints, QC and update/verification context.</w:t>
      </w:r>
    </w:p>
    <w:p>
      <w:pPr>
        <w:spacing w:before="0" w:after="50" w:line="250" w:lineRule="auto"/>
      </w:pPr>
      <w:r>
        <w:rPr>
          <w:rFonts w:ascii="Calibri" w:hAnsi="Calibri"/>
          <w:sz w:val="20"/>
        </w:rPr>
        <w:t>[S15] ISO 20776-1:2019. Broth microdilution reference-method description.</w:t>
      </w:r>
    </w:p>
    <w:p>
      <w:pPr>
        <w:spacing w:before="0" w:after="50" w:line="250" w:lineRule="auto"/>
      </w:pPr>
      <w:r>
        <w:rPr>
          <w:rFonts w:ascii="Calibri" w:hAnsi="Calibri"/>
          <w:sz w:val="20"/>
        </w:rPr>
        <w:t>[S16] bioMérieux VITEK 2. Commercial integrated ID/AST benchmark.</w:t>
      </w:r>
    </w:p>
    <w:p>
      <w:pPr>
        <w:spacing w:before="0" w:after="50" w:line="250" w:lineRule="auto"/>
      </w:pPr>
      <w:r>
        <w:rPr>
          <w:rFonts w:ascii="Calibri" w:hAnsi="Calibri"/>
          <w:sz w:val="20"/>
        </w:rPr>
        <w:t>[S17] BD Phoenix M50. Automated ID/AST benchmark.</w:t>
      </w:r>
    </w:p>
    <w:p>
      <w:pPr>
        <w:spacing w:before="0" w:after="50" w:line="250" w:lineRule="auto"/>
      </w:pPr>
      <w:r>
        <w:rPr>
          <w:rFonts w:ascii="Calibri" w:hAnsi="Calibri"/>
          <w:sz w:val="20"/>
        </w:rPr>
        <w:t>[S18] COPAN WASPLab / Colibrí. Full-laboratory automation, imaging and colony-workup benchmark.</w:t>
      </w:r>
    </w:p>
    <w:p>
      <w:pPr>
        <w:spacing w:before="0" w:after="50" w:line="250" w:lineRule="auto"/>
      </w:pPr>
      <w:r>
        <w:rPr>
          <w:rFonts w:ascii="Calibri" w:hAnsi="Calibri"/>
          <w:sz w:val="20"/>
        </w:rPr>
        <w:t>[S19] Reshape Smart Incubator. Continuous imaging, AI analysis, plate formats and research/QC benchmark.</w:t>
      </w:r>
    </w:p>
    <w:p>
      <w:pPr>
        <w:spacing w:before="0" w:after="50" w:line="250" w:lineRule="auto"/>
      </w:pPr>
      <w:r>
        <w:rPr>
          <w:rFonts w:ascii="Calibri" w:hAnsi="Calibri"/>
          <w:sz w:val="20"/>
        </w:rPr>
        <w:t>[S20] CDSCO In Vitro Diagnostics. India IVD regulatory framework and risk classification context.</w:t>
      </w:r>
    </w:p>
    <w:p>
      <w:pPr>
        <w:pStyle w:val="Heading2"/>
        <w:keepNext/>
        <w:keepLines/>
      </w:pPr>
      <w:r>
        <w:rPr>
          <w:color w:val="000000"/>
        </w:rPr>
        <w:t>External source catalogue</w:t>
      </w:r>
    </w:p>
    <w:p>
      <w:pPr>
        <w:spacing w:before="0" w:after="50" w:line="250" w:lineRule="auto"/>
      </w:pPr>
      <w:r>
        <w:rPr>
          <w:rFonts w:ascii="Calibri" w:hAnsi="Calibri"/>
          <w:sz w:val="20"/>
        </w:rPr>
        <w:t>[1] </w:t>
      </w:r>
      <w:hyperlink r:id="rId50">
        <w:r>
          <w:t>https://africacdc.org/</w:t>
        </w:r>
      </w:hyperlink>
    </w:p>
    <w:p>
      <w:pPr>
        <w:spacing w:before="0" w:after="50" w:line="250" w:lineRule="auto"/>
      </w:pPr>
      <w:r>
        <w:rPr>
          <w:rFonts w:ascii="Calibri" w:hAnsi="Calibri"/>
          <w:sz w:val="20"/>
        </w:rPr>
        <w:t>[2] </w:t>
      </w:r>
      <w:hyperlink r:id="rId51">
        <w:r>
          <w:t>https://africacdc.org/download/antimicrobial-resistance-control-framework-2026-2030/</w:t>
        </w:r>
      </w:hyperlink>
    </w:p>
    <w:p>
      <w:pPr>
        <w:spacing w:before="0" w:after="50" w:line="250" w:lineRule="auto"/>
      </w:pPr>
      <w:r>
        <w:rPr>
          <w:rFonts w:ascii="Calibri" w:hAnsi="Calibri"/>
          <w:sz w:val="20"/>
        </w:rPr>
        <w:t>[3] </w:t>
      </w:r>
      <w:hyperlink r:id="rId52">
        <w:r>
          <w:t>https://africacdc.org/news-item/africa-cdc-aslm-and-the-european-union-launch-one-health-laboratory-initiative-to-strengthen-amr-control-in-africa/</w:t>
        </w:r>
      </w:hyperlink>
    </w:p>
    <w:p>
      <w:pPr>
        <w:spacing w:before="0" w:after="50" w:line="250" w:lineRule="auto"/>
      </w:pPr>
      <w:r>
        <w:rPr>
          <w:rFonts w:ascii="Calibri" w:hAnsi="Calibri"/>
          <w:sz w:val="20"/>
        </w:rPr>
        <w:t>[4] </w:t>
      </w:r>
      <w:hyperlink r:id="rId53">
        <w:r>
          <w:t>https://africacdc.org/rislnet/</w:t>
        </w:r>
      </w:hyperlink>
    </w:p>
    <w:p>
      <w:pPr>
        <w:spacing w:before="0" w:after="50" w:line="250" w:lineRule="auto"/>
      </w:pPr>
      <w:r>
        <w:rPr>
          <w:rFonts w:ascii="Calibri" w:hAnsi="Calibri"/>
          <w:sz w:val="20"/>
        </w:rPr>
        <w:t>[5] </w:t>
      </w:r>
      <w:hyperlink r:id="rId54">
        <w:r>
          <w:t>https://apps.who.int/gb/ebwha/pdf_files/WHA79/A79_5Add2-en.pdf</w:t>
        </w:r>
      </w:hyperlink>
    </w:p>
    <w:p>
      <w:pPr>
        <w:spacing w:before="0" w:after="50" w:line="250" w:lineRule="auto"/>
      </w:pPr>
      <w:r>
        <w:rPr>
          <w:rFonts w:ascii="Calibri" w:hAnsi="Calibri"/>
          <w:sz w:val="20"/>
        </w:rPr>
        <w:t>[6] </w:t>
      </w:r>
      <w:hyperlink r:id="rId55">
        <w:r>
          <w:t>https://astrobiology.nasa.gov/about/</w:t>
        </w:r>
      </w:hyperlink>
    </w:p>
    <w:p>
      <w:pPr>
        <w:spacing w:before="0" w:after="50" w:line="250" w:lineRule="auto"/>
      </w:pPr>
      <w:r>
        <w:rPr>
          <w:rFonts w:ascii="Calibri" w:hAnsi="Calibri"/>
          <w:sz w:val="20"/>
        </w:rPr>
        <w:t>[7] </w:t>
      </w:r>
      <w:hyperlink r:id="rId56">
        <w:r>
          <w:t>https://astrobiology.nasa.gov/research/astrobiology-at-nasa/planetary-protection-research/</w:t>
        </w:r>
      </w:hyperlink>
    </w:p>
    <w:p>
      <w:pPr>
        <w:spacing w:before="0" w:after="50" w:line="250" w:lineRule="auto"/>
      </w:pPr>
      <w:r>
        <w:rPr>
          <w:rFonts w:ascii="Calibri" w:hAnsi="Calibri"/>
          <w:sz w:val="20"/>
        </w:rPr>
        <w:t>[8] </w:t>
      </w:r>
      <w:hyperlink r:id="rId57">
        <w:r>
          <w:t>https://ccamp.res.in/</w:t>
        </w:r>
      </w:hyperlink>
    </w:p>
    <w:p>
      <w:pPr>
        <w:spacing w:before="0" w:after="50" w:line="250" w:lineRule="auto"/>
      </w:pPr>
      <w:r>
        <w:rPr>
          <w:rFonts w:ascii="Calibri" w:hAnsi="Calibri"/>
          <w:sz w:val="20"/>
        </w:rPr>
        <w:t>[9] </w:t>
      </w:r>
      <w:hyperlink r:id="rId58">
        <w:r>
          <w:t>https://ccari.res.in/Shirish.html</w:t>
        </w:r>
      </w:hyperlink>
    </w:p>
    <w:p>
      <w:pPr>
        <w:spacing w:before="0" w:after="50" w:line="250" w:lineRule="auto"/>
      </w:pPr>
      <w:r>
        <w:rPr>
          <w:rFonts w:ascii="Calibri" w:hAnsi="Calibri"/>
          <w:sz w:val="20"/>
        </w:rPr>
        <w:t>[10] </w:t>
      </w:r>
      <w:hyperlink r:id="rId59">
        <w:r>
          <w:t>https://ccari.res.in/estuarinecage231025.html</w:t>
        </w:r>
      </w:hyperlink>
    </w:p>
    <w:p>
      <w:pPr>
        <w:spacing w:before="0" w:after="50" w:line="250" w:lineRule="auto"/>
      </w:pPr>
      <w:r>
        <w:rPr>
          <w:rFonts w:ascii="Calibri" w:hAnsi="Calibri"/>
          <w:sz w:val="20"/>
        </w:rPr>
        <w:t>[11] [PDF] Guidance document on Medical Device Software under MDR-2017</w:t>
        <w:br/>
        <w:t>https://cdsco.gov.in/opencms/export/sites/CDSCO_WEB/Pdf-documents/Guidance-document-on-Medical-Device-Software-under-MDR-2017.pdf</w:t>
      </w:r>
    </w:p>
    <w:p>
      <w:pPr>
        <w:spacing w:before="0" w:after="50" w:line="250" w:lineRule="auto"/>
      </w:pPr>
      <w:r>
        <w:rPr>
          <w:rFonts w:ascii="Calibri" w:hAnsi="Calibri"/>
          <w:sz w:val="20"/>
        </w:rPr>
        <w:t>[12] </w:t>
      </w:r>
      <w:hyperlink r:id="rId60">
        <w:r>
          <w:t>https://cdsco.gov.in/opencms/opencms/en/Departments/Sub-Zone/Goa/</w:t>
        </w:r>
      </w:hyperlink>
    </w:p>
    <w:p>
      <w:pPr>
        <w:spacing w:before="0" w:after="50" w:line="250" w:lineRule="auto"/>
      </w:pPr>
      <w:r>
        <w:rPr>
          <w:rFonts w:ascii="Calibri" w:hAnsi="Calibri"/>
          <w:sz w:val="20"/>
        </w:rPr>
        <w:t>[13] Breakpoints Archived From CLSI Document M100 Since ...</w:t>
        <w:br/>
        <w:t>https://clsi.org/</w:t>
      </w:r>
    </w:p>
    <w:p>
      <w:pPr>
        <w:spacing w:before="0" w:after="50" w:line="250" w:lineRule="auto"/>
      </w:pPr>
      <w:r>
        <w:rPr>
          <w:rFonts w:ascii="Calibri" w:hAnsi="Calibri"/>
          <w:sz w:val="20"/>
        </w:rPr>
        <w:t>[14] </w:t>
      </w:r>
      <w:hyperlink r:id="rId61">
        <w:r>
          <w:t>https://clsi.org/about/press-releases/clsi-publishes-three-new-editions-of-antifungal-documents/</w:t>
        </w:r>
      </w:hyperlink>
    </w:p>
    <w:p>
      <w:pPr>
        <w:spacing w:before="0" w:after="50" w:line="250" w:lineRule="auto"/>
      </w:pPr>
      <w:r>
        <w:rPr>
          <w:rFonts w:ascii="Calibri" w:hAnsi="Calibri"/>
          <w:sz w:val="20"/>
        </w:rPr>
        <w:t>[15] </w:t>
      </w:r>
      <w:hyperlink r:id="rId62">
        <w:r>
          <w:t>https://clsi.org/htd/listallterms.asp</w:t>
        </w:r>
      </w:hyperlink>
    </w:p>
    <w:p>
      <w:pPr>
        <w:spacing w:before="0" w:after="50" w:line="250" w:lineRule="auto"/>
      </w:pPr>
      <w:r>
        <w:rPr>
          <w:rFonts w:ascii="Calibri" w:hAnsi="Calibri"/>
          <w:sz w:val="20"/>
        </w:rPr>
        <w:t>[16] Breakpoint Implementation Toolkit (BIT) | Resources | CLSI</w:t>
        <w:br/>
        <w:t>https://clsi.org/resources/breakpoint-implementation-toolkit/</w:t>
      </w:r>
    </w:p>
    <w:p>
      <w:pPr>
        <w:spacing w:before="0" w:after="50" w:line="250" w:lineRule="auto"/>
      </w:pPr>
      <w:r>
        <w:rPr>
          <w:rFonts w:ascii="Calibri" w:hAnsi="Calibri"/>
          <w:sz w:val="20"/>
        </w:rPr>
        <w:t>[17] </w:t>
      </w:r>
      <w:hyperlink r:id="rId63">
        <w:r>
          <w:t>https://clsi.org/shop/standards/m02/</w:t>
        </w:r>
      </w:hyperlink>
    </w:p>
    <w:p>
      <w:pPr>
        <w:spacing w:before="0" w:after="50" w:line="250" w:lineRule="auto"/>
      </w:pPr>
      <w:r>
        <w:rPr>
          <w:rFonts w:ascii="Calibri" w:hAnsi="Calibri"/>
          <w:sz w:val="20"/>
        </w:rPr>
        <w:t>[18] </w:t>
      </w:r>
      <w:hyperlink r:id="rId64">
        <w:r>
          <w:t>https://clsi.org/shop/standards/m02qg/</w:t>
        </w:r>
      </w:hyperlink>
    </w:p>
    <w:p>
      <w:pPr>
        <w:spacing w:before="0" w:after="50" w:line="250" w:lineRule="auto"/>
      </w:pPr>
      <w:r>
        <w:rPr>
          <w:rFonts w:ascii="Calibri" w:hAnsi="Calibri"/>
          <w:sz w:val="20"/>
        </w:rPr>
        <w:t>[19] M100 | Performance Standards for Antimicrobial Susceptibility Testing</w:t>
        <w:br/>
        <w:t>https://clsi.org/shop/standards/m100/</w:t>
      </w:r>
    </w:p>
    <w:p>
      <w:pPr>
        <w:spacing w:before="0" w:after="50" w:line="250" w:lineRule="auto"/>
      </w:pPr>
      <w:r>
        <w:rPr>
          <w:rFonts w:ascii="Calibri" w:hAnsi="Calibri"/>
          <w:sz w:val="20"/>
        </w:rPr>
        <w:t>[20] </w:t>
      </w:r>
      <w:hyperlink r:id="rId65">
        <w:r>
          <w:t>https://clsi.org/shop/standards/m23s3/</w:t>
        </w:r>
      </w:hyperlink>
    </w:p>
    <w:p>
      <w:pPr>
        <w:spacing w:before="0" w:after="50" w:line="250" w:lineRule="auto"/>
      </w:pPr>
      <w:r>
        <w:rPr>
          <w:rFonts w:ascii="Calibri" w:hAnsi="Calibri"/>
          <w:sz w:val="20"/>
        </w:rPr>
        <w:t>[21] </w:t>
      </w:r>
      <w:hyperlink r:id="rId66">
        <w:r>
          <w:t>https://clsi.org/shop/standards/m24/</w:t>
        </w:r>
      </w:hyperlink>
    </w:p>
    <w:p>
      <w:pPr>
        <w:spacing w:before="0" w:after="50" w:line="250" w:lineRule="auto"/>
      </w:pPr>
      <w:r>
        <w:rPr>
          <w:rFonts w:ascii="Calibri" w:hAnsi="Calibri"/>
          <w:sz w:val="20"/>
        </w:rPr>
        <w:t>[22] </w:t>
      </w:r>
      <w:hyperlink r:id="rId67">
        <w:r>
          <w:t>https://clsi.org/shop/standards/m24s/</w:t>
        </w:r>
      </w:hyperlink>
    </w:p>
    <w:p>
      <w:pPr>
        <w:spacing w:before="0" w:after="50" w:line="250" w:lineRule="auto"/>
      </w:pPr>
      <w:r>
        <w:rPr>
          <w:rFonts w:ascii="Calibri" w:hAnsi="Calibri"/>
          <w:sz w:val="20"/>
        </w:rPr>
        <w:t>[23] </w:t>
      </w:r>
      <w:hyperlink r:id="rId68">
        <w:r>
          <w:t>https://clsi.org/shop/standards/m39/</w:t>
        </w:r>
      </w:hyperlink>
    </w:p>
    <w:p>
      <w:pPr>
        <w:spacing w:before="0" w:after="50" w:line="250" w:lineRule="auto"/>
      </w:pPr>
      <w:r>
        <w:rPr>
          <w:rFonts w:ascii="Calibri" w:hAnsi="Calibri"/>
          <w:sz w:val="20"/>
        </w:rPr>
        <w:t>[24] </w:t>
      </w:r>
      <w:hyperlink r:id="rId69">
        <w:r>
          <w:t>https://clsi.org/shop/standards/m44/</w:t>
        </w:r>
      </w:hyperlink>
    </w:p>
    <w:p>
      <w:pPr>
        <w:spacing w:before="0" w:after="50" w:line="250" w:lineRule="auto"/>
      </w:pPr>
      <w:r>
        <w:rPr>
          <w:rFonts w:ascii="Calibri" w:hAnsi="Calibri"/>
          <w:sz w:val="20"/>
        </w:rPr>
        <w:t>[25] </w:t>
      </w:r>
      <w:hyperlink r:id="rId70">
        <w:r>
          <w:t>https://clsi.org/shop/standards/m52/</w:t>
        </w:r>
      </w:hyperlink>
    </w:p>
    <w:p>
      <w:pPr>
        <w:spacing w:before="0" w:after="50" w:line="250" w:lineRule="auto"/>
      </w:pPr>
      <w:r>
        <w:rPr>
          <w:rFonts w:ascii="Calibri" w:hAnsi="Calibri"/>
          <w:sz w:val="20"/>
        </w:rPr>
        <w:t>[26] </w:t>
      </w:r>
      <w:hyperlink r:id="rId71">
        <w:r>
          <w:t>https://clsi.org/shop/standards/vet01/</w:t>
        </w:r>
      </w:hyperlink>
    </w:p>
    <w:p>
      <w:pPr>
        <w:spacing w:before="0" w:after="50" w:line="250" w:lineRule="auto"/>
      </w:pPr>
      <w:r>
        <w:rPr>
          <w:rFonts w:ascii="Calibri" w:hAnsi="Calibri"/>
          <w:sz w:val="20"/>
        </w:rPr>
        <w:t>[27] </w:t>
      </w:r>
      <w:hyperlink r:id="rId72">
        <w:r>
          <w:t>https://clsi.org/shop/standards/vet03/</w:t>
        </w:r>
      </w:hyperlink>
    </w:p>
    <w:p>
      <w:pPr>
        <w:spacing w:before="0" w:after="50" w:line="250" w:lineRule="auto"/>
      </w:pPr>
      <w:r>
        <w:rPr>
          <w:rFonts w:ascii="Calibri" w:hAnsi="Calibri"/>
          <w:sz w:val="20"/>
        </w:rPr>
        <w:t>[28] </w:t>
      </w:r>
      <w:hyperlink r:id="rId73">
        <w:r>
          <w:t>https://clsi.org/shop/standards/vet04/</w:t>
        </w:r>
      </w:hyperlink>
    </w:p>
    <w:p>
      <w:pPr>
        <w:spacing w:before="0" w:after="50" w:line="250" w:lineRule="auto"/>
      </w:pPr>
      <w:r>
        <w:rPr>
          <w:rFonts w:ascii="Calibri" w:hAnsi="Calibri"/>
          <w:sz w:val="20"/>
        </w:rPr>
        <w:t>[29] </w:t>
      </w:r>
      <w:hyperlink r:id="rId74">
        <w:r>
          <w:t>https://clsi.org/terms-and-conditions/copyright-policy/</w:t>
        </w:r>
      </w:hyperlink>
    </w:p>
    <w:p>
      <w:pPr>
        <w:spacing w:before="0" w:after="50" w:line="250" w:lineRule="auto"/>
      </w:pPr>
      <w:r>
        <w:rPr>
          <w:rFonts w:ascii="Calibri" w:hAnsi="Calibri"/>
          <w:sz w:val="20"/>
        </w:rPr>
        <w:t>[30] </w:t>
      </w:r>
      <w:hyperlink r:id="rId75">
        <w:r>
          <w:t>https://developer.nvidia.com/embedded/lifecycle</w:t>
        </w:r>
      </w:hyperlink>
    </w:p>
    <w:p>
      <w:pPr>
        <w:spacing w:before="0" w:after="50" w:line="250" w:lineRule="auto"/>
      </w:pPr>
      <w:r>
        <w:rPr>
          <w:rFonts w:ascii="Calibri" w:hAnsi="Calibri"/>
          <w:sz w:val="20"/>
        </w:rPr>
        <w:t>[31] स्वास्थ्य सेवा महानिदेशालय</w:t>
        <w:br/>
        <w:t>https://dghs.mohfw.gov.in/</w:t>
      </w:r>
    </w:p>
    <w:p>
      <w:pPr>
        <w:spacing w:before="0" w:after="50" w:line="250" w:lineRule="auto"/>
      </w:pPr>
      <w:r>
        <w:rPr>
          <w:rFonts w:ascii="Calibri" w:hAnsi="Calibri"/>
          <w:sz w:val="20"/>
        </w:rPr>
        <w:t>[32] </w:t>
      </w:r>
      <w:hyperlink r:id="rId76">
        <w:r>
          <w:t>https://docs.openelisci.org/</w:t>
        </w:r>
      </w:hyperlink>
    </w:p>
    <w:p>
      <w:pPr>
        <w:spacing w:before="0" w:after="50" w:line="250" w:lineRule="auto"/>
      </w:pPr>
      <w:r>
        <w:rPr>
          <w:rFonts w:ascii="Calibri" w:hAnsi="Calibri"/>
          <w:sz w:val="20"/>
        </w:rPr>
        <w:t>[33] </w:t>
      </w:r>
      <w:hyperlink r:id="rId77">
        <w:r>
          <w:t>https://doi.org/10.1007/s00284-024-03710-z</w:t>
        </w:r>
      </w:hyperlink>
    </w:p>
    <w:p>
      <w:pPr>
        <w:spacing w:before="0" w:after="50" w:line="250" w:lineRule="auto"/>
      </w:pPr>
      <w:r>
        <w:rPr>
          <w:rFonts w:ascii="Calibri" w:hAnsi="Calibri"/>
          <w:sz w:val="20"/>
        </w:rPr>
        <w:t>[34] </w:t>
      </w:r>
      <w:hyperlink r:id="rId78">
        <w:r>
          <w:t>https://doi.org/10.1007/s10096-025-05362-8</w:t>
        </w:r>
      </w:hyperlink>
    </w:p>
    <w:p>
      <w:pPr>
        <w:spacing w:before="0" w:after="50" w:line="250" w:lineRule="auto"/>
      </w:pPr>
      <w:r>
        <w:rPr>
          <w:rFonts w:ascii="Calibri" w:hAnsi="Calibri"/>
          <w:sz w:val="20"/>
        </w:rPr>
        <w:t>[35] </w:t>
      </w:r>
      <w:hyperlink r:id="rId79">
        <w:r>
          <w:t>https://doi.org/10.1016/j.anaerobe.2026.103025</w:t>
        </w:r>
      </w:hyperlink>
    </w:p>
    <w:p>
      <w:pPr>
        <w:spacing w:before="0" w:after="50" w:line="250" w:lineRule="auto"/>
      </w:pPr>
      <w:r>
        <w:rPr>
          <w:rFonts w:ascii="Calibri" w:hAnsi="Calibri"/>
          <w:sz w:val="20"/>
        </w:rPr>
        <w:t>[36] </w:t>
      </w:r>
      <w:hyperlink r:id="rId80">
        <w:r>
          <w:t>https://doi.org/10.1016/j.bios.2021.113876</w:t>
        </w:r>
      </w:hyperlink>
    </w:p>
    <w:p>
      <w:pPr>
        <w:spacing w:before="0" w:after="50" w:line="250" w:lineRule="auto"/>
      </w:pPr>
      <w:r>
        <w:rPr>
          <w:rFonts w:ascii="Calibri" w:hAnsi="Calibri"/>
          <w:sz w:val="20"/>
        </w:rPr>
        <w:t>[37] </w:t>
      </w:r>
      <w:hyperlink r:id="rId81">
        <w:r>
          <w:t>https://doi.org/10.1016/j.bios.2022.115056</w:t>
        </w:r>
      </w:hyperlink>
    </w:p>
    <w:p>
      <w:pPr>
        <w:spacing w:before="0" w:after="50" w:line="250" w:lineRule="auto"/>
      </w:pPr>
      <w:r>
        <w:rPr>
          <w:rFonts w:ascii="Calibri" w:hAnsi="Calibri"/>
          <w:sz w:val="20"/>
        </w:rPr>
        <w:t>[38] </w:t>
      </w:r>
      <w:hyperlink r:id="rId82">
        <w:r>
          <w:t>https://doi.org/10.1016/j.cmi.2025.07.012</w:t>
        </w:r>
      </w:hyperlink>
    </w:p>
    <w:p>
      <w:pPr>
        <w:spacing w:before="0" w:after="50" w:line="250" w:lineRule="auto"/>
      </w:pPr>
      <w:r>
        <w:rPr>
          <w:rFonts w:ascii="Calibri" w:hAnsi="Calibri"/>
          <w:sz w:val="20"/>
        </w:rPr>
        <w:t>[39] </w:t>
      </w:r>
      <w:hyperlink r:id="rId83">
        <w:r>
          <w:t>https://doi.org/10.1016/j.measurement.2019.06.041</w:t>
        </w:r>
      </w:hyperlink>
    </w:p>
    <w:p>
      <w:pPr>
        <w:spacing w:before="0" w:after="50" w:line="250" w:lineRule="auto"/>
      </w:pPr>
      <w:r>
        <w:rPr>
          <w:rFonts w:ascii="Calibri" w:hAnsi="Calibri"/>
          <w:sz w:val="20"/>
        </w:rPr>
        <w:t>[40] </w:t>
      </w:r>
      <w:hyperlink r:id="rId84">
        <w:r>
          <w:t>https://doi.org/10.1016/s0140-6736(24)01867-1</w:t>
        </w:r>
      </w:hyperlink>
    </w:p>
    <w:p>
      <w:pPr>
        <w:spacing w:before="0" w:after="50" w:line="250" w:lineRule="auto"/>
      </w:pPr>
      <w:r>
        <w:rPr>
          <w:rFonts w:ascii="Calibri" w:hAnsi="Calibri"/>
          <w:sz w:val="20"/>
        </w:rPr>
        <w:t>[41] </w:t>
      </w:r>
      <w:hyperlink r:id="rId85">
        <w:r>
          <w:t>https://doi.org/10.1021/acs.analchem.2c03683</w:t>
        </w:r>
      </w:hyperlink>
    </w:p>
    <w:p>
      <w:pPr>
        <w:spacing w:before="0" w:after="50" w:line="250" w:lineRule="auto"/>
      </w:pPr>
      <w:r>
        <w:rPr>
          <w:rFonts w:ascii="Calibri" w:hAnsi="Calibri"/>
          <w:sz w:val="20"/>
        </w:rPr>
        <w:t>[42] </w:t>
      </w:r>
      <w:hyperlink r:id="rId86">
        <w:r>
          <w:t>https://doi.org/10.1038/nmicrobiol.2016.53</w:t>
        </w:r>
      </w:hyperlink>
    </w:p>
    <w:p>
      <w:pPr>
        <w:spacing w:before="0" w:after="50" w:line="250" w:lineRule="auto"/>
      </w:pPr>
      <w:r>
        <w:rPr>
          <w:rFonts w:ascii="Calibri" w:hAnsi="Calibri"/>
          <w:sz w:val="20"/>
        </w:rPr>
        <w:t>[43] </w:t>
      </w:r>
      <w:hyperlink r:id="rId87">
        <w:r>
          <w:t>https://doi.org/10.1038/s41467-018-06912-9</w:t>
        </w:r>
      </w:hyperlink>
    </w:p>
    <w:p>
      <w:pPr>
        <w:spacing w:before="0" w:after="50" w:line="250" w:lineRule="auto"/>
      </w:pPr>
      <w:r>
        <w:rPr>
          <w:rFonts w:ascii="Calibri" w:hAnsi="Calibri"/>
          <w:sz w:val="20"/>
        </w:rPr>
        <w:t>[44] </w:t>
      </w:r>
      <w:hyperlink r:id="rId88">
        <w:r>
          <w:t>https://doi.org/10.1038/s41467-020-18902-x</w:t>
        </w:r>
      </w:hyperlink>
    </w:p>
    <w:p>
      <w:pPr>
        <w:spacing w:before="0" w:after="50" w:line="250" w:lineRule="auto"/>
      </w:pPr>
      <w:r>
        <w:rPr>
          <w:rFonts w:ascii="Calibri" w:hAnsi="Calibri"/>
          <w:sz w:val="20"/>
        </w:rPr>
        <w:t>[45] </w:t>
      </w:r>
      <w:hyperlink r:id="rId89">
        <w:r>
          <w:t>https://doi.org/10.1038/s41467-021-21187-3</w:t>
        </w:r>
      </w:hyperlink>
    </w:p>
    <w:p>
      <w:pPr>
        <w:spacing w:before="0" w:after="50" w:line="250" w:lineRule="auto"/>
      </w:pPr>
      <w:r>
        <w:rPr>
          <w:rFonts w:ascii="Calibri" w:hAnsi="Calibri"/>
          <w:sz w:val="20"/>
        </w:rPr>
        <w:t>[46] </w:t>
      </w:r>
      <w:hyperlink r:id="rId90">
        <w:r>
          <w:t>https://doi.org/10.1038/s41564-019-0480-z</w:t>
        </w:r>
      </w:hyperlink>
    </w:p>
    <w:p>
      <w:pPr>
        <w:spacing w:before="0" w:after="50" w:line="250" w:lineRule="auto"/>
      </w:pPr>
      <w:r>
        <w:rPr>
          <w:rFonts w:ascii="Calibri" w:hAnsi="Calibri"/>
          <w:sz w:val="20"/>
        </w:rPr>
        <w:t>[47] </w:t>
      </w:r>
      <w:hyperlink r:id="rId91">
        <w:r>
          <w:t>https://doi.org/10.1038/s41597-023-02404-8</w:t>
        </w:r>
      </w:hyperlink>
    </w:p>
    <w:p>
      <w:pPr>
        <w:spacing w:before="0" w:after="50" w:line="250" w:lineRule="auto"/>
      </w:pPr>
      <w:r>
        <w:rPr>
          <w:rFonts w:ascii="Calibri" w:hAnsi="Calibri"/>
          <w:sz w:val="20"/>
        </w:rPr>
        <w:t>[48] </w:t>
      </w:r>
      <w:hyperlink r:id="rId92">
        <w:r>
          <w:t>https://doi.org/10.1038/s41597-026-07095-5</w:t>
        </w:r>
      </w:hyperlink>
    </w:p>
    <w:p>
      <w:pPr>
        <w:spacing w:before="0" w:after="50" w:line="250" w:lineRule="auto"/>
      </w:pPr>
      <w:r>
        <w:rPr>
          <w:rFonts w:ascii="Calibri" w:hAnsi="Calibri"/>
          <w:sz w:val="20"/>
        </w:rPr>
        <w:t>[49] </w:t>
      </w:r>
      <w:hyperlink r:id="rId93">
        <w:r>
          <w:t>https://doi.org/10.1038/s41598-023-50296-w</w:t>
        </w:r>
      </w:hyperlink>
    </w:p>
    <w:p>
      <w:pPr>
        <w:spacing w:before="0" w:after="50" w:line="250" w:lineRule="auto"/>
      </w:pPr>
      <w:r>
        <w:rPr>
          <w:rFonts w:ascii="Calibri" w:hAnsi="Calibri"/>
          <w:sz w:val="20"/>
        </w:rPr>
        <w:t>[50] </w:t>
      </w:r>
      <w:hyperlink r:id="rId94">
        <w:r>
          <w:t>https://doi.org/10.1038/s44259-025-00082-7</w:t>
        </w:r>
      </w:hyperlink>
    </w:p>
    <w:p>
      <w:pPr>
        <w:spacing w:before="0" w:after="50" w:line="250" w:lineRule="auto"/>
      </w:pPr>
      <w:r>
        <w:rPr>
          <w:rFonts w:ascii="Calibri" w:hAnsi="Calibri"/>
          <w:sz w:val="20"/>
        </w:rPr>
        <w:t>[51] </w:t>
      </w:r>
      <w:hyperlink r:id="rId95">
        <w:r>
          <w:t>https://doi.org/10.1073/pnas.1708558114</w:t>
        </w:r>
      </w:hyperlink>
    </w:p>
    <w:p>
      <w:pPr>
        <w:spacing w:before="0" w:after="50" w:line="250" w:lineRule="auto"/>
      </w:pPr>
      <w:r>
        <w:rPr>
          <w:rFonts w:ascii="Calibri" w:hAnsi="Calibri"/>
          <w:sz w:val="20"/>
        </w:rPr>
        <w:t>[52] </w:t>
      </w:r>
      <w:hyperlink r:id="rId96">
        <w:r>
          <w:t>https://doi.org/10.1073/pnas.1922172117</w:t>
        </w:r>
      </w:hyperlink>
    </w:p>
    <w:p>
      <w:pPr>
        <w:spacing w:before="0" w:after="50" w:line="250" w:lineRule="auto"/>
      </w:pPr>
      <w:r>
        <w:rPr>
          <w:rFonts w:ascii="Calibri" w:hAnsi="Calibri"/>
          <w:sz w:val="20"/>
        </w:rPr>
        <w:t>[53] </w:t>
      </w:r>
      <w:hyperlink r:id="rId97">
        <w:r>
          <w:t>https://doi.org/10.1093/ajcp/aqab160</w:t>
        </w:r>
      </w:hyperlink>
    </w:p>
    <w:p>
      <w:pPr>
        <w:spacing w:before="0" w:after="50" w:line="250" w:lineRule="auto"/>
      </w:pPr>
      <w:r>
        <w:rPr>
          <w:rFonts w:ascii="Calibri" w:hAnsi="Calibri"/>
          <w:sz w:val="20"/>
        </w:rPr>
        <w:t>[54] </w:t>
      </w:r>
      <w:hyperlink r:id="rId98">
        <w:r>
          <w:t>https://doi.org/10.1093/jac/dkae325</w:t>
        </w:r>
      </w:hyperlink>
    </w:p>
    <w:p>
      <w:pPr>
        <w:spacing w:before="0" w:after="50" w:line="250" w:lineRule="auto"/>
      </w:pPr>
      <w:r>
        <w:rPr>
          <w:rFonts w:ascii="Calibri" w:hAnsi="Calibri"/>
          <w:sz w:val="20"/>
        </w:rPr>
        <w:t>[55] </w:t>
      </w:r>
      <w:hyperlink r:id="rId99">
        <w:r>
          <w:t>https://doi.org/10.1093/jac/dkv309</w:t>
        </w:r>
      </w:hyperlink>
    </w:p>
    <w:p>
      <w:pPr>
        <w:spacing w:before="0" w:after="50" w:line="250" w:lineRule="auto"/>
      </w:pPr>
      <w:r>
        <w:rPr>
          <w:rFonts w:ascii="Calibri" w:hAnsi="Calibri"/>
          <w:sz w:val="20"/>
        </w:rPr>
        <w:t>[56] </w:t>
      </w:r>
      <w:hyperlink r:id="rId100">
        <w:r>
          <w:t>https://doi.org/10.1099/mic.0.000295</w:t>
        </w:r>
      </w:hyperlink>
    </w:p>
    <w:p>
      <w:pPr>
        <w:spacing w:before="0" w:after="50" w:line="250" w:lineRule="auto"/>
      </w:pPr>
      <w:r>
        <w:rPr>
          <w:rFonts w:ascii="Calibri" w:hAnsi="Calibri"/>
          <w:sz w:val="20"/>
        </w:rPr>
        <w:t>[57] </w:t>
      </w:r>
      <w:hyperlink r:id="rId101">
        <w:r>
          <w:t>https://doi.org/10.1111/apm.13470</w:t>
        </w:r>
      </w:hyperlink>
    </w:p>
    <w:p>
      <w:pPr>
        <w:spacing w:before="0" w:after="50" w:line="250" w:lineRule="auto"/>
      </w:pPr>
      <w:r>
        <w:rPr>
          <w:rFonts w:ascii="Calibri" w:hAnsi="Calibri"/>
          <w:sz w:val="20"/>
        </w:rPr>
        <w:t>[58] </w:t>
      </w:r>
      <w:hyperlink r:id="rId102">
        <w:r>
          <w:t>https://doi.org/10.1128/jcm.00777-21</w:t>
        </w:r>
      </w:hyperlink>
    </w:p>
    <w:p>
      <w:pPr>
        <w:spacing w:before="0" w:after="50" w:line="250" w:lineRule="auto"/>
      </w:pPr>
      <w:r>
        <w:rPr>
          <w:rFonts w:ascii="Calibri" w:hAnsi="Calibri"/>
          <w:sz w:val="20"/>
        </w:rPr>
        <w:t>[59] </w:t>
      </w:r>
      <w:hyperlink r:id="rId103">
        <w:r>
          <w:t>https://doi.org/10.1128/jcm.01606-24</w:t>
        </w:r>
      </w:hyperlink>
    </w:p>
    <w:p>
      <w:pPr>
        <w:spacing w:before="0" w:after="50" w:line="250" w:lineRule="auto"/>
      </w:pPr>
      <w:r>
        <w:rPr>
          <w:rFonts w:ascii="Calibri" w:hAnsi="Calibri"/>
          <w:sz w:val="20"/>
        </w:rPr>
        <w:t>[60] </w:t>
      </w:r>
      <w:hyperlink r:id="rId104">
        <w:r>
          <w:t>https://doi.org/10.1128/spectrum.01442-22</w:t>
        </w:r>
      </w:hyperlink>
    </w:p>
    <w:p>
      <w:pPr>
        <w:spacing w:before="0" w:after="50" w:line="250" w:lineRule="auto"/>
      </w:pPr>
      <w:r>
        <w:rPr>
          <w:rFonts w:ascii="Calibri" w:hAnsi="Calibri"/>
          <w:sz w:val="20"/>
        </w:rPr>
        <w:t>[61] </w:t>
      </w:r>
      <w:hyperlink r:id="rId105">
        <w:r>
          <w:t>https://doi.org/10.1186/1471-2180-13-225</w:t>
        </w:r>
      </w:hyperlink>
    </w:p>
    <w:p>
      <w:pPr>
        <w:spacing w:before="0" w:after="50" w:line="250" w:lineRule="auto"/>
      </w:pPr>
      <w:r>
        <w:rPr>
          <w:rFonts w:ascii="Calibri" w:hAnsi="Calibri"/>
          <w:sz w:val="20"/>
        </w:rPr>
        <w:t>[62] </w:t>
      </w:r>
      <w:hyperlink r:id="rId106">
        <w:r>
          <w:t>https://doi.org/10.1186/s13036-025-00542-8</w:t>
        </w:r>
      </w:hyperlink>
    </w:p>
    <w:p>
      <w:pPr>
        <w:spacing w:before="0" w:after="50" w:line="250" w:lineRule="auto"/>
      </w:pPr>
      <w:r>
        <w:rPr>
          <w:rFonts w:ascii="Calibri" w:hAnsi="Calibri"/>
          <w:sz w:val="20"/>
        </w:rPr>
        <w:t>[63] </w:t>
      </w:r>
      <w:hyperlink r:id="rId107">
        <w:r>
          <w:t>https://doi.org/10.1371/journal.pone.0248917</w:t>
        </w:r>
      </w:hyperlink>
    </w:p>
    <w:p>
      <w:pPr>
        <w:spacing w:before="0" w:after="50" w:line="250" w:lineRule="auto"/>
      </w:pPr>
      <w:r>
        <w:rPr>
          <w:rFonts w:ascii="Calibri" w:hAnsi="Calibri"/>
          <w:sz w:val="20"/>
        </w:rPr>
        <w:t>[64] </w:t>
      </w:r>
      <w:hyperlink r:id="rId108">
        <w:r>
          <w:t>https://doi.org/10.1371/journal.pone.0303202</w:t>
        </w:r>
      </w:hyperlink>
    </w:p>
    <w:p>
      <w:pPr>
        <w:spacing w:before="0" w:after="50" w:line="250" w:lineRule="auto"/>
      </w:pPr>
      <w:r>
        <w:rPr>
          <w:rFonts w:ascii="Calibri" w:hAnsi="Calibri"/>
          <w:sz w:val="20"/>
        </w:rPr>
        <w:t>[65] </w:t>
      </w:r>
      <w:hyperlink r:id="rId109">
        <w:r>
          <w:t>https://doi.org/10.1371/journal.pone.0347932</w:t>
        </w:r>
      </w:hyperlink>
    </w:p>
    <w:p>
      <w:pPr>
        <w:spacing w:before="0" w:after="50" w:line="250" w:lineRule="auto"/>
      </w:pPr>
      <w:r>
        <w:rPr>
          <w:rFonts w:ascii="Calibri" w:hAnsi="Calibri"/>
          <w:sz w:val="20"/>
        </w:rPr>
        <w:t>[66] </w:t>
      </w:r>
      <w:hyperlink r:id="rId110">
        <w:r>
          <w:t>https://doi.org/10.25259/ijmr_214_2026</w:t>
        </w:r>
      </w:hyperlink>
    </w:p>
    <w:p>
      <w:pPr>
        <w:spacing w:before="0" w:after="50" w:line="250" w:lineRule="auto"/>
      </w:pPr>
      <w:r>
        <w:rPr>
          <w:rFonts w:ascii="Calibri" w:hAnsi="Calibri"/>
          <w:sz w:val="20"/>
        </w:rPr>
        <w:t>[67] </w:t>
      </w:r>
      <w:hyperlink r:id="rId111">
        <w:r>
          <w:t>https://doi.org/10.31003/uspnf_m98820_04_01</w:t>
        </w:r>
      </w:hyperlink>
    </w:p>
    <w:p>
      <w:pPr>
        <w:spacing w:before="0" w:after="50" w:line="250" w:lineRule="auto"/>
      </w:pPr>
      <w:r>
        <w:rPr>
          <w:rFonts w:ascii="Calibri" w:hAnsi="Calibri"/>
          <w:sz w:val="20"/>
        </w:rPr>
        <w:t>[68] </w:t>
      </w:r>
      <w:hyperlink r:id="rId112">
        <w:r>
          <w:t>https://doi.org/10.3389/fcimb.2025.1536058</w:t>
        </w:r>
      </w:hyperlink>
    </w:p>
    <w:p>
      <w:pPr>
        <w:spacing w:before="0" w:after="50" w:line="250" w:lineRule="auto"/>
      </w:pPr>
      <w:r>
        <w:rPr>
          <w:rFonts w:ascii="Calibri" w:hAnsi="Calibri"/>
          <w:sz w:val="20"/>
        </w:rPr>
        <w:t>[69] </w:t>
      </w:r>
      <w:hyperlink r:id="rId113">
        <w:r>
          <w:t>https://doi.org/10.3389/fmicb.2022.1076965</w:t>
        </w:r>
      </w:hyperlink>
    </w:p>
    <w:p>
      <w:pPr>
        <w:spacing w:before="0" w:after="50" w:line="250" w:lineRule="auto"/>
      </w:pPr>
      <w:r>
        <w:rPr>
          <w:rFonts w:ascii="Calibri" w:hAnsi="Calibri"/>
          <w:sz w:val="20"/>
        </w:rPr>
        <w:t>[70] </w:t>
      </w:r>
      <w:hyperlink r:id="rId114">
        <w:r>
          <w:t>https://doi.org/10.3389/fmicb.2023.1221134</w:t>
        </w:r>
      </w:hyperlink>
    </w:p>
    <w:p>
      <w:pPr>
        <w:spacing w:before="0" w:after="50" w:line="250" w:lineRule="auto"/>
      </w:pPr>
      <w:r>
        <w:rPr>
          <w:rFonts w:ascii="Calibri" w:hAnsi="Calibri"/>
          <w:sz w:val="20"/>
        </w:rPr>
        <w:t>[71] </w:t>
      </w:r>
      <w:hyperlink r:id="rId115">
        <w:r>
          <w:t>https://doi.org/10.3389/fmicb.2026.1810754</w:t>
        </w:r>
      </w:hyperlink>
    </w:p>
    <w:p>
      <w:pPr>
        <w:spacing w:before="0" w:after="50" w:line="250" w:lineRule="auto"/>
      </w:pPr>
      <w:r>
        <w:rPr>
          <w:rFonts w:ascii="Calibri" w:hAnsi="Calibri"/>
          <w:sz w:val="20"/>
        </w:rPr>
        <w:t>[72] </w:t>
      </w:r>
      <w:hyperlink r:id="rId116">
        <w:r>
          <w:t>https://doi.org/10.3855/jidc.21108</w:t>
        </w:r>
      </w:hyperlink>
    </w:p>
    <w:p>
      <w:pPr>
        <w:spacing w:before="0" w:after="50" w:line="250" w:lineRule="auto"/>
      </w:pPr>
      <w:r>
        <w:rPr>
          <w:rFonts w:ascii="Calibri" w:hAnsi="Calibri"/>
          <w:sz w:val="20"/>
        </w:rPr>
        <w:t>[73] </w:t>
      </w:r>
      <w:hyperlink r:id="rId117">
        <w:r>
          <w:t>https://doi.org/10.5061/dryad.5dv41nsfj</w:t>
        </w:r>
      </w:hyperlink>
    </w:p>
    <w:p>
      <w:pPr>
        <w:spacing w:before="0" w:after="50" w:line="250" w:lineRule="auto"/>
      </w:pPr>
      <w:r>
        <w:rPr>
          <w:rFonts w:ascii="Calibri" w:hAnsi="Calibri"/>
          <w:sz w:val="20"/>
        </w:rPr>
        <w:t>[74] </w:t>
      </w:r>
      <w:hyperlink r:id="rId118">
        <w:r>
          <w:t>https://doi.org/10.64898/2026.07.22.739984</w:t>
        </w:r>
      </w:hyperlink>
    </w:p>
    <w:p>
      <w:pPr>
        <w:spacing w:before="0" w:after="50" w:line="250" w:lineRule="auto"/>
      </w:pPr>
      <w:r>
        <w:rPr>
          <w:rFonts w:ascii="Calibri" w:hAnsi="Calibri"/>
          <w:sz w:val="20"/>
        </w:rPr>
        <w:t>[75] </w:t>
      </w:r>
      <w:hyperlink r:id="rId119">
        <w:r>
          <w:t>https://doi.org/10.7759/cureus.30971</w:t>
        </w:r>
      </w:hyperlink>
    </w:p>
    <w:p>
      <w:pPr>
        <w:spacing w:before="0" w:after="50" w:line="250" w:lineRule="auto"/>
      </w:pPr>
      <w:r>
        <w:rPr>
          <w:rFonts w:ascii="Calibri" w:hAnsi="Calibri"/>
          <w:sz w:val="20"/>
        </w:rPr>
        <w:t>[76] </w:t>
      </w:r>
      <w:hyperlink r:id="rId120">
        <w:r>
          <w:t>https://doi.usp.org/USPNF/USPNF_M9153_02_01.html</w:t>
        </w:r>
      </w:hyperlink>
    </w:p>
    <w:p>
      <w:pPr>
        <w:spacing w:before="0" w:after="50" w:line="250" w:lineRule="auto"/>
      </w:pPr>
      <w:r>
        <w:rPr>
          <w:rFonts w:ascii="Calibri" w:hAnsi="Calibri"/>
          <w:sz w:val="20"/>
        </w:rPr>
        <w:t>[77] </w:t>
      </w:r>
      <w:hyperlink r:id="rId121">
        <w:r>
          <w:t>https://doi.usp.org/USPNF/USPNF_M98820_04_01.html</w:t>
        </w:r>
      </w:hyperlink>
    </w:p>
    <w:p>
      <w:pPr>
        <w:spacing w:before="0" w:after="50" w:line="250" w:lineRule="auto"/>
      </w:pPr>
      <w:r>
        <w:rPr>
          <w:rFonts w:ascii="Calibri" w:hAnsi="Calibri"/>
          <w:sz w:val="20"/>
        </w:rPr>
        <w:t>[78] </w:t>
      </w:r>
      <w:hyperlink r:id="rId122">
        <w:r>
          <w:t>https://eur-lex.europa.eu/eli/reg/2016/679/oj/</w:t>
        </w:r>
      </w:hyperlink>
    </w:p>
    <w:p>
      <w:pPr>
        <w:spacing w:before="0" w:after="50" w:line="250" w:lineRule="auto"/>
      </w:pPr>
      <w:r>
        <w:rPr>
          <w:rFonts w:ascii="Calibri" w:hAnsi="Calibri"/>
          <w:sz w:val="20"/>
        </w:rPr>
        <w:t>[79] </w:t>
      </w:r>
      <w:hyperlink r:id="rId123">
        <w:r>
          <w:t>https://eur-lex.europa.eu/eli/reg/2017/746/oj</w:t>
        </w:r>
      </w:hyperlink>
    </w:p>
    <w:p>
      <w:pPr>
        <w:spacing w:before="0" w:after="50" w:line="250" w:lineRule="auto"/>
      </w:pPr>
      <w:r>
        <w:rPr>
          <w:rFonts w:ascii="Calibri" w:hAnsi="Calibri"/>
          <w:sz w:val="20"/>
        </w:rPr>
        <w:t>[80] </w:t>
      </w:r>
      <w:hyperlink r:id="rId124">
        <w:r>
          <w:t>https://gmcgoa.edu.in/department-of-microbiology/</w:t>
        </w:r>
      </w:hyperlink>
    </w:p>
    <w:p>
      <w:pPr>
        <w:spacing w:before="0" w:after="50" w:line="250" w:lineRule="auto"/>
      </w:pPr>
      <w:r>
        <w:rPr>
          <w:rFonts w:ascii="Calibri" w:hAnsi="Calibri"/>
          <w:sz w:val="20"/>
        </w:rPr>
        <w:t>[81] </w:t>
      </w:r>
      <w:hyperlink r:id="rId125">
        <w:r>
          <w:t>https://goa.gov.in/</w:t>
        </w:r>
      </w:hyperlink>
    </w:p>
    <w:p>
      <w:pPr>
        <w:spacing w:before="0" w:after="50" w:line="250" w:lineRule="auto"/>
      </w:pPr>
      <w:r>
        <w:rPr>
          <w:rFonts w:ascii="Calibri" w:hAnsi="Calibri"/>
          <w:sz w:val="20"/>
        </w:rPr>
        <w:t>[82] </w:t>
      </w:r>
      <w:hyperlink r:id="rId126">
        <w:r>
          <w:t>https://health.ec.europa.eu/document/download/12f9756a-1e0d-4aed-9783-d948553f1705_en</w:t>
        </w:r>
      </w:hyperlink>
    </w:p>
    <w:p>
      <w:pPr>
        <w:spacing w:before="0" w:after="50" w:line="250" w:lineRule="auto"/>
      </w:pPr>
      <w:r>
        <w:rPr>
          <w:rFonts w:ascii="Calibri" w:hAnsi="Calibri"/>
          <w:sz w:val="20"/>
        </w:rPr>
        <w:t>[83] </w:t>
      </w:r>
      <w:hyperlink r:id="rId127">
        <w:r>
          <w:t>https://health.ec.europa.eu/latest-updates/mdcg-2020-16-rev5-guidance-classification-rules-vitro-diagnostic-medical-devices-under-regulation-eu-2026-09-09_en</w:t>
        </w:r>
      </w:hyperlink>
    </w:p>
    <w:p>
      <w:pPr>
        <w:spacing w:before="0" w:after="50" w:line="250" w:lineRule="auto"/>
      </w:pPr>
      <w:r>
        <w:rPr>
          <w:rFonts w:ascii="Calibri" w:hAnsi="Calibri"/>
          <w:sz w:val="20"/>
        </w:rPr>
        <w:t>[84] </w:t>
      </w:r>
      <w:hyperlink r:id="rId128">
        <w:r>
          <w:t>https://icars-global.org/</w:t>
        </w:r>
      </w:hyperlink>
    </w:p>
    <w:p>
      <w:pPr>
        <w:spacing w:before="0" w:after="50" w:line="250" w:lineRule="auto"/>
      </w:pPr>
      <w:r>
        <w:rPr>
          <w:rFonts w:ascii="Calibri" w:hAnsi="Calibri"/>
          <w:sz w:val="20"/>
        </w:rPr>
        <w:t>[85] </w:t>
      </w:r>
      <w:hyperlink r:id="rId129">
        <w:r>
          <w:t>https://icars-global.org/seven-awarded-innovations-c-camp/</w:t>
        </w:r>
      </w:hyperlink>
    </w:p>
    <w:p>
      <w:pPr>
        <w:spacing w:before="0" w:after="50" w:line="250" w:lineRule="auto"/>
      </w:pPr>
      <w:r>
        <w:rPr>
          <w:rFonts w:ascii="Calibri" w:hAnsi="Calibri"/>
          <w:sz w:val="20"/>
        </w:rPr>
        <w:t>[86] VITEK REVEAL | bioMérieux, Inc.</w:t>
        <w:br/>
        <w:t>https://info.biomerieux.com/clin_us_2024_vitek-reveal</w:t>
      </w:r>
    </w:p>
    <w:p>
      <w:pPr>
        <w:spacing w:before="0" w:after="50" w:line="250" w:lineRule="auto"/>
      </w:pPr>
      <w:r>
        <w:rPr>
          <w:rFonts w:ascii="Calibri" w:hAnsi="Calibri"/>
          <w:sz w:val="20"/>
        </w:rPr>
        <w:t>[87] </w:t>
      </w:r>
      <w:hyperlink r:id="rId130">
        <w:r>
          <w:t>https://irise.icmr.org.in/</w:t>
        </w:r>
      </w:hyperlink>
    </w:p>
    <w:p>
      <w:pPr>
        <w:spacing w:before="0" w:after="50" w:line="250" w:lineRule="auto"/>
      </w:pPr>
      <w:r>
        <w:rPr>
          <w:rFonts w:ascii="Calibri" w:hAnsi="Calibri"/>
          <w:sz w:val="20"/>
        </w:rPr>
        <w:t>[88] Optimizing bloodstream infection diagnosis: Implementation of the EUCAST Rapid Antimicrobial Susceptibility Testing (RAST) with automated digital imaging | European Journal of Clinical Microbiology &amp; Infectious Diseases | Springer Nature Link</w:t>
        <w:br/>
        <w:t>https://link.springer.com/article/10.1007/s10096-025-05362-8</w:t>
      </w:r>
    </w:p>
    <w:p>
      <w:pPr>
        <w:spacing w:before="0" w:after="50" w:line="250" w:lineRule="auto"/>
      </w:pPr>
      <w:r>
        <w:rPr>
          <w:rFonts w:ascii="Calibri" w:hAnsi="Calibri"/>
          <w:sz w:val="20"/>
        </w:rPr>
        <w:t>[89] </w:t>
      </w:r>
      <w:hyperlink r:id="rId131">
        <w:r>
          <w:t>https://loinc.org/</w:t>
        </w:r>
      </w:hyperlink>
    </w:p>
    <w:p>
      <w:pPr>
        <w:spacing w:before="0" w:after="50" w:line="250" w:lineRule="auto"/>
      </w:pPr>
      <w:r>
        <w:rPr>
          <w:rFonts w:ascii="Calibri" w:hAnsi="Calibri"/>
          <w:sz w:val="20"/>
        </w:rPr>
        <w:t>[90] </w:t>
      </w:r>
      <w:hyperlink r:id="rId132">
        <w:r>
          <w:t>https://loinc.org/kb/users-guide/special-cases/antimicrobial-susceptibilities</w:t>
        </w:r>
      </w:hyperlink>
    </w:p>
    <w:p>
      <w:pPr>
        <w:spacing w:before="0" w:after="50" w:line="250" w:lineRule="auto"/>
      </w:pPr>
      <w:r>
        <w:rPr>
          <w:rFonts w:ascii="Calibri" w:hAnsi="Calibri"/>
          <w:sz w:val="20"/>
        </w:rPr>
        <w:t>[91] </w:t>
      </w:r>
      <w:hyperlink r:id="rId133">
        <w:r>
          <w:t>https://medtechmitra.icmr.org.in/</w:t>
        </w:r>
      </w:hyperlink>
    </w:p>
    <w:p>
      <w:pPr>
        <w:spacing w:before="0" w:after="50" w:line="250" w:lineRule="auto"/>
      </w:pPr>
      <w:r>
        <w:rPr>
          <w:rFonts w:ascii="Calibri" w:hAnsi="Calibri"/>
          <w:sz w:val="20"/>
        </w:rPr>
        <w:t>[92] </w:t>
      </w:r>
      <w:hyperlink r:id="rId134">
        <w:r>
          <w:t>https://members.aatcc.org/store/tm100/513/</w:t>
        </w:r>
      </w:hyperlink>
    </w:p>
    <w:p>
      <w:pPr>
        <w:spacing w:before="0" w:after="50" w:line="250" w:lineRule="auto"/>
      </w:pPr>
      <w:r>
        <w:rPr>
          <w:rFonts w:ascii="Calibri" w:hAnsi="Calibri"/>
          <w:sz w:val="20"/>
        </w:rPr>
        <w:t>[93] </w:t>
      </w:r>
      <w:hyperlink r:id="rId135">
        <w:r>
          <w:t>https://members.aatcc.org/store/tm147/554/</w:t>
        </w:r>
      </w:hyperlink>
    </w:p>
    <w:p>
      <w:pPr>
        <w:spacing w:before="0" w:after="50" w:line="250" w:lineRule="auto"/>
      </w:pPr>
      <w:r>
        <w:rPr>
          <w:rFonts w:ascii="Calibri" w:hAnsi="Calibri"/>
          <w:sz w:val="20"/>
        </w:rPr>
        <w:t>[94] </w:t>
      </w:r>
      <w:hyperlink r:id="rId136">
        <w:r>
          <w:t>https://mic.eucast.org/</w:t>
        </w:r>
      </w:hyperlink>
    </w:p>
    <w:p>
      <w:pPr>
        <w:spacing w:before="0" w:after="50" w:line="250" w:lineRule="auto"/>
      </w:pPr>
      <w:r>
        <w:rPr>
          <w:rFonts w:ascii="Calibri" w:hAnsi="Calibri"/>
          <w:sz w:val="20"/>
        </w:rPr>
        <w:t>[95] National Centre for Disease Control -An Introduction 2017</w:t>
        <w:br/>
        <w:t>https://ncdc.mohfw.gov.in/</w:t>
      </w:r>
    </w:p>
    <w:p>
      <w:pPr>
        <w:spacing w:before="0" w:after="50" w:line="250" w:lineRule="auto"/>
      </w:pPr>
      <w:r>
        <w:rPr>
          <w:rFonts w:ascii="Calibri" w:hAnsi="Calibri"/>
          <w:sz w:val="20"/>
        </w:rPr>
        <w:t>[96] </w:t>
      </w:r>
      <w:hyperlink r:id="rId137">
        <w:r>
          <w:t>https://ncdc.mohfw.gov.in/wp-content/uploads/2025/09/Final_Annual-Report-2025_Jan-to-Dec-2024.pdf</w:t>
        </w:r>
      </w:hyperlink>
    </w:p>
    <w:p>
      <w:pPr>
        <w:spacing w:before="0" w:after="50" w:line="250" w:lineRule="auto"/>
      </w:pPr>
      <w:r>
        <w:rPr>
          <w:rFonts w:ascii="Calibri" w:hAnsi="Calibri"/>
          <w:sz w:val="20"/>
        </w:rPr>
        <w:t>[97] </w:t>
      </w:r>
      <w:hyperlink r:id="rId138">
        <w:r>
          <w:t>https://ncdc.mohfw.gov.in/wp-content/uploads/2025/10/Semi-Annual-Bulletin-Issue-5-Jan-to-June-2025.pdf</w:t>
        </w:r>
      </w:hyperlink>
    </w:p>
    <w:p>
      <w:pPr>
        <w:spacing w:before="0" w:after="50" w:line="250" w:lineRule="auto"/>
      </w:pPr>
      <w:r>
        <w:rPr>
          <w:rFonts w:ascii="Calibri" w:hAnsi="Calibri"/>
          <w:sz w:val="20"/>
        </w:rPr>
        <w:t>[98] </w:t>
      </w:r>
      <w:hyperlink r:id="rId139">
        <w:r>
          <w:t>https://new1.isro.gov.in/</w:t>
        </w:r>
      </w:hyperlink>
    </w:p>
    <w:p>
      <w:pPr>
        <w:spacing w:before="0" w:after="50" w:line="250" w:lineRule="auto"/>
      </w:pPr>
      <w:r>
        <w:rPr>
          <w:rFonts w:ascii="Calibri" w:hAnsi="Calibri"/>
          <w:sz w:val="20"/>
        </w:rPr>
        <w:t>[99] </w:t>
      </w:r>
      <w:hyperlink r:id="rId140">
        <w:r>
          <w:t>https://new1.isro.gov.in/DBT_ISRO_signs_Framework_Memorandum_of_Understanding_on_Cooperation_in_Space_Biotechnology.html</w:t>
        </w:r>
      </w:hyperlink>
    </w:p>
    <w:p>
      <w:pPr>
        <w:spacing w:before="0" w:after="50" w:line="250" w:lineRule="auto"/>
      </w:pPr>
      <w:r>
        <w:rPr>
          <w:rFonts w:ascii="Calibri" w:hAnsi="Calibri"/>
          <w:sz w:val="20"/>
        </w:rPr>
        <w:t>[100] </w:t>
      </w:r>
      <w:hyperlink r:id="rId141">
        <w:r>
          <w:t>https://nhm.goa.gov.in/health-centers-hospitals/</w:t>
        </w:r>
      </w:hyperlink>
    </w:p>
    <w:p>
      <w:pPr>
        <w:spacing w:before="0" w:after="50" w:line="250" w:lineRule="auto"/>
      </w:pPr>
      <w:r>
        <w:rPr>
          <w:rFonts w:ascii="Calibri" w:hAnsi="Calibri"/>
          <w:sz w:val="20"/>
        </w:rPr>
        <w:t>[101] </w:t>
      </w:r>
      <w:hyperlink r:id="rId142">
        <w:r>
          <w:t>https://openelis-global.org/</w:t>
        </w:r>
      </w:hyperlink>
    </w:p>
    <w:p>
      <w:pPr>
        <w:spacing w:before="0" w:after="50" w:line="250" w:lineRule="auto"/>
      </w:pPr>
      <w:r>
        <w:rPr>
          <w:rFonts w:ascii="Calibri" w:hAnsi="Calibri"/>
          <w:sz w:val="20"/>
        </w:rPr>
        <w:t>[102] </w:t>
      </w:r>
      <w:hyperlink r:id="rId143">
        <w:r>
          <w:t>https://patents.google.com/</w:t>
        </w:r>
      </w:hyperlink>
    </w:p>
    <w:p>
      <w:pPr>
        <w:spacing w:before="0" w:after="50" w:line="250" w:lineRule="auto"/>
      </w:pPr>
      <w:r>
        <w:rPr>
          <w:rFonts w:ascii="Calibri" w:hAnsi="Calibri"/>
          <w:sz w:val="20"/>
        </w:rPr>
        <w:t>[103] AU2014259028B2 - Device and method for automatic processing of culture plates for microbiological samples - Google Patents</w:t>
        <w:br/>
        <w:t>https://patents.google.com/patent/AU2014259028B2/en</w:t>
      </w:r>
    </w:p>
    <w:p>
      <w:pPr>
        <w:spacing w:before="0" w:after="50" w:line="250" w:lineRule="auto"/>
      </w:pPr>
      <w:r>
        <w:rPr>
          <w:rFonts w:ascii="Calibri" w:hAnsi="Calibri"/>
          <w:sz w:val="20"/>
        </w:rPr>
        <w:t>[104] CN117467736A - Method and system for automated assessment of antibiotic susceptibility - Google Patents</w:t>
        <w:br/>
        <w:t>https://patents.google.com/patent/CN117467736A/en</w:t>
      </w:r>
    </w:p>
    <w:p>
      <w:pPr>
        <w:spacing w:before="0" w:after="50" w:line="250" w:lineRule="auto"/>
      </w:pPr>
      <w:r>
        <w:rPr>
          <w:rFonts w:ascii="Calibri" w:hAnsi="Calibri"/>
          <w:sz w:val="20"/>
        </w:rPr>
        <w:t>[105] IL311398A - Device of distribution of impregnated supports and associated method. - Google Patents</w:t>
        <w:br/>
        <w:t>https://patents.google.com/patent/IL311398A/en</w:t>
      </w:r>
    </w:p>
    <w:p>
      <w:pPr>
        <w:spacing w:before="0" w:after="50" w:line="250" w:lineRule="auto"/>
      </w:pPr>
      <w:r>
        <w:rPr>
          <w:rFonts w:ascii="Calibri" w:hAnsi="Calibri"/>
          <w:sz w:val="20"/>
        </w:rPr>
        <w:t>[106] </w:t>
      </w:r>
      <w:hyperlink r:id="rId144">
        <w:r>
          <w:t>https://patents.google.com/patent/US12529090B2/en</w:t>
        </w:r>
      </w:hyperlink>
    </w:p>
    <w:p>
      <w:pPr>
        <w:spacing w:before="0" w:after="50" w:line="250" w:lineRule="auto"/>
      </w:pPr>
      <w:r>
        <w:rPr>
          <w:rFonts w:ascii="Calibri" w:hAnsi="Calibri"/>
          <w:sz w:val="20"/>
        </w:rPr>
        <w:t>[107] </w:t>
      </w:r>
      <w:hyperlink r:id="rId145">
        <w:r>
          <w:t>https://patents.google.com/patent/US5629169A/en</w:t>
        </w:r>
      </w:hyperlink>
    </w:p>
    <w:p>
      <w:pPr>
        <w:spacing w:before="0" w:after="50" w:line="250" w:lineRule="auto"/>
      </w:pPr>
      <w:r>
        <w:rPr>
          <w:rFonts w:ascii="Calibri" w:hAnsi="Calibri"/>
          <w:sz w:val="20"/>
        </w:rPr>
        <w:t>[108] </w:t>
      </w:r>
      <w:hyperlink r:id="rId146">
        <w:r>
          <w:t>https://patents.google.com/patent/US6665429B1/en</w:t>
        </w:r>
      </w:hyperlink>
    </w:p>
    <w:p>
      <w:pPr>
        <w:spacing w:before="0" w:after="50" w:line="250" w:lineRule="auto"/>
      </w:pPr>
      <w:r>
        <w:rPr>
          <w:rFonts w:ascii="Calibri" w:hAnsi="Calibri"/>
          <w:sz w:val="20"/>
        </w:rPr>
        <w:t>[109] </w:t>
      </w:r>
      <w:hyperlink r:id="rId147">
        <w:r>
          <w:t>https://patents.google.com/patent/WO2000032807A1/en</w:t>
        </w:r>
      </w:hyperlink>
    </w:p>
    <w:p>
      <w:pPr>
        <w:spacing w:before="0" w:after="50" w:line="250" w:lineRule="auto"/>
      </w:pPr>
      <w:r>
        <w:rPr>
          <w:rFonts w:ascii="Calibri" w:hAnsi="Calibri"/>
          <w:sz w:val="20"/>
        </w:rPr>
        <w:t>[110] </w:t>
      </w:r>
      <w:hyperlink r:id="rId148">
        <w:r>
          <w:t>https://patents.google.com/patent/WO2016055724A1/en</w:t>
        </w:r>
      </w:hyperlink>
    </w:p>
    <w:p>
      <w:pPr>
        <w:spacing w:before="0" w:after="50" w:line="250" w:lineRule="auto"/>
      </w:pPr>
      <w:r>
        <w:rPr>
          <w:rFonts w:ascii="Calibri" w:hAnsi="Calibri"/>
          <w:sz w:val="20"/>
        </w:rPr>
        <w:t>[111] Global burden of bacterial antimicrobial resistance 1990-2021: a systematic analysis with forecasts to 2050 - PubMed</w:t>
        <w:br/>
        <w:t>https://pubmed.ncbi.nlm.nih.gov/39299261/</w:t>
      </w:r>
    </w:p>
    <w:p>
      <w:pPr>
        <w:spacing w:before="0" w:after="50" w:line="250" w:lineRule="auto"/>
      </w:pPr>
      <w:r>
        <w:rPr>
          <w:rFonts w:ascii="Calibri" w:hAnsi="Calibri"/>
          <w:sz w:val="20"/>
        </w:rPr>
        <w:t>[112] </w:t>
      </w:r>
      <w:hyperlink r:id="rId149">
        <w:r>
          <w:t>https://pubmed.ncbi.nlm.nih.gov/40706670/</w:t>
        </w:r>
      </w:hyperlink>
    </w:p>
    <w:p>
      <w:pPr>
        <w:spacing w:before="0" w:after="50" w:line="250" w:lineRule="auto"/>
      </w:pPr>
      <w:r>
        <w:rPr>
          <w:rFonts w:ascii="Calibri" w:hAnsi="Calibri"/>
          <w:sz w:val="20"/>
        </w:rPr>
        <w:t>[113] Reshape Blog — AI, Lab Automation &amp; Microbiology Insights</w:t>
        <w:br/>
        <w:t>https://reshapebiotech.com/</w:t>
      </w:r>
    </w:p>
    <w:p>
      <w:pPr>
        <w:spacing w:before="0" w:after="50" w:line="250" w:lineRule="auto"/>
      </w:pPr>
      <w:r>
        <w:rPr>
          <w:rFonts w:ascii="Calibri" w:hAnsi="Calibri"/>
          <w:sz w:val="20"/>
        </w:rPr>
        <w:t>[114] </w:t>
      </w:r>
      <w:hyperlink r:id="rId150">
        <w:r>
          <w:t>https://science.nasa.gov/biological-physical/investigations/gears-genomic-enumeration-of-antibiotic-resistance-in-space/</w:t>
        </w:r>
      </w:hyperlink>
    </w:p>
    <w:p>
      <w:pPr>
        <w:spacing w:before="0" w:after="50" w:line="250" w:lineRule="auto"/>
      </w:pPr>
      <w:r>
        <w:rPr>
          <w:rFonts w:ascii="Calibri" w:hAnsi="Calibri"/>
          <w:sz w:val="20"/>
        </w:rPr>
        <w:t>[115] </w:t>
      </w:r>
      <w:hyperlink r:id="rId151">
        <w:r>
          <w:t>https://science.nasa.gov/biological-physical/investigations/microbial-tracking-3/</w:t>
        </w:r>
      </w:hyperlink>
    </w:p>
    <w:p>
      <w:pPr>
        <w:spacing w:before="0" w:after="50" w:line="250" w:lineRule="auto"/>
      </w:pPr>
      <w:r>
        <w:rPr>
          <w:rFonts w:ascii="Calibri" w:hAnsi="Calibri"/>
          <w:sz w:val="20"/>
        </w:rPr>
        <w:t>[116] </w:t>
      </w:r>
      <w:hyperlink r:id="rId152">
        <w:r>
          <w:t>https://terminology.hl7.org/</w:t>
        </w:r>
      </w:hyperlink>
    </w:p>
    <w:p>
      <w:pPr>
        <w:spacing w:before="0" w:after="50" w:line="250" w:lineRule="auto"/>
      </w:pPr>
      <w:r>
        <w:rPr>
          <w:rFonts w:ascii="Calibri" w:hAnsi="Calibri"/>
          <w:sz w:val="20"/>
        </w:rPr>
        <w:t>[117] </w:t>
      </w:r>
      <w:hyperlink r:id="rId153">
        <w:r>
          <w:t>https://terminology.hl7.org/7.0.1/ValueSet-v3-ObservationInterpretationSusceptibility.html</w:t>
        </w:r>
      </w:hyperlink>
    </w:p>
    <w:p>
      <w:pPr>
        <w:spacing w:before="0" w:after="50" w:line="250" w:lineRule="auto"/>
      </w:pPr>
      <w:r>
        <w:rPr>
          <w:rFonts w:ascii="Calibri" w:hAnsi="Calibri"/>
          <w:sz w:val="20"/>
        </w:rPr>
        <w:t>[118] </w:t>
      </w:r>
      <w:hyperlink r:id="rId154">
        <w:r>
          <w:t>https://whonet.org/features.html</w:t>
        </w:r>
      </w:hyperlink>
    </w:p>
    <w:p>
      <w:pPr>
        <w:spacing w:before="0" w:after="50" w:line="250" w:lineRule="auto"/>
      </w:pPr>
      <w:r>
        <w:rPr>
          <w:rFonts w:ascii="Calibri" w:hAnsi="Calibri"/>
          <w:sz w:val="20"/>
        </w:rPr>
        <w:t>[119] </w:t>
      </w:r>
      <w:hyperlink r:id="rId155">
        <w:r>
          <w:t>https://whonet.org/software.html</w:t>
        </w:r>
      </w:hyperlink>
    </w:p>
    <w:p>
      <w:pPr>
        <w:spacing w:before="0" w:after="50" w:line="250" w:lineRule="auto"/>
      </w:pPr>
      <w:r>
        <w:rPr>
          <w:rFonts w:ascii="Calibri" w:hAnsi="Calibri"/>
          <w:sz w:val="20"/>
        </w:rPr>
        <w:t>[120] </w:t>
      </w:r>
      <w:hyperlink r:id="rId156">
        <w:r>
          <w:t>https://www.accessdata.fda.gov/cdrh_docs/reviews/K183648.pdf</w:t>
        </w:r>
      </w:hyperlink>
    </w:p>
    <w:p>
      <w:pPr>
        <w:spacing w:before="0" w:after="50" w:line="250" w:lineRule="auto"/>
      </w:pPr>
      <w:r>
        <w:rPr>
          <w:rFonts w:ascii="Calibri" w:hAnsi="Calibri"/>
          <w:sz w:val="20"/>
        </w:rPr>
        <w:t>[121] </w:t>
      </w:r>
      <w:hyperlink r:id="rId157">
        <w:r>
          <w:t>https://www.accessdata.fda.gov/scripts/cdrh/cfdocs/cfPCD/classification.cfm?ID=LRG</w:t>
        </w:r>
      </w:hyperlink>
    </w:p>
    <w:p>
      <w:pPr>
        <w:spacing w:before="0" w:after="50" w:line="250" w:lineRule="auto"/>
      </w:pPr>
      <w:r>
        <w:rPr>
          <w:rFonts w:ascii="Calibri" w:hAnsi="Calibri"/>
          <w:sz w:val="20"/>
        </w:rPr>
        <w:t>[122] TPLC - Total Product Life Cycle - FDA</w:t>
        <w:br/>
        <w:t>https://www.accessdata.fda.gov/scripts/cdrh/cfdocs/cfTPLC/tplc.cfm?ID=3864&amp;manufacturer=COPAN+WASP+SRL&amp;min_report_year=2018&amp;pmndecision=SUBSTANTIALLY+EQUIVALENT</w:t>
      </w:r>
    </w:p>
    <w:p>
      <w:pPr>
        <w:spacing w:before="0" w:after="50" w:line="250" w:lineRule="auto"/>
      </w:pPr>
      <w:r>
        <w:rPr>
          <w:rFonts w:ascii="Calibri" w:hAnsi="Calibri"/>
          <w:sz w:val="20"/>
        </w:rPr>
        <w:t>[123] BD Phoenix™ Panels: Rapid, Accurate Microbial ...</w:t>
        <w:br/>
        <w:t>https://www.bd.com/</w:t>
      </w:r>
    </w:p>
    <w:p>
      <w:pPr>
        <w:spacing w:before="0" w:after="50" w:line="250" w:lineRule="auto"/>
      </w:pPr>
      <w:r>
        <w:rPr>
          <w:rFonts w:ascii="Calibri" w:hAnsi="Calibri"/>
          <w:sz w:val="20"/>
        </w:rPr>
        <w:t>[124] BD Kiestra™ ReadA | BD</w:t>
        <w:br/>
        <w:t>https://www.bd.com/de-ch/products-and-solutions/products/product-families/bd-kiestra-reada</w:t>
      </w:r>
    </w:p>
    <w:p>
      <w:pPr>
        <w:spacing w:before="0" w:after="50" w:line="250" w:lineRule="auto"/>
      </w:pPr>
      <w:r>
        <w:rPr>
          <w:rFonts w:ascii="Calibri" w:hAnsi="Calibri"/>
          <w:sz w:val="20"/>
        </w:rPr>
        <w:t>[125] BD Phoenix™ M50 instrument | BD</w:t>
        <w:br/>
        <w:t>https://www.bd.com/en-no/products-and-solutions/products/product-families/bd-phoenix-m50-instrument</w:t>
      </w:r>
    </w:p>
    <w:p>
      <w:pPr>
        <w:spacing w:before="0" w:after="50" w:line="250" w:lineRule="auto"/>
      </w:pPr>
      <w:r>
        <w:rPr>
          <w:rFonts w:ascii="Calibri" w:hAnsi="Calibri"/>
          <w:sz w:val="20"/>
        </w:rPr>
        <w:t>[126] bioMérieux receives FDA 510(k) Clearance for its VITEK ...</w:t>
        <w:br/>
        <w:t>https://www.biomerieux.com/</w:t>
      </w:r>
    </w:p>
    <w:p>
      <w:pPr>
        <w:spacing w:before="0" w:after="50" w:line="250" w:lineRule="auto"/>
      </w:pPr>
      <w:r>
        <w:rPr>
          <w:rFonts w:ascii="Calibri" w:hAnsi="Calibri"/>
          <w:sz w:val="20"/>
        </w:rPr>
        <w:t>[127] VITEK® 2</w:t>
        <w:br/>
        <w:t>https://www.biomerieux.com/corp/en/our-offer/clinical-products/vitek-2.html</w:t>
      </w:r>
    </w:p>
    <w:p>
      <w:pPr>
        <w:spacing w:before="0" w:after="50" w:line="250" w:lineRule="auto"/>
      </w:pPr>
      <w:r>
        <w:rPr>
          <w:rFonts w:ascii="Calibri" w:hAnsi="Calibri"/>
          <w:sz w:val="20"/>
        </w:rPr>
        <w:t>[128] TRINITY V3: Antibiotic Zone Reader</w:t>
        <w:br/>
        <w:t>https://www.biomic.com/</w:t>
      </w:r>
    </w:p>
    <w:p>
      <w:pPr>
        <w:spacing w:before="0" w:after="50" w:line="250" w:lineRule="auto"/>
      </w:pPr>
      <w:r>
        <w:rPr>
          <w:rFonts w:ascii="Calibri" w:hAnsi="Calibri"/>
          <w:sz w:val="20"/>
        </w:rPr>
        <w:t>[129] J-AST: a web-based analysis platform for antimicrobial ...</w:t>
        <w:br/>
        <w:t>https://www.biorxiv.org/</w:t>
      </w:r>
    </w:p>
    <w:p>
      <w:pPr>
        <w:spacing w:before="0" w:after="50" w:line="250" w:lineRule="auto"/>
      </w:pPr>
      <w:r>
        <w:rPr>
          <w:rFonts w:ascii="Calibri" w:hAnsi="Calibri"/>
          <w:sz w:val="20"/>
        </w:rPr>
        <w:t>[130] </w:t>
      </w:r>
      <w:hyperlink r:id="rId158">
        <w:r>
          <w:t>https://www.ccamp.res.in/node/9130</w:t>
        </w:r>
      </w:hyperlink>
    </w:p>
    <w:p>
      <w:pPr>
        <w:spacing w:before="0" w:after="50" w:line="250" w:lineRule="auto"/>
      </w:pPr>
      <w:r>
        <w:rPr>
          <w:rFonts w:ascii="Calibri" w:hAnsi="Calibri"/>
          <w:sz w:val="20"/>
        </w:rPr>
        <w:t>[131] </w:t>
      </w:r>
      <w:hyperlink r:id="rId159">
        <w:r>
          <w:t>https://www.cdc.gov/mrsa/php/laboratories/index.html</w:t>
        </w:r>
      </w:hyperlink>
    </w:p>
    <w:p>
      <w:pPr>
        <w:spacing w:before="0" w:after="50" w:line="250" w:lineRule="auto"/>
      </w:pPr>
      <w:r>
        <w:rPr>
          <w:rFonts w:ascii="Calibri" w:hAnsi="Calibri"/>
          <w:sz w:val="20"/>
        </w:rPr>
        <w:t>[132] </w:t>
      </w:r>
      <w:hyperlink r:id="rId160">
        <w:r>
          <w:t>https://www.cdc.gov/nhsn/faqs/faq-ar.html</w:t>
        </w:r>
      </w:hyperlink>
    </w:p>
    <w:p>
      <w:pPr>
        <w:spacing w:before="0" w:after="50" w:line="250" w:lineRule="auto"/>
      </w:pPr>
      <w:r>
        <w:rPr>
          <w:rFonts w:ascii="Calibri" w:hAnsi="Calibri"/>
          <w:sz w:val="20"/>
        </w:rPr>
        <w:t>[133] </w:t>
      </w:r>
      <w:hyperlink r:id="rId161">
        <w:r>
          <w:t>https://www.cdc.gov/nhsn/pdfs/pscmanual/11pscaurcurrent.pdf</w:t>
        </w:r>
      </w:hyperlink>
    </w:p>
    <w:p>
      <w:pPr>
        <w:spacing w:before="0" w:after="50" w:line="250" w:lineRule="auto"/>
      </w:pPr>
      <w:r>
        <w:rPr>
          <w:rFonts w:ascii="Calibri" w:hAnsi="Calibri"/>
          <w:sz w:val="20"/>
        </w:rPr>
        <w:t>[134] </w:t>
      </w:r>
      <w:hyperlink r:id="rId162">
        <w:r>
          <w:t>https://www.cdsco.gov.in/opencms/export/sites/CDSCO_WEB/Pdf-documents/Addendum-Doc-No-CDSCOIVDFAQ-042022dated-13032026.pdf</w:t>
        </w:r>
      </w:hyperlink>
    </w:p>
    <w:p>
      <w:pPr>
        <w:spacing w:before="0" w:after="50" w:line="250" w:lineRule="auto"/>
      </w:pPr>
      <w:r>
        <w:rPr>
          <w:rFonts w:ascii="Calibri" w:hAnsi="Calibri"/>
          <w:sz w:val="20"/>
        </w:rPr>
        <w:t>[135] </w:t>
      </w:r>
      <w:hyperlink r:id="rId163">
        <w:r>
          <w:t>https://www.cdsco.gov.in/opencms/export/sites/CDSCO_WEB/Pdf-documents/Guidance-document-on-Medical-Device-Software-under-MDR-2017.pdf</w:t>
        </w:r>
      </w:hyperlink>
    </w:p>
    <w:p>
      <w:pPr>
        <w:spacing w:before="0" w:after="50" w:line="250" w:lineRule="auto"/>
      </w:pPr>
      <w:r>
        <w:rPr>
          <w:rFonts w:ascii="Calibri" w:hAnsi="Calibri"/>
          <w:sz w:val="20"/>
        </w:rPr>
        <w:t>[136] </w:t>
      </w:r>
      <w:hyperlink r:id="rId164">
        <w:r>
          <w:t>https://www.cdsco.gov.in/opencms/export/sites/CDSCO_WEB/Pdf-documents/MedTech-Mitras-Innovator-Handbook-.pdf</w:t>
        </w:r>
      </w:hyperlink>
    </w:p>
    <w:p>
      <w:pPr>
        <w:spacing w:before="0" w:after="50" w:line="250" w:lineRule="auto"/>
      </w:pPr>
      <w:r>
        <w:rPr>
          <w:rFonts w:ascii="Calibri" w:hAnsi="Calibri"/>
          <w:sz w:val="20"/>
        </w:rPr>
        <w:t>[137] </w:t>
      </w:r>
      <w:hyperlink r:id="rId165">
        <w:r>
          <w:t>https://www.cdsco.gov.in/opencms/export/sites/CDSCO_WEB/Pdf-documents/Revised-PER-list-dated-29.06.2026.pdf</w:t>
        </w:r>
      </w:hyperlink>
    </w:p>
    <w:p>
      <w:pPr>
        <w:spacing w:before="0" w:after="50" w:line="250" w:lineRule="auto"/>
      </w:pPr>
      <w:r>
        <w:rPr>
          <w:rFonts w:ascii="Calibri" w:hAnsi="Calibri"/>
          <w:sz w:val="20"/>
        </w:rPr>
        <w:t>[138] </w:t>
      </w:r>
      <w:hyperlink r:id="rId166">
        <w:r>
          <w:t>https://www.cdsco.gov.in/opencms/export/sites/CDSCO_WEB/Pdf-documents/medical-device/IVD_classifiction25oc23.pdf</w:t>
        </w:r>
      </w:hyperlink>
    </w:p>
    <w:p>
      <w:pPr>
        <w:spacing w:before="0" w:after="50" w:line="250" w:lineRule="auto"/>
      </w:pPr>
      <w:r>
        <w:rPr>
          <w:rFonts w:ascii="Calibri" w:hAnsi="Calibri"/>
          <w:sz w:val="20"/>
        </w:rPr>
        <w:t>[139] </w:t>
      </w:r>
      <w:hyperlink r:id="rId167">
        <w:r>
          <w:t>https://www.cdsco.gov.in/opencms/export/sites/CDSCO_WEB/Pdf-documents/medical-device/List-of-labs-for-PE-of-IVD-Instruments-Analyser-Software-2022.pdf</w:t>
        </w:r>
      </w:hyperlink>
    </w:p>
    <w:p>
      <w:pPr>
        <w:spacing w:before="0" w:after="50" w:line="250" w:lineRule="auto"/>
      </w:pPr>
      <w:r>
        <w:rPr>
          <w:rFonts w:ascii="Calibri" w:hAnsi="Calibri"/>
          <w:sz w:val="20"/>
        </w:rPr>
        <w:t>[140] </w:t>
      </w:r>
      <w:hyperlink r:id="rId168">
        <w:r>
          <w:t>https://www.cdsco.gov.in/opencms/opencms/en/Medical-Device-Diagnostics/Medical-Device-Diagnostics/</w:t>
        </w:r>
      </w:hyperlink>
    </w:p>
    <w:p>
      <w:pPr>
        <w:spacing w:before="0" w:after="50" w:line="250" w:lineRule="auto"/>
      </w:pPr>
      <w:r>
        <w:rPr>
          <w:rFonts w:ascii="Calibri" w:hAnsi="Calibri"/>
          <w:sz w:val="20"/>
        </w:rPr>
        <w:t>[141] Copan</w:t>
        <w:br/>
        <w:t>https://www.copangroup.com/product-ranges/wasplab/</w:t>
      </w:r>
    </w:p>
    <w:p>
      <w:pPr>
        <w:spacing w:before="0" w:after="50" w:line="250" w:lineRule="auto"/>
      </w:pPr>
      <w:r>
        <w:rPr>
          <w:rFonts w:ascii="Calibri" w:hAnsi="Calibri"/>
          <w:sz w:val="20"/>
        </w:rPr>
        <w:t>[142] PhenoMATRIX - Copan Diagnostics</w:t>
        <w:br/>
        <w:t>https://www.copanusa.com/laboratory-automation/microbiology-laboratory-automation-ai/phenomatrix/</w:t>
      </w:r>
    </w:p>
    <w:p>
      <w:pPr>
        <w:spacing w:before="0" w:after="50" w:line="250" w:lineRule="auto"/>
      </w:pPr>
      <w:r>
        <w:rPr>
          <w:rFonts w:ascii="Calibri" w:hAnsi="Calibri"/>
          <w:sz w:val="20"/>
        </w:rPr>
        <w:t>[143] Radian® | COPAN</w:t>
        <w:br/>
        <w:t>https://www.copanusa.com/laboratory-automation/microbiology-laboratory-automation-ai/radian/</w:t>
      </w:r>
    </w:p>
    <w:p>
      <w:pPr>
        <w:spacing w:before="0" w:after="50" w:line="250" w:lineRule="auto"/>
      </w:pPr>
      <w:r>
        <w:rPr>
          <w:rFonts w:ascii="Calibri" w:hAnsi="Calibri"/>
          <w:sz w:val="20"/>
        </w:rPr>
        <w:t>[144] </w:t>
      </w:r>
      <w:hyperlink r:id="rId169">
        <w:r>
          <w:t>https://www.dghs.mohfw.gov.in/index.php?lang=en</w:t>
        </w:r>
      </w:hyperlink>
    </w:p>
    <w:p>
      <w:pPr>
        <w:spacing w:before="0" w:after="50" w:line="250" w:lineRule="auto"/>
      </w:pPr>
      <w:r>
        <w:rPr>
          <w:rFonts w:ascii="Calibri" w:hAnsi="Calibri"/>
          <w:sz w:val="20"/>
        </w:rPr>
        <w:t>[145] </w:t>
      </w:r>
      <w:hyperlink r:id="rId170">
        <w:r>
          <w:t>https://www.ecdc.europa.eu/en/about-us/networks/disease-networks-and-laboratory-networks/ears-net-data</w:t>
        </w:r>
      </w:hyperlink>
    </w:p>
    <w:p>
      <w:pPr>
        <w:spacing w:before="0" w:after="50" w:line="250" w:lineRule="auto"/>
      </w:pPr>
      <w:r>
        <w:rPr>
          <w:rFonts w:ascii="Calibri" w:hAnsi="Calibri"/>
          <w:sz w:val="20"/>
        </w:rPr>
        <w:t>[146] </w:t>
      </w:r>
      <w:hyperlink r:id="rId171">
        <w:r>
          <w:t>https://www.epa.gov/cwa-methods/approved-cwa-microbiological-test-methods</w:t>
        </w:r>
      </w:hyperlink>
    </w:p>
    <w:p>
      <w:pPr>
        <w:spacing w:before="0" w:after="50" w:line="250" w:lineRule="auto"/>
      </w:pPr>
      <w:r>
        <w:rPr>
          <w:rFonts w:ascii="Calibri" w:hAnsi="Calibri"/>
          <w:sz w:val="20"/>
        </w:rPr>
        <w:t>[147] </w:t>
      </w:r>
      <w:hyperlink r:id="rId172">
        <w:r>
          <w:t>https://www.epa.gov/sites/default/files/2015-08/documents/method_1604_2002.pdf</w:t>
        </w:r>
      </w:hyperlink>
    </w:p>
    <w:p>
      <w:pPr>
        <w:spacing w:before="0" w:after="50" w:line="250" w:lineRule="auto"/>
      </w:pPr>
      <w:r>
        <w:rPr>
          <w:rFonts w:ascii="Calibri" w:hAnsi="Calibri"/>
          <w:sz w:val="20"/>
        </w:rPr>
        <w:t>[148] Breakpoint table 14.0 (2024) available for consultation (5- ...</w:t>
        <w:br/>
        <w:t>https://www.eucast.org/</w:t>
      </w:r>
    </w:p>
    <w:p>
      <w:pPr>
        <w:spacing w:before="0" w:after="50" w:line="250" w:lineRule="auto"/>
      </w:pPr>
      <w:r>
        <w:rPr>
          <w:rFonts w:ascii="Calibri" w:hAnsi="Calibri"/>
          <w:sz w:val="20"/>
        </w:rPr>
        <w:t>[149] </w:t>
      </w:r>
      <w:hyperlink r:id="rId173">
        <w:r>
          <w:t>https://www.eucast.org/about-eucast/organisation/national-ast-committees-nac/</w:t>
        </w:r>
      </w:hyperlink>
    </w:p>
    <w:p>
      <w:pPr>
        <w:spacing w:before="0" w:after="50" w:line="250" w:lineRule="auto"/>
      </w:pPr>
      <w:r>
        <w:rPr>
          <w:rFonts w:ascii="Calibri" w:hAnsi="Calibri"/>
          <w:sz w:val="20"/>
        </w:rPr>
        <w:t>[150] </w:t>
      </w:r>
      <w:hyperlink r:id="rId174">
        <w:r>
          <w:t>https://www.eucast.org/about-eucast/public-consultations/</w:t>
        </w:r>
      </w:hyperlink>
    </w:p>
    <w:p>
      <w:pPr>
        <w:spacing w:before="0" w:after="50" w:line="250" w:lineRule="auto"/>
      </w:pPr>
      <w:r>
        <w:rPr>
          <w:rFonts w:ascii="Calibri" w:hAnsi="Calibri"/>
          <w:sz w:val="20"/>
        </w:rPr>
        <w:t>[151] EUCAST: Clinical Breakpoint Tables</w:t>
        <w:br/>
        <w:t>https://www.eucast.org/bacteria/clinical-breakpoints-and-interpretation/clinical-breakpoint-tables/</w:t>
      </w:r>
    </w:p>
    <w:p>
      <w:pPr>
        <w:spacing w:before="0" w:after="50" w:line="250" w:lineRule="auto"/>
      </w:pPr>
      <w:r>
        <w:rPr>
          <w:rFonts w:ascii="Calibri" w:hAnsi="Calibri"/>
          <w:sz w:val="20"/>
        </w:rPr>
        <w:t>[152] </w:t>
      </w:r>
      <w:hyperlink r:id="rId175">
        <w:r>
          <w:t>https://www.eucast.org/bacteria/development-of-clinical-breakpoints-and-ecoffs/about-clinical-breakpoints/</w:t>
        </w:r>
      </w:hyperlink>
    </w:p>
    <w:p>
      <w:pPr>
        <w:spacing w:before="0" w:after="50" w:line="250" w:lineRule="auto"/>
      </w:pPr>
      <w:r>
        <w:rPr>
          <w:rFonts w:ascii="Calibri" w:hAnsi="Calibri"/>
          <w:sz w:val="20"/>
        </w:rPr>
        <w:t>[153] </w:t>
      </w:r>
      <w:hyperlink r:id="rId176">
        <w:r>
          <w:t>https://www.eucast.org/bacteria/document-archive/</w:t>
        </w:r>
      </w:hyperlink>
    </w:p>
    <w:p>
      <w:pPr>
        <w:spacing w:before="0" w:after="50" w:line="250" w:lineRule="auto"/>
      </w:pPr>
      <w:r>
        <w:rPr>
          <w:rFonts w:ascii="Calibri" w:hAnsi="Calibri"/>
          <w:sz w:val="20"/>
        </w:rPr>
        <w:t>[154] </w:t>
      </w:r>
      <w:hyperlink r:id="rId177">
        <w:r>
          <w:t>https://www.eucast.org/bacteria/guidance-documents/</w:t>
        </w:r>
      </w:hyperlink>
    </w:p>
    <w:p>
      <w:pPr>
        <w:spacing w:before="0" w:after="50" w:line="250" w:lineRule="auto"/>
      </w:pPr>
      <w:r>
        <w:rPr>
          <w:rFonts w:ascii="Calibri" w:hAnsi="Calibri"/>
          <w:sz w:val="20"/>
        </w:rPr>
        <w:t>[155] </w:t>
      </w:r>
      <w:hyperlink r:id="rId178">
        <w:r>
          <w:t>https://www.eucast.org/bacteria/important-additional-information/resistance-detection/</w:t>
        </w:r>
      </w:hyperlink>
    </w:p>
    <w:p>
      <w:pPr>
        <w:spacing w:before="0" w:after="50" w:line="250" w:lineRule="auto"/>
      </w:pPr>
      <w:r>
        <w:rPr>
          <w:rFonts w:ascii="Calibri" w:hAnsi="Calibri"/>
          <w:sz w:val="20"/>
        </w:rPr>
        <w:t>[156] </w:t>
      </w:r>
      <w:hyperlink r:id="rId179">
        <w:r>
          <w:t>https://www.eucast.org/bacteria/methodology-and-instructions/disk-diffusion-and-quality-control/</w:t>
        </w:r>
      </w:hyperlink>
    </w:p>
    <w:p>
      <w:pPr>
        <w:spacing w:before="0" w:after="50" w:line="250" w:lineRule="auto"/>
      </w:pPr>
      <w:r>
        <w:rPr>
          <w:rFonts w:ascii="Calibri" w:hAnsi="Calibri"/>
          <w:sz w:val="20"/>
        </w:rPr>
        <w:t>[157] </w:t>
      </w:r>
      <w:hyperlink r:id="rId180">
        <w:r>
          <w:t>https://www.eucast.org/bacteria/methodology-and-instructions/media-preparation/</w:t>
        </w:r>
      </w:hyperlink>
    </w:p>
    <w:p>
      <w:pPr>
        <w:spacing w:before="0" w:after="50" w:line="250" w:lineRule="auto"/>
      </w:pPr>
      <w:r>
        <w:rPr>
          <w:rFonts w:ascii="Calibri" w:hAnsi="Calibri"/>
          <w:sz w:val="20"/>
        </w:rPr>
        <w:t>[158] </w:t>
      </w:r>
      <w:hyperlink r:id="rId181">
        <w:r>
          <w:t>https://www.eucast.org/bacteria/methodology-and-instructions/mic-determination/</w:t>
        </w:r>
      </w:hyperlink>
    </w:p>
    <w:p>
      <w:pPr>
        <w:spacing w:before="0" w:after="50" w:line="250" w:lineRule="auto"/>
      </w:pPr>
      <w:r>
        <w:rPr>
          <w:rFonts w:ascii="Calibri" w:hAnsi="Calibri"/>
          <w:sz w:val="20"/>
        </w:rPr>
        <w:t>[159] </w:t>
      </w:r>
      <w:hyperlink r:id="rId182">
        <w:r>
          <w:t>https://www.eucast.org/bacteria/methodology-and-instructions/warnings/</w:t>
        </w:r>
      </w:hyperlink>
    </w:p>
    <w:p>
      <w:pPr>
        <w:spacing w:before="0" w:after="50" w:line="250" w:lineRule="auto"/>
      </w:pPr>
      <w:r>
        <w:rPr>
          <w:rFonts w:ascii="Calibri" w:hAnsi="Calibri"/>
          <w:sz w:val="20"/>
        </w:rPr>
        <w:t>[160] EUCAST: Breakpoints for Rapid AST</w:t>
        <w:br/>
        <w:t>https://www.eucast.org/bacteria/rapid-ast-in-blood-culture/breakpoints-for-rapid-ast/</w:t>
      </w:r>
    </w:p>
    <w:p>
      <w:pPr>
        <w:spacing w:before="0" w:after="50" w:line="250" w:lineRule="auto"/>
      </w:pPr>
      <w:r>
        <w:rPr>
          <w:rFonts w:ascii="Calibri" w:hAnsi="Calibri"/>
          <w:sz w:val="20"/>
        </w:rPr>
        <w:t>[161] </w:t>
      </w:r>
      <w:hyperlink r:id="rId183">
        <w:r>
          <w:t>https://www.eucast.org/bacteria/rapid-ast-in-blood-culture/methods-and-quality-control/</w:t>
        </w:r>
      </w:hyperlink>
    </w:p>
    <w:p>
      <w:pPr>
        <w:spacing w:before="0" w:after="50" w:line="250" w:lineRule="auto"/>
      </w:pPr>
      <w:r>
        <w:rPr>
          <w:rFonts w:ascii="Calibri" w:hAnsi="Calibri"/>
          <w:sz w:val="20"/>
        </w:rPr>
        <w:t>[162] </w:t>
      </w:r>
      <w:hyperlink r:id="rId184">
        <w:r>
          <w:t>https://www.eucast.org/fileadmin/eucast/pdf/disk_test_documents/2025/Manual_v_13.0_EUCAST_Disk_Test_2025.pdf</w:t>
        </w:r>
      </w:hyperlink>
    </w:p>
    <w:p>
      <w:pPr>
        <w:spacing w:before="0" w:after="50" w:line="250" w:lineRule="auto"/>
      </w:pPr>
      <w:r>
        <w:rPr>
          <w:rFonts w:ascii="Calibri" w:hAnsi="Calibri"/>
          <w:sz w:val="20"/>
        </w:rPr>
        <w:t>[163] </w:t>
      </w:r>
      <w:hyperlink r:id="rId185">
        <w:r>
          <w:t>https://www.eucast.org/fungi-afst/</w:t>
        </w:r>
      </w:hyperlink>
    </w:p>
    <w:p>
      <w:pPr>
        <w:spacing w:before="0" w:after="50" w:line="250" w:lineRule="auto"/>
      </w:pPr>
      <w:r>
        <w:rPr>
          <w:rFonts w:ascii="Calibri" w:hAnsi="Calibri"/>
          <w:sz w:val="20"/>
        </w:rPr>
        <w:t>[164] </w:t>
      </w:r>
      <w:hyperlink r:id="rId186">
        <w:r>
          <w:t>https://www.eucast.org/fungi-afst/clinical-breakpoints-and-interpretation/clinical-breakpoint-table/</w:t>
        </w:r>
      </w:hyperlink>
    </w:p>
    <w:p>
      <w:pPr>
        <w:spacing w:before="0" w:after="50" w:line="250" w:lineRule="auto"/>
      </w:pPr>
      <w:r>
        <w:rPr>
          <w:rFonts w:ascii="Calibri" w:hAnsi="Calibri"/>
          <w:sz w:val="20"/>
        </w:rPr>
        <w:t>[165] </w:t>
      </w:r>
      <w:hyperlink r:id="rId187">
        <w:r>
          <w:t>https://www.eucast.org/fungi-afst/methodology-and-instructions/ast-of-dermatophytes/</w:t>
        </w:r>
      </w:hyperlink>
    </w:p>
    <w:p>
      <w:pPr>
        <w:spacing w:before="0" w:after="50" w:line="250" w:lineRule="auto"/>
      </w:pPr>
      <w:r>
        <w:rPr>
          <w:rFonts w:ascii="Calibri" w:hAnsi="Calibri"/>
          <w:sz w:val="20"/>
        </w:rPr>
        <w:t>[166] </w:t>
      </w:r>
      <w:hyperlink r:id="rId188">
        <w:r>
          <w:t>https://www.eucast.org/news-detail/a-warning-against-antifungal-susceptibility-testing-of-amphotericin-b-problems-detected-with-several-commercially-available-products/</w:t>
        </w:r>
      </w:hyperlink>
    </w:p>
    <w:p>
      <w:pPr>
        <w:spacing w:before="0" w:after="50" w:line="250" w:lineRule="auto"/>
      </w:pPr>
      <w:r>
        <w:rPr>
          <w:rFonts w:ascii="Calibri" w:hAnsi="Calibri"/>
          <w:sz w:val="20"/>
        </w:rPr>
        <w:t>[167] </w:t>
      </w:r>
      <w:hyperlink r:id="rId189">
        <w:r>
          <w:t>https://www.eucast.org/news-detail/how-to-make-use-of-eucast-mic-and-zone-distributions/</w:t>
        </w:r>
      </w:hyperlink>
    </w:p>
    <w:p>
      <w:pPr>
        <w:spacing w:before="0" w:after="50" w:line="250" w:lineRule="auto"/>
      </w:pPr>
      <w:r>
        <w:rPr>
          <w:rFonts w:ascii="Calibri" w:hAnsi="Calibri"/>
          <w:sz w:val="20"/>
        </w:rPr>
        <w:t>[168] </w:t>
      </w:r>
      <w:hyperlink r:id="rId190">
        <w:r>
          <w:t>https://www.eucast.org/news-detail/publication-of-updated-clinical-breakpoint-tables-version-161/</w:t>
        </w:r>
      </w:hyperlink>
    </w:p>
    <w:p>
      <w:pPr>
        <w:spacing w:before="0" w:after="50" w:line="250" w:lineRule="auto"/>
      </w:pPr>
      <w:r>
        <w:rPr>
          <w:rFonts w:ascii="Calibri" w:hAnsi="Calibri"/>
          <w:sz w:val="20"/>
        </w:rPr>
        <w:t>[169] </w:t>
      </w:r>
      <w:hyperlink r:id="rId191">
        <w:r>
          <w:t>https://www.eucast.org/news-detail/the-quality-of-material-for-eucast-disk-diffusion/</w:t>
        </w:r>
      </w:hyperlink>
    </w:p>
    <w:p>
      <w:pPr>
        <w:spacing w:before="0" w:after="50" w:line="250" w:lineRule="auto"/>
      </w:pPr>
      <w:r>
        <w:rPr>
          <w:rFonts w:ascii="Calibri" w:hAnsi="Calibri"/>
          <w:sz w:val="20"/>
        </w:rPr>
        <w:t>[170] </w:t>
      </w:r>
      <w:hyperlink r:id="rId192">
        <w:r>
          <w:t>https://www.eucast.org/news-detail/updated-warning-against-gradient-tests-for-benzylpenicillin-mics-in-s-pneumoniae/</w:t>
        </w:r>
      </w:hyperlink>
    </w:p>
    <w:p>
      <w:pPr>
        <w:spacing w:before="0" w:after="50" w:line="250" w:lineRule="auto"/>
      </w:pPr>
      <w:r>
        <w:rPr>
          <w:rFonts w:ascii="Calibri" w:hAnsi="Calibri"/>
          <w:sz w:val="20"/>
        </w:rPr>
        <w:t>[171] </w:t>
      </w:r>
      <w:hyperlink r:id="rId193">
        <w:r>
          <w:t>https://www.eucast.org/vetcast/</w:t>
        </w:r>
      </w:hyperlink>
    </w:p>
    <w:p>
      <w:pPr>
        <w:spacing w:before="0" w:after="50" w:line="250" w:lineRule="auto"/>
      </w:pPr>
      <w:r>
        <w:rPr>
          <w:rFonts w:ascii="Calibri" w:hAnsi="Calibri"/>
          <w:sz w:val="20"/>
        </w:rPr>
        <w:t>[172] EUCAST: Website changes</w:t>
        <w:br/>
        <w:t>https://www.eucast.org/website-changes/</w:t>
      </w:r>
    </w:p>
    <w:p>
      <w:pPr>
        <w:spacing w:before="0" w:after="50" w:line="250" w:lineRule="auto"/>
      </w:pPr>
      <w:r>
        <w:rPr>
          <w:rFonts w:ascii="Calibri" w:hAnsi="Calibri"/>
          <w:sz w:val="20"/>
        </w:rPr>
        <w:t>[173] </w:t>
      </w:r>
      <w:hyperlink r:id="rId194">
        <w:r>
          <w:t>https://www.fda.gov/animal-veterinary/cvm-updates/fda-releases-national-antimicrobial-resistance-monitoring-system-narms-strategic-plan-2026-2030</w:t>
        </w:r>
      </w:hyperlink>
    </w:p>
    <w:p>
      <w:pPr>
        <w:spacing w:before="0" w:after="50" w:line="250" w:lineRule="auto"/>
      </w:pPr>
      <w:r>
        <w:rPr>
          <w:rFonts w:ascii="Calibri" w:hAnsi="Calibri"/>
          <w:sz w:val="20"/>
        </w:rPr>
        <w:t>[174] </w:t>
      </w:r>
      <w:hyperlink r:id="rId195">
        <w:r>
          <w:t>https://www.fda.gov/animal-veterinary/national-antimicrobial-resistance-monitoring-system/narms-resources</w:t>
        </w:r>
      </w:hyperlink>
    </w:p>
    <w:p>
      <w:pPr>
        <w:spacing w:before="0" w:after="50" w:line="250" w:lineRule="auto"/>
      </w:pPr>
      <w:r>
        <w:rPr>
          <w:rFonts w:ascii="Calibri" w:hAnsi="Calibri"/>
          <w:sz w:val="20"/>
        </w:rPr>
        <w:t>[175] </w:t>
      </w:r>
      <w:hyperlink r:id="rId196">
        <w:r>
          <w:t>https://www.fda.gov/media/124382/download</w:t>
        </w:r>
      </w:hyperlink>
    </w:p>
    <w:p>
      <w:pPr>
        <w:spacing w:before="0" w:after="50" w:line="250" w:lineRule="auto"/>
      </w:pPr>
      <w:r>
        <w:rPr>
          <w:rFonts w:ascii="Calibri" w:hAnsi="Calibri"/>
          <w:sz w:val="20"/>
        </w:rPr>
        <w:t>[176] </w:t>
      </w:r>
      <w:hyperlink r:id="rId197">
        <w:r>
          <w:t>https://www.fda.gov/media/79976/download</w:t>
        </w:r>
      </w:hyperlink>
    </w:p>
    <w:p>
      <w:pPr>
        <w:spacing w:before="0" w:after="50" w:line="250" w:lineRule="auto"/>
      </w:pPr>
      <w:r>
        <w:rPr>
          <w:rFonts w:ascii="Calibri" w:hAnsi="Calibri"/>
          <w:sz w:val="20"/>
        </w:rPr>
        <w:t>[177] </w:t>
      </w:r>
      <w:hyperlink r:id="rId198">
        <w:r>
          <w:t>https://www.fda.gov/regulatory-information/search-fda-guidance-documents/antimicrobial-susceptibility-test-ast-system-devices-updating-breakpoints-device-labeling</w:t>
        </w:r>
      </w:hyperlink>
    </w:p>
    <w:p>
      <w:pPr>
        <w:spacing w:before="0" w:after="50" w:line="250" w:lineRule="auto"/>
      </w:pPr>
      <w:r>
        <w:rPr>
          <w:rFonts w:ascii="Calibri" w:hAnsi="Calibri"/>
          <w:sz w:val="20"/>
        </w:rPr>
        <w:t>[178] Frontiers | Automatic detection and quantification of antimicrobial inhibition zones using YOLO11n with post-hoc interpretability validation</w:t>
        <w:br/>
        <w:t>https://www.frontiersin.org/journals/microbiology/articles/10.3389/fmicb.2026.1810754/full</w:t>
      </w:r>
    </w:p>
    <w:p>
      <w:pPr>
        <w:spacing w:before="0" w:after="50" w:line="250" w:lineRule="auto"/>
      </w:pPr>
      <w:r>
        <w:rPr>
          <w:rFonts w:ascii="Calibri" w:hAnsi="Calibri"/>
          <w:sz w:val="20"/>
        </w:rPr>
        <w:t>[179] </w:t>
      </w:r>
      <w:hyperlink r:id="rId199">
        <w:r>
          <w:t>https://www.goa.gov.in/department/foods-and-drugs-administration/</w:t>
        </w:r>
      </w:hyperlink>
    </w:p>
    <w:p>
      <w:pPr>
        <w:spacing w:before="0" w:after="50" w:line="250" w:lineRule="auto"/>
      </w:pPr>
      <w:r>
        <w:rPr>
          <w:rFonts w:ascii="Calibri" w:hAnsi="Calibri"/>
          <w:sz w:val="20"/>
        </w:rPr>
        <w:t>[180] </w:t>
      </w:r>
      <w:hyperlink r:id="rId200">
        <w:r>
          <w:t>https://www.goa.gov.in/wp-content/uploads/2022/08/License-Mandatory-For-Manufacture-Of-Medical-Devices.pdf</w:t>
        </w:r>
      </w:hyperlink>
    </w:p>
    <w:p>
      <w:pPr>
        <w:spacing w:before="0" w:after="50" w:line="250" w:lineRule="auto"/>
      </w:pPr>
      <w:r>
        <w:rPr>
          <w:rFonts w:ascii="Calibri" w:hAnsi="Calibri"/>
          <w:sz w:val="20"/>
        </w:rPr>
        <w:t>[181] </w:t>
      </w:r>
      <w:hyperlink r:id="rId201">
        <w:r>
          <w:t>https://www.hhs.gov/hipaa/for-professionals/faq/2075/may-a-hipaa-covered-entity-or-business-associate-use-cloud-service-to-store-or-process-ephi/index.html</w:t>
        </w:r>
      </w:hyperlink>
    </w:p>
    <w:p>
      <w:pPr>
        <w:spacing w:before="0" w:after="50" w:line="250" w:lineRule="auto"/>
      </w:pPr>
      <w:r>
        <w:rPr>
          <w:rFonts w:ascii="Calibri" w:hAnsi="Calibri"/>
          <w:sz w:val="20"/>
        </w:rPr>
        <w:t>[182] </w:t>
      </w:r>
      <w:hyperlink r:id="rId202">
        <w:r>
          <w:t>https://www.icmr.gov.in/icmr-research-support-portals</w:t>
        </w:r>
      </w:hyperlink>
    </w:p>
    <w:p>
      <w:pPr>
        <w:spacing w:before="0" w:after="50" w:line="250" w:lineRule="auto"/>
      </w:pPr>
      <w:r>
        <w:rPr>
          <w:rFonts w:ascii="Calibri" w:hAnsi="Calibri"/>
          <w:sz w:val="20"/>
        </w:rPr>
        <w:t>[183] </w:t>
      </w:r>
      <w:hyperlink r:id="rId31">
        <w:r>
          <w:t>https://www.icmr.gov.in/icmrobject/uploads/Documents/1786076836_cdsco_draftdocument.pdf</w:t>
        </w:r>
      </w:hyperlink>
    </w:p>
    <w:p>
      <w:pPr>
        <w:spacing w:before="0" w:after="50" w:line="250" w:lineRule="auto"/>
      </w:pPr>
      <w:r>
        <w:rPr>
          <w:rFonts w:ascii="Calibri" w:hAnsi="Calibri"/>
          <w:sz w:val="20"/>
        </w:rPr>
        <w:t>[184] </w:t>
      </w:r>
      <w:hyperlink r:id="rId29">
        <w:r>
          <w:t>https://www.icmr.gov.in/icmrobject/uploads/Guidelines/1736941384_guidancedocument_amrdiagnostics_revised.pdf</w:t>
        </w:r>
      </w:hyperlink>
    </w:p>
    <w:p>
      <w:pPr>
        <w:spacing w:before="0" w:after="50" w:line="250" w:lineRule="auto"/>
      </w:pPr>
      <w:r>
        <w:rPr>
          <w:rFonts w:ascii="Calibri" w:hAnsi="Calibri"/>
          <w:sz w:val="20"/>
        </w:rPr>
        <w:t>[185] Inviting comments on standard IVD evaluation protocols drafted by ICMR and CDSCO (Last date: August 25, 2026) | Indian Council of Medical Research | Government of India</w:t>
        <w:br/>
        <w:t>https://www.icmr.gov.in/post/inviting-comments-on-standard-ivd-evaluation-protocols-drafted-by-icmr-and-cdsco-last-date-august-25-2026</w:t>
      </w:r>
    </w:p>
    <w:p>
      <w:pPr>
        <w:spacing w:before="0" w:after="50" w:line="250" w:lineRule="auto"/>
      </w:pPr>
      <w:r>
        <w:rPr>
          <w:rFonts w:ascii="Calibri" w:hAnsi="Calibri"/>
          <w:sz w:val="20"/>
        </w:rPr>
        <w:t>[186] </w:t>
      </w:r>
      <w:hyperlink r:id="rId203">
        <w:r>
          <w:t>https://www.icmr.gov.in/post/medical-innovations-patent-mitra-portal</w:t>
        </w:r>
      </w:hyperlink>
    </w:p>
    <w:p>
      <w:pPr>
        <w:spacing w:before="0" w:after="50" w:line="250" w:lineRule="auto"/>
      </w:pPr>
      <w:r>
        <w:rPr>
          <w:rFonts w:ascii="Calibri" w:hAnsi="Calibri"/>
          <w:sz w:val="20"/>
        </w:rPr>
        <w:t>[187] </w:t>
      </w:r>
      <w:hyperlink r:id="rId204">
        <w:r>
          <w:t>https://www.iso.org/standard/35499.html</w:t>
        </w:r>
      </w:hyperlink>
    </w:p>
    <w:p>
      <w:pPr>
        <w:spacing w:before="0" w:after="50" w:line="250" w:lineRule="auto"/>
      </w:pPr>
      <w:r>
        <w:rPr>
          <w:rFonts w:ascii="Calibri" w:hAnsi="Calibri"/>
          <w:sz w:val="20"/>
        </w:rPr>
        <w:t>[188] </w:t>
      </w:r>
      <w:hyperlink r:id="rId205">
        <w:r>
          <w:t>https://www.iso.org/standard/55832.html</w:t>
        </w:r>
      </w:hyperlink>
    </w:p>
    <w:p>
      <w:pPr>
        <w:spacing w:before="0" w:after="50" w:line="250" w:lineRule="auto"/>
      </w:pPr>
      <w:r>
        <w:rPr>
          <w:rFonts w:ascii="Calibri" w:hAnsi="Calibri"/>
          <w:sz w:val="20"/>
        </w:rPr>
        <w:t>[189] </w:t>
      </w:r>
      <w:hyperlink r:id="rId206">
        <w:r>
          <w:t>https://www.iso.org/standard/70464.html</w:t>
        </w:r>
      </w:hyperlink>
    </w:p>
    <w:p>
      <w:pPr>
        <w:spacing w:before="0" w:after="50" w:line="250" w:lineRule="auto"/>
      </w:pPr>
      <w:r>
        <w:rPr>
          <w:rFonts w:ascii="Calibri" w:hAnsi="Calibri"/>
          <w:sz w:val="20"/>
        </w:rPr>
        <w:t>[190] </w:t>
      </w:r>
      <w:hyperlink r:id="rId207">
        <w:r>
          <w:t>https://www.iso.org/standard/79377.html</w:t>
        </w:r>
      </w:hyperlink>
    </w:p>
    <w:p>
      <w:pPr>
        <w:spacing w:before="0" w:after="50" w:line="250" w:lineRule="auto"/>
      </w:pPr>
      <w:r>
        <w:rPr>
          <w:rFonts w:ascii="Calibri" w:hAnsi="Calibri"/>
          <w:sz w:val="20"/>
        </w:rPr>
        <w:t>[191] </w:t>
      </w:r>
      <w:hyperlink r:id="rId208">
        <w:r>
          <w:t>https://www.isro.gov.in/</w:t>
        </w:r>
      </w:hyperlink>
    </w:p>
    <w:p>
      <w:pPr>
        <w:spacing w:before="0" w:after="50" w:line="250" w:lineRule="auto"/>
      </w:pPr>
      <w:r>
        <w:rPr>
          <w:rFonts w:ascii="Calibri" w:hAnsi="Calibri"/>
          <w:sz w:val="20"/>
        </w:rPr>
        <w:t>[192] </w:t>
      </w:r>
      <w:hyperlink r:id="rId209">
        <w:r>
          <w:t>https://www.isro.gov.in/ISRO_AIIMS_NewDelhi_signs_Framework_Memorandum.html</w:t>
        </w:r>
      </w:hyperlink>
    </w:p>
    <w:p>
      <w:pPr>
        <w:spacing w:before="0" w:after="50" w:line="250" w:lineRule="auto"/>
      </w:pPr>
      <w:r>
        <w:rPr>
          <w:rFonts w:ascii="Calibri" w:hAnsi="Calibri"/>
          <w:sz w:val="20"/>
        </w:rPr>
        <w:t>[193] </w:t>
      </w:r>
      <w:hyperlink r:id="rId210">
        <w:r>
          <w:t>https://www.isro.gov.in/IndianMicrogravityExperiments_IMEx2026.html</w:t>
        </w:r>
      </w:hyperlink>
    </w:p>
    <w:p>
      <w:pPr>
        <w:spacing w:before="0" w:after="50" w:line="250" w:lineRule="auto"/>
      </w:pPr>
      <w:r>
        <w:rPr>
          <w:rFonts w:ascii="Calibri" w:hAnsi="Calibri"/>
          <w:sz w:val="20"/>
        </w:rPr>
        <w:t>[194] </w:t>
      </w:r>
      <w:hyperlink r:id="rId211">
        <w:r>
          <w:t>https://www.isro.gov.in/POEMCompletedOrbitsSpace.html</w:t>
        </w:r>
      </w:hyperlink>
    </w:p>
    <w:p>
      <w:pPr>
        <w:spacing w:before="0" w:after="50" w:line="250" w:lineRule="auto"/>
      </w:pPr>
      <w:r>
        <w:rPr>
          <w:rFonts w:ascii="Calibri" w:hAnsi="Calibri"/>
          <w:sz w:val="20"/>
        </w:rPr>
        <w:t>[195] </w:t>
      </w:r>
      <w:hyperlink r:id="rId212">
        <w:r>
          <w:t>https://www.isro.gov.in/POEM_4_Payloads_spadex.html</w:t>
        </w:r>
      </w:hyperlink>
    </w:p>
    <w:p>
      <w:pPr>
        <w:spacing w:before="0" w:after="50" w:line="250" w:lineRule="auto"/>
      </w:pPr>
      <w:r>
        <w:rPr>
          <w:rFonts w:ascii="Calibri" w:hAnsi="Calibri"/>
          <w:sz w:val="20"/>
        </w:rPr>
        <w:t>[196] </w:t>
      </w:r>
      <w:hyperlink r:id="rId213">
        <w:r>
          <w:t>https://www.isro.gov.in/Space_Analog_Mission.html</w:t>
        </w:r>
      </w:hyperlink>
    </w:p>
    <w:p>
      <w:pPr>
        <w:spacing w:before="0" w:after="50" w:line="250" w:lineRule="auto"/>
      </w:pPr>
      <w:r>
        <w:rPr>
          <w:rFonts w:ascii="Calibri" w:hAnsi="Calibri"/>
          <w:sz w:val="20"/>
        </w:rPr>
        <w:t>[197] </w:t>
      </w:r>
      <w:hyperlink r:id="rId214">
        <w:r>
          <w:t>https://www.isro.gov.in/media_isro/pdf/programme/Research_Areas_in_Space_for_web2023.pdf</w:t>
        </w:r>
      </w:hyperlink>
    </w:p>
    <w:p>
      <w:pPr>
        <w:spacing w:before="0" w:after="50" w:line="250" w:lineRule="auto"/>
      </w:pPr>
      <w:r>
        <w:rPr>
          <w:rFonts w:ascii="Calibri" w:hAnsi="Calibri"/>
          <w:sz w:val="20"/>
        </w:rPr>
        <w:t>[198] </w:t>
      </w:r>
      <w:hyperlink r:id="rId215">
        <w:r>
          <w:t>https://www.meity.gov.in/documents/act-and-policies/digital-personal-data-protection-rules-2025-gDOxUjMtQWa?pageTitle=Digital-Personal-Data-Protection-Rules-2025</w:t>
        </w:r>
      </w:hyperlink>
    </w:p>
    <w:p>
      <w:pPr>
        <w:spacing w:before="0" w:after="50" w:line="250" w:lineRule="auto"/>
      </w:pPr>
      <w:r>
        <w:rPr>
          <w:rFonts w:ascii="Calibri" w:hAnsi="Calibri"/>
          <w:sz w:val="20"/>
        </w:rPr>
        <w:t>[199] </w:t>
      </w:r>
      <w:hyperlink r:id="rId216">
        <w:r>
          <w:t>https://www.meity.gov.in/static/uploads/2025/11/c56ceae6c383460ca69577428d36828b.pdf</w:t>
        </w:r>
      </w:hyperlink>
    </w:p>
    <w:p>
      <w:pPr>
        <w:spacing w:before="0" w:after="50" w:line="250" w:lineRule="auto"/>
      </w:pPr>
      <w:r>
        <w:rPr>
          <w:rFonts w:ascii="Calibri" w:hAnsi="Calibri"/>
          <w:sz w:val="20"/>
        </w:rPr>
        <w:t>[200] </w:t>
      </w:r>
      <w:hyperlink r:id="rId217">
        <w:r>
          <w:t>https://www.ncdc.mohfw.gov.in/includes/About/CentresAndDivision/amr.php</w:t>
        </w:r>
      </w:hyperlink>
    </w:p>
    <w:p>
      <w:pPr>
        <w:spacing w:before="0" w:after="50" w:line="250" w:lineRule="auto"/>
      </w:pPr>
      <w:r>
        <w:rPr>
          <w:rFonts w:ascii="Calibri" w:hAnsi="Calibri"/>
          <w:sz w:val="20"/>
        </w:rPr>
        <w:t>[201] </w:t>
      </w:r>
      <w:hyperlink r:id="rId218">
        <w:r>
          <w:t>https://www.ncdc.mohfw.gov.in/wp-content/uploads/2025/11/National-Action-Plan-on-Antimicrobial-Resistance-NAP-AMR-2.0.pdf</w:t>
        </w:r>
      </w:hyperlink>
    </w:p>
    <w:p>
      <w:pPr>
        <w:spacing w:before="0" w:after="50" w:line="250" w:lineRule="auto"/>
      </w:pPr>
      <w:r>
        <w:rPr>
          <w:rFonts w:ascii="Calibri" w:hAnsi="Calibri"/>
          <w:sz w:val="20"/>
        </w:rPr>
        <w:t>[202] </w:t>
      </w:r>
      <w:hyperlink r:id="rId219">
        <w:r>
          <w:t>https://www.nrces.in/ndhm/fhir/r4/StructureDefinition-Observation.html</w:t>
        </w:r>
      </w:hyperlink>
    </w:p>
    <w:p>
      <w:pPr>
        <w:spacing w:before="0" w:after="50" w:line="250" w:lineRule="auto"/>
      </w:pPr>
      <w:r>
        <w:rPr>
          <w:rFonts w:ascii="Calibri" w:hAnsi="Calibri"/>
          <w:sz w:val="20"/>
        </w:rPr>
        <w:t>[203] </w:t>
      </w:r>
      <w:hyperlink r:id="rId220">
        <w:r>
          <w:t>https://www.paho.org/</w:t>
        </w:r>
      </w:hyperlink>
    </w:p>
    <w:p>
      <w:pPr>
        <w:spacing w:before="0" w:after="50" w:line="250" w:lineRule="auto"/>
      </w:pPr>
      <w:r>
        <w:rPr>
          <w:rFonts w:ascii="Calibri" w:hAnsi="Calibri"/>
          <w:sz w:val="20"/>
        </w:rPr>
        <w:t>[204] </w:t>
      </w:r>
      <w:hyperlink r:id="rId221">
        <w:r>
          <w:t>https://www.paho.org/en/documents/relavra-leading-fight-against-antimicrobial-resistance-latin-america-and-caribbean</w:t>
        </w:r>
      </w:hyperlink>
    </w:p>
    <w:p>
      <w:pPr>
        <w:spacing w:before="0" w:after="50" w:line="250" w:lineRule="auto"/>
      </w:pPr>
      <w:r>
        <w:rPr>
          <w:rFonts w:ascii="Calibri" w:hAnsi="Calibri"/>
          <w:sz w:val="20"/>
        </w:rPr>
        <w:t>[205] </w:t>
      </w:r>
      <w:hyperlink r:id="rId222">
        <w:r>
          <w:t>https://www.paho.org/en/news/10-4-2026-caribbean-laboratory-professionals-participating-training-lims-and-new-technologies</w:t>
        </w:r>
      </w:hyperlink>
    </w:p>
    <w:p>
      <w:pPr>
        <w:spacing w:before="0" w:after="50" w:line="250" w:lineRule="auto"/>
      </w:pPr>
      <w:r>
        <w:rPr>
          <w:rFonts w:ascii="Calibri" w:hAnsi="Calibri"/>
          <w:sz w:val="20"/>
        </w:rPr>
        <w:t>[206] </w:t>
      </w:r>
      <w:hyperlink r:id="rId223">
        <w:r>
          <w:t>https://www.paho.org/en/news/10-4-2026-equipment-update-uk-fleming-fund-and-paho-strengthening-laboratory-capacity-across</w:t>
        </w:r>
      </w:hyperlink>
    </w:p>
    <w:p>
      <w:pPr>
        <w:spacing w:before="0" w:after="50" w:line="250" w:lineRule="auto"/>
      </w:pPr>
      <w:r>
        <w:rPr>
          <w:rFonts w:ascii="Calibri" w:hAnsi="Calibri"/>
          <w:sz w:val="20"/>
        </w:rPr>
        <w:t>[207] </w:t>
      </w:r>
      <w:hyperlink r:id="rId224">
        <w:r>
          <w:t>https://www.paho.org/en/topics/antimicrobial-resistance</w:t>
        </w:r>
      </w:hyperlink>
    </w:p>
    <w:p>
      <w:pPr>
        <w:spacing w:before="0" w:after="50" w:line="250" w:lineRule="auto"/>
      </w:pPr>
      <w:r>
        <w:rPr>
          <w:rFonts w:ascii="Calibri" w:hAnsi="Calibri"/>
          <w:sz w:val="20"/>
        </w:rPr>
        <w:t>[208] </w:t>
      </w:r>
      <w:hyperlink r:id="rId225">
        <w:r>
          <w:t>https://www.paho.org/en/topics/antimicrobial-resistance/latin-american-and-caribbean-network-antimicrobial-resistance</w:t>
        </w:r>
      </w:hyperlink>
    </w:p>
    <w:p>
      <w:pPr>
        <w:spacing w:before="0" w:after="50" w:line="250" w:lineRule="auto"/>
      </w:pPr>
      <w:r>
        <w:rPr>
          <w:rFonts w:ascii="Calibri" w:hAnsi="Calibri"/>
          <w:sz w:val="20"/>
        </w:rPr>
        <w:t>[209] Union Health Minister Shri J P Nadda Launches National ...</w:t>
        <w:br/>
        <w:t>https://www.pib.gov.in/</w:t>
      </w:r>
    </w:p>
    <w:p>
      <w:pPr>
        <w:spacing w:before="0" w:after="50" w:line="250" w:lineRule="auto"/>
      </w:pPr>
      <w:r>
        <w:rPr>
          <w:rFonts w:ascii="Calibri" w:hAnsi="Calibri"/>
          <w:sz w:val="20"/>
        </w:rPr>
        <w:t>[210] </w:t>
      </w:r>
      <w:hyperlink r:id="rId226">
        <w:r>
          <w:t>https://www.psa.gov.in/iaih</w:t>
        </w:r>
      </w:hyperlink>
    </w:p>
    <w:p>
      <w:pPr>
        <w:spacing w:before="0" w:after="50" w:line="250" w:lineRule="auto"/>
      </w:pPr>
      <w:r>
        <w:rPr>
          <w:rFonts w:ascii="Calibri" w:hAnsi="Calibri"/>
          <w:sz w:val="20"/>
        </w:rPr>
        <w:t>[211] </w:t>
      </w:r>
      <w:hyperlink r:id="rId227">
        <w:r>
          <w:t>https://www.psa.gov.in/pdf-article/2nd-india-antimicrobial-resistance-amr-innovation-workshop/10662</w:t>
        </w:r>
      </w:hyperlink>
    </w:p>
    <w:p>
      <w:pPr>
        <w:spacing w:before="0" w:after="50" w:line="250" w:lineRule="auto"/>
      </w:pPr>
      <w:r>
        <w:rPr>
          <w:rFonts w:ascii="Calibri" w:hAnsi="Calibri"/>
          <w:sz w:val="20"/>
        </w:rPr>
        <w:t>[212] </w:t>
      </w:r>
      <w:hyperlink r:id="rId228">
        <w:r>
          <w:t>https://www.raspberrypi.com/documentation/accessories/ai-hat-plus.html</w:t>
        </w:r>
      </w:hyperlink>
    </w:p>
    <w:p>
      <w:pPr>
        <w:spacing w:before="0" w:after="50" w:line="250" w:lineRule="auto"/>
      </w:pPr>
      <w:r>
        <w:rPr>
          <w:rFonts w:ascii="Calibri" w:hAnsi="Calibri"/>
          <w:sz w:val="20"/>
        </w:rPr>
        <w:t>[213] </w:t>
      </w:r>
      <w:hyperlink r:id="rId229">
        <w:r>
          <w:t>https://www.raspberrypi.com/news/introducing-the-raspberry-pi-ai-hat-plus-2-generative-ai-on-raspberry-pi-5/</w:t>
        </w:r>
      </w:hyperlink>
    </w:p>
    <w:p>
      <w:pPr>
        <w:spacing w:before="0" w:after="50" w:line="250" w:lineRule="auto"/>
      </w:pPr>
      <w:r>
        <w:rPr>
          <w:rFonts w:ascii="Calibri" w:hAnsi="Calibri"/>
          <w:sz w:val="20"/>
        </w:rPr>
        <w:t>[214] </w:t>
      </w:r>
      <w:hyperlink r:id="rId230">
        <w:r>
          <w:t>https://www.techstars.com/accelerators/baltimore-ai-health</w:t>
        </w:r>
      </w:hyperlink>
    </w:p>
    <w:p>
      <w:pPr>
        <w:spacing w:before="0" w:after="50" w:line="250" w:lineRule="auto"/>
      </w:pPr>
      <w:r>
        <w:rPr>
          <w:rFonts w:ascii="Calibri" w:hAnsi="Calibri"/>
          <w:sz w:val="20"/>
        </w:rPr>
        <w:t>[215] </w:t>
      </w:r>
      <w:hyperlink r:id="rId231">
        <w:r>
          <w:t>https://www.techstars.com/accelerators/boston</w:t>
        </w:r>
      </w:hyperlink>
    </w:p>
    <w:p>
      <w:pPr>
        <w:spacing w:before="0" w:after="50" w:line="250" w:lineRule="auto"/>
      </w:pPr>
      <w:r>
        <w:rPr>
          <w:rFonts w:ascii="Calibri" w:hAnsi="Calibri"/>
          <w:sz w:val="20"/>
        </w:rPr>
        <w:t>[216] </w:t>
      </w:r>
      <w:hyperlink r:id="rId232">
        <w:r>
          <w:t>https://www.techstars.com/accelerators/northwestern-medicine-healthcare</w:t>
        </w:r>
      </w:hyperlink>
    </w:p>
    <w:p>
      <w:pPr>
        <w:spacing w:before="0" w:after="50" w:line="250" w:lineRule="auto"/>
      </w:pPr>
      <w:r>
        <w:rPr>
          <w:rFonts w:ascii="Calibri" w:hAnsi="Calibri"/>
          <w:sz w:val="20"/>
        </w:rPr>
        <w:t>[217] Système d’AST Sensititre ARIS HiQ | Thermo Fisher Scientific - FR</w:t>
        <w:br/>
        <w:t>https://www.thermofisher.com/fr/fr/home/clinical/clinical-microbiology/antimicrobial-susceptibility-testing/sensititre-ast/aris-hiq.html</w:t>
      </w:r>
    </w:p>
    <w:p>
      <w:pPr>
        <w:spacing w:before="0" w:after="50" w:line="250" w:lineRule="auto"/>
      </w:pPr>
      <w:r>
        <w:rPr>
          <w:rFonts w:ascii="Calibri" w:hAnsi="Calibri"/>
          <w:sz w:val="20"/>
        </w:rPr>
        <w:t>[218] </w:t>
      </w:r>
      <w:hyperlink r:id="rId233">
        <w:r>
          <w:t>https://www.ultralytics.com/license</w:t>
        </w:r>
      </w:hyperlink>
    </w:p>
    <w:p>
      <w:pPr>
        <w:spacing w:before="0" w:after="50" w:line="250" w:lineRule="auto"/>
      </w:pPr>
      <w:r>
        <w:rPr>
          <w:rFonts w:ascii="Calibri" w:hAnsi="Calibri"/>
          <w:sz w:val="20"/>
        </w:rPr>
        <w:t>[219] </w:t>
      </w:r>
      <w:hyperlink r:id="rId234">
        <w:r>
          <w:t>https://www.who.int/en/news-room/fact-sheets/detail/antimicrobial-resistance</w:t>
        </w:r>
      </w:hyperlink>
    </w:p>
    <w:p>
      <w:pPr>
        <w:spacing w:before="0" w:after="50" w:line="250" w:lineRule="auto"/>
      </w:pPr>
      <w:r>
        <w:rPr>
          <w:rFonts w:ascii="Calibri" w:hAnsi="Calibri"/>
          <w:sz w:val="20"/>
        </w:rPr>
        <w:t>[220] </w:t>
      </w:r>
      <w:hyperlink r:id="rId235">
        <w:r>
          <w:t>https://www.who.int/initiatives/glass</w:t>
        </w:r>
      </w:hyperlink>
    </w:p>
    <w:p>
      <w:pPr>
        <w:spacing w:before="0" w:after="50" w:line="250" w:lineRule="auto"/>
      </w:pPr>
      <w:r>
        <w:rPr>
          <w:rFonts w:ascii="Calibri" w:hAnsi="Calibri"/>
          <w:sz w:val="20"/>
        </w:rPr>
        <w:t>[221] </w:t>
      </w:r>
      <w:hyperlink r:id="rId236">
        <w:r>
          <w:t>https://www.who.int/initiatives/glass/glass-focused-surveillance</w:t>
        </w:r>
      </w:hyperlink>
    </w:p>
    <w:p>
      <w:pPr>
        <w:spacing w:before="0" w:after="50" w:line="250" w:lineRule="auto"/>
      </w:pPr>
      <w:r>
        <w:rPr>
          <w:rFonts w:ascii="Calibri" w:hAnsi="Calibri"/>
          <w:sz w:val="20"/>
        </w:rPr>
        <w:t>[222] </w:t>
      </w:r>
      <w:hyperlink r:id="rId237">
        <w:r>
          <w:t>https://www.who.int/news-room/articles-detail/who-toolkit-for-standard-operating-procedures-for-bacteriology--mycology-and-antimicrobial-susceptibility-testing</w:t>
        </w:r>
      </w:hyperlink>
    </w:p>
    <w:p>
      <w:pPr>
        <w:spacing w:before="0" w:after="50" w:line="250" w:lineRule="auto"/>
      </w:pPr>
      <w:r>
        <w:rPr>
          <w:rFonts w:ascii="Calibri" w:hAnsi="Calibri"/>
          <w:sz w:val="20"/>
        </w:rPr>
        <w:t>[223] Antimicrobial resistance</w:t>
        <w:br/>
        <w:t>https://www.who.int/news-room/fact-sheets/detail/antimicrobial-resistance</w:t>
      </w:r>
    </w:p>
    <w:p>
      <w:pPr>
        <w:spacing w:before="0" w:after="50" w:line="250" w:lineRule="auto"/>
      </w:pPr>
      <w:r>
        <w:rPr>
          <w:rFonts w:ascii="Calibri" w:hAnsi="Calibri"/>
          <w:sz w:val="20"/>
        </w:rPr>
        <w:t>[224] WHO warns of widespread resistance to common antibiotics worldwide</w:t>
        <w:br/>
        <w:t>https://www.who.int/news/item/13-10-2025-who-warns-of-widespread-resistance-to-common-antibiotics-worldwide</w:t>
      </w:r>
    </w:p>
    <w:p>
      <w:pPr>
        <w:spacing w:before="0" w:after="50" w:line="250" w:lineRule="auto"/>
      </w:pPr>
      <w:r>
        <w:rPr>
          <w:rFonts w:ascii="Calibri" w:hAnsi="Calibri"/>
          <w:sz w:val="20"/>
        </w:rPr>
        <w:t>[225] WHO updates list of drug-resistant bacteria most threatening to human health</w:t>
        <w:br/>
        <w:t>https://www.who.int/news/item/17-05-2024-who-updates-list-of-drug-resistant-bacteria-most-threatening-to-human-health</w:t>
      </w:r>
    </w:p>
    <w:p>
      <w:pPr>
        <w:spacing w:before="0" w:after="50" w:line="250" w:lineRule="auto"/>
      </w:pPr>
      <w:r>
        <w:rPr>
          <w:rFonts w:ascii="Calibri" w:hAnsi="Calibri"/>
          <w:sz w:val="20"/>
        </w:rPr>
        <w:t>[226] </w:t>
      </w:r>
      <w:hyperlink r:id="rId238">
        <w:r>
          <w:t>https://www.who.int/news/item/25-05-2026-the-world-health-assembly-adopts-updated-global-action-plan-on-antimicrobial-resistance-%282026-2036%29</w:t>
        </w:r>
      </w:hyperlink>
    </w:p>
    <w:p>
      <w:pPr>
        <w:spacing w:before="0" w:after="50" w:line="250" w:lineRule="auto"/>
      </w:pPr>
      <w:r>
        <w:rPr>
          <w:rFonts w:ascii="Calibri" w:hAnsi="Calibri"/>
          <w:sz w:val="20"/>
        </w:rPr>
        <w:t>[227] </w:t>
      </w:r>
      <w:hyperlink r:id="rId239">
        <w:r>
          <w:t>https://www.who.int/publications/i/item/9789240105539</w:t>
        </w:r>
      </w:hyperlink>
    </w:p>
    <w:p>
      <w:pPr>
        <w:spacing w:before="0" w:after="50" w:line="250" w:lineRule="auto"/>
      </w:pPr>
      <w:r>
        <w:rPr>
          <w:rFonts w:ascii="Calibri" w:hAnsi="Calibri"/>
          <w:sz w:val="20"/>
        </w:rPr>
        <w:t>[228] </w:t>
      </w:r>
      <w:hyperlink r:id="rId240">
        <w:r>
          <w:t>https://www.who.int/publications/i/item/9789240110991</w:t>
        </w:r>
      </w:hyperlink>
    </w:p>
    <w:p>
      <w:pPr>
        <w:spacing w:before="0" w:after="50" w:line="250" w:lineRule="auto"/>
      </w:pPr>
      <w:r>
        <w:rPr>
          <w:rFonts w:ascii="Calibri" w:hAnsi="Calibri"/>
          <w:sz w:val="20"/>
        </w:rPr>
        <w:t>[229] </w:t>
      </w:r>
      <w:hyperlink r:id="rId241">
        <w:r>
          <w:t>https://www.who.int/publications/i/item/9789240116337</w:t>
        </w:r>
      </w:hyperlink>
    </w:p>
    <w:p>
      <w:pPr>
        <w:spacing w:before="0" w:after="50" w:line="250" w:lineRule="auto"/>
      </w:pPr>
      <w:r>
        <w:rPr>
          <w:rFonts w:ascii="Calibri" w:hAnsi="Calibri"/>
          <w:sz w:val="20"/>
        </w:rPr>
        <w:t>[230] </w:t>
      </w:r>
      <w:hyperlink r:id="rId242">
        <w:r>
          <w:t>https://www.who.int/publications/i/item/9789240122529</w:t>
        </w:r>
      </w:hyperlink>
    </w:p>
    <w:p>
      <w:pPr>
        <w:spacing w:before="0" w:after="50" w:line="250" w:lineRule="auto"/>
      </w:pPr>
      <w:r>
        <w:rPr>
          <w:rFonts w:ascii="Calibri" w:hAnsi="Calibri"/>
          <w:sz w:val="20"/>
        </w:rPr>
        <w:t>[231] </w:t>
      </w:r>
      <w:hyperlink r:id="rId243">
        <w:r>
          <w:t>https://www.who.int/publications/i/item/9789290209942</w:t>
        </w:r>
      </w:hyperlink>
    </w:p>
    <w:p>
      <w:pPr>
        <w:spacing w:before="0" w:after="50" w:line="250" w:lineRule="auto"/>
      </w:pPr>
      <w:r>
        <w:rPr>
          <w:rFonts w:ascii="Calibri" w:hAnsi="Calibri"/>
          <w:sz w:val="20"/>
        </w:rPr>
        <w:t>[232] </w:t>
      </w:r>
      <w:hyperlink r:id="rId244">
        <w:r>
          <w:t>https://www.who.int/publications/i/item/sea-hdc-1</w:t>
        </w:r>
      </w:hyperlink>
    </w:p>
    <w:p>
      <w:pPr>
        <w:spacing w:before="0" w:after="50" w:line="250" w:lineRule="auto"/>
      </w:pPr>
      <w:r>
        <w:rPr>
          <w:rFonts w:ascii="Calibri" w:hAnsi="Calibri"/>
          <w:sz w:val="20"/>
        </w:rPr>
        <w:t>[233] J-AST: a web-based analysis platform for antimicrobial susceptibility ...</w:t>
        <w:br/>
        <w:t>https://zenodo.org/records/21721490</w:t>
      </w:r>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Scientific Evidence and References  |  Supporting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50"/>
      <w:jc w:val="start"/>
    </w:pPr>
    <w:rPr>
      <w:rFonts w:ascii="Calibri" w:hAnsi="Calibri" w:eastAsia="ＭＳ 明朝" w:cs="" w:cstheme="minorBidi" w:eastAsiaTheme="minorEastAsia"/>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b/>
      <w:color w:val="000000"/>
      <w:sz w:val="21"/>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b/>
      <w:i/>
      <w:iCs/>
      <w:color w:val="000000"/>
      <w:sz w:val="2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Noto Sans CJK SC" w:cs="Lohit Devanagari"/>
      <w:color w:val="000000"/>
      <w:sz w:val="28"/>
      <w:szCs w:val="28"/>
    </w:rPr>
  </w:style>
  <w:style w:type="paragraph" w:styleId="BodyText">
    <w:name w:val="Body Text"/>
    <w:basedOn w:val="Normal"/>
    <w:link w:val="BodyTextChar"/>
    <w:uiPriority w:val="99"/>
    <w:unhideWhenUsed/>
    <w:rsid w:val="00aa1d8d"/>
    <w:pPr>
      <w:spacing w:before="0" w:after="100" w:line="269" w:lineRule="auto"/>
    </w:pPr>
    <w:rPr>
      <w:rFonts w:ascii="Calibri" w:hAnsi="Calibri"/>
      <w:color w:val="000000"/>
      <w:sz w:val="22"/>
    </w:rPr>
  </w:style>
  <w:style w:type="paragraph" w:styleId="List">
    <w:name w:val="List"/>
    <w:basedOn w:val="Normal"/>
    <w:uiPriority w:val="99"/>
    <w:unhideWhenUsed/>
    <w:rsid w:val="00aa1d8d"/>
    <w:pPr>
      <w:spacing w:before="0" w:after="6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keepNext/>
      <w:spacing w:lineRule="auto" w:line="240"/>
    </w:pPr>
    <w:rPr>
      <w:rFonts w:ascii="Calibri" w:hAnsi="Calibri"/>
      <w:b/>
      <w:bCs/>
      <w:color w:val="333333"/>
      <w:sz w:val="18"/>
      <w:szCs w:val="18"/>
    </w:rPr>
  </w:style>
  <w:style w:type="paragraph" w:styleId="Index">
    <w:name w:val="Index"/>
    <w:basedOn w:val="Normal"/>
    <w:qFormat/>
    <w:pPr>
      <w:suppressLineNumbers/>
    </w:pPr>
    <w:rPr>
      <w:rFonts w:cs="Lohit Devanagari" w:ascii="Calibri" w:hAnsi="Calibri"/>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keepNext/>
      <w:pageBreakBefore w:val="0"/>
      <w:spacing w:lineRule="auto" w:line="240" w:before="0" w:after="2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line="269" w:lineRule="auto"/>
      <w:ind w:start="720"/>
      <w:contextualSpacing/>
    </w:pPr>
    <w:rPr>
      <w:rFonts w:ascii="Calibri" w:hAnsi="Calibri"/>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6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6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6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6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6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6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alibri" w:hAnsi="Calibri"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name w:val="toc 1"/>
    <w:basedOn w:val="Index"/>
    <w:pPr>
      <w:tabs>
        <w:tab w:val="clear" w:pos="720"/>
        <w:tab w:val="right" w:pos="10282" w:leader="dot"/>
      </w:tabs>
      <w:ind w:hanging="0" w:start="0"/>
    </w:pPr>
    <w:rPr>
      <w:rFonts w:ascii="Calibri" w:hAnsi="Calibri"/>
      <w:color w:val="000000"/>
    </w:rPr>
  </w:style>
  <w:style w:type="paragraph" w:styleId="TOC2">
    <w:name w:val="toc 2"/>
    <w:basedOn w:val="Index"/>
    <w:pPr>
      <w:tabs>
        <w:tab w:val="clear" w:pos="720"/>
        <w:tab w:val="right" w:pos="9999" w:leader="dot"/>
      </w:tabs>
      <w:ind w:hanging="0" w:start="283"/>
    </w:pPr>
    <w:rPr>
      <w:rFonts w:ascii="Calibri" w:hAnsi="Calibri"/>
      <w:color w:val="000000"/>
    </w:rPr>
  </w:style>
  <w:style w:type="paragraph" w:styleId="TOC3">
    <w:name w:val="toc 3"/>
    <w:basedOn w:val="Index"/>
    <w:pPr>
      <w:tabs>
        <w:tab w:val="clear" w:pos="720"/>
        <w:tab w:val="right" w:pos="9715" w:leader="dot"/>
      </w:tabs>
      <w:ind w:hanging="0" w:start="567"/>
    </w:pPr>
    <w:rPr>
      <w:rFonts w:ascii="Calibri" w:hAnsi="Calibri"/>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yuNv2ukKT3OJ6aUCe5bVRlqtTuc-rn50/view" TargetMode="External"/><Relationship Id="rId12" Type="http://schemas.openxmlformats.org/officeDocument/2006/relationships/hyperlink" Target="https://www.copanusa.com/laboratory-automation/microbiology-laboratory-automation-ai/radian/" TargetMode="External"/><Relationship Id="rId13" Type="http://schemas.openxmlformats.org/officeDocument/2006/relationships/hyperlink" Target="https://www.copangroup.com/product-ranges/wasplab/" TargetMode="External"/><Relationship Id="rId14" Type="http://schemas.openxmlformats.org/officeDocument/2006/relationships/hyperlink" Target="https://www.bd.com/de-ch/products-and-solutions/products/product-families/bd-kiestra-reada" TargetMode="External"/><Relationship Id="rId15" Type="http://schemas.openxmlformats.org/officeDocument/2006/relationships/hyperlink" Target="https://www.bd.com/en-no/products-and-solutions/products/product-families/bd-phoenix-m50-instrument" TargetMode="External"/><Relationship Id="rId16" Type="http://schemas.openxmlformats.org/officeDocument/2006/relationships/hyperlink" Target="https://www.biomerieux.com/corp/en/our-offer/clinical-products/vitek-2.html" TargetMode="External"/><Relationship Id="rId17" Type="http://schemas.openxmlformats.org/officeDocument/2006/relationships/hyperlink" Target="https://www.thermofisher.com/fr/fr/home/clinical/clinical-microbiology/antimicrobial-susceptibility-testing/sensititre-ast/aris-hiq.html" TargetMode="External"/><Relationship Id="rId18" Type="http://schemas.openxmlformats.org/officeDocument/2006/relationships/hyperlink" Target="https://link.springer.com/article/10.1007/s10096-025-05362-8" TargetMode="External"/><Relationship Id="rId19" Type="http://schemas.openxmlformats.org/officeDocument/2006/relationships/hyperlink" Target="https://www.eucast.org/bacteria/rapid-ast-in-blood-culture/breakpoints-for-rapid-ast/" TargetMode="External"/><Relationship Id="rId20" Type="http://schemas.openxmlformats.org/officeDocument/2006/relationships/hyperlink" Target="https://www.eucast.org/website-changes/" TargetMode="External"/><Relationship Id="rId21" Type="http://schemas.openxmlformats.org/officeDocument/2006/relationships/hyperlink" Target="https://pubmed.ncbi.nlm.nih.gov/39299261/" TargetMode="External"/><Relationship Id="rId22" Type="http://schemas.openxmlformats.org/officeDocument/2006/relationships/hyperlink" Target="https://www.who.int/news-room/fact-sheets/detail/antimicrobial-resistance" TargetMode="External"/><Relationship Id="rId23" Type="http://schemas.openxmlformats.org/officeDocument/2006/relationships/hyperlink" Target="https://www.who.int/news/item/13-10-2025-who-warns-of-widespread-resistance-to-common-antibiotics-worldwide" TargetMode="External"/><Relationship Id="rId24" Type="http://schemas.openxmlformats.org/officeDocument/2006/relationships/hyperlink" Target="https://www.who.int/news/item/17-05-2024-who-updates-list-of-drug-resistant-bacteria-most-threatening-to-human-health" TargetMode="External"/><Relationship Id="rId25" Type="http://schemas.openxmlformats.org/officeDocument/2006/relationships/hyperlink" Target="https://www.frontiersin.org/journals/microbiology/articles/10.3389/fmicb.2026.1810754/full" TargetMode="External"/><Relationship Id="rId26" Type="http://schemas.openxmlformats.org/officeDocument/2006/relationships/hyperlink" Target="https://clsi.org/shop/standards/m100/" TargetMode="External"/><Relationship Id="rId27" Type="http://schemas.openxmlformats.org/officeDocument/2006/relationships/hyperlink" Target="https://clsi.org/resources/breakpoint-implementation-toolkit/" TargetMode="External"/><Relationship Id="rId28" Type="http://schemas.openxmlformats.org/officeDocument/2006/relationships/hyperlink" Target="https://www.eucast.org/bacteria/clinical-breakpoints-and-interpretation/clinical-breakpoint-tables/" TargetMode="External"/><Relationship Id="rId29" Type="http://schemas.openxmlformats.org/officeDocument/2006/relationships/hyperlink" Target="https://www.icmr.gov.in/icmrobject/uploads/Guidelines/1736941384_guidancedocument_amrdiagnostics_revised.pdf" TargetMode="External"/><Relationship Id="rId30" Type="http://schemas.openxmlformats.org/officeDocument/2006/relationships/hyperlink" Target="https://www.icmr.gov.in/post/inviting-comments-on-standard-ivd-evaluation-protocols-drafted-by-icmr-and-cdsco-last-date-august-25-2026" TargetMode="External"/><Relationship Id="rId31" Type="http://schemas.openxmlformats.org/officeDocument/2006/relationships/hyperlink" Target="https://www.icmr.gov.in/icmrobject/uploads/Documents/1786076836_cdsco_draftdocument.pdf" TargetMode="External"/><Relationship Id="rId32" Type="http://schemas.openxmlformats.org/officeDocument/2006/relationships/hyperlink" Target="https://dghs.mohfw.gov.in/" TargetMode="External"/><Relationship Id="rId33" Type="http://schemas.openxmlformats.org/officeDocument/2006/relationships/hyperlink" Target="https://patents.google.com/patent/IL311398A/en" TargetMode="External"/><Relationship Id="rId34" Type="http://schemas.openxmlformats.org/officeDocument/2006/relationships/hyperlink" Target="https://patents.google.com/patent/AU2014259028B2/en" TargetMode="External"/><Relationship Id="rId35" Type="http://schemas.openxmlformats.org/officeDocument/2006/relationships/hyperlink" Target="https://patents.google.com/patent/CN117467736A/en" TargetMode="External"/><Relationship Id="rId36" Type="http://schemas.openxmlformats.org/officeDocument/2006/relationships/hyperlink" Target="https://www.pib.gov.in/" TargetMode="External"/><Relationship Id="rId37" Type="http://schemas.openxmlformats.org/officeDocument/2006/relationships/hyperlink" Target="https://ncdc.mohfw.gov.in/" TargetMode="External"/><Relationship Id="rId38" Type="http://schemas.openxmlformats.org/officeDocument/2006/relationships/hyperlink" Target="https://clsi.org/" TargetMode="External"/><Relationship Id="rId39" Type="http://schemas.openxmlformats.org/officeDocument/2006/relationships/hyperlink" Target="https://www.eucast.org/" TargetMode="External"/><Relationship Id="rId40" Type="http://schemas.openxmlformats.org/officeDocument/2006/relationships/hyperlink" Target="https://cdsco.gov.in/opencms/export/sites/CDSCO_WEB/Pdf-documents/Guidance-document-on-Medical-Device-Software-under-MDR-2017.pdf" TargetMode="External"/><Relationship Id="rId41" Type="http://schemas.openxmlformats.org/officeDocument/2006/relationships/hyperlink" Target="https://www.biorxiv.org/" TargetMode="External"/><Relationship Id="rId42" Type="http://schemas.openxmlformats.org/officeDocument/2006/relationships/hyperlink" Target="https://zenodo.org/records/21721490" TargetMode="External"/><Relationship Id="rId43" Type="http://schemas.openxmlformats.org/officeDocument/2006/relationships/hyperlink" Target="https://www.copanusa.com/laboratory-automation/microbiology-laboratory-automation-ai/phenomatrix/" TargetMode="External"/><Relationship Id="rId44" Type="http://schemas.openxmlformats.org/officeDocument/2006/relationships/hyperlink" Target="https://www.accessdata.fda.gov/scripts/cdrh/cfdocs/cfTPLC/tplc.cfm?ID=3864&amp;manufacturer=COPAN+WASP+SRL&amp;min_report_year=2018&amp;pmndecision=SUBSTANTIALLY+EQUIVALENT" TargetMode="External"/><Relationship Id="rId45" Type="http://schemas.openxmlformats.org/officeDocument/2006/relationships/hyperlink" Target="https://www.biomerieux.com/" TargetMode="External"/><Relationship Id="rId46" Type="http://schemas.openxmlformats.org/officeDocument/2006/relationships/hyperlink" Target="https://info.biomerieux.com/clin_us_2024_vitek-reveal" TargetMode="External"/><Relationship Id="rId47" Type="http://schemas.openxmlformats.org/officeDocument/2006/relationships/hyperlink" Target="https://www.bd.com/" TargetMode="External"/><Relationship Id="rId48" Type="http://schemas.openxmlformats.org/officeDocument/2006/relationships/hyperlink" Target="https://www.biomic.com/" TargetMode="External"/><Relationship Id="rId49" Type="http://schemas.openxmlformats.org/officeDocument/2006/relationships/hyperlink" Target="https://reshapebiotech.com/" TargetMode="External"/><Relationship Id="rId50" Type="http://schemas.openxmlformats.org/officeDocument/2006/relationships/hyperlink" Target="https://africacdc.org/" TargetMode="External"/><Relationship Id="rId51" Type="http://schemas.openxmlformats.org/officeDocument/2006/relationships/hyperlink" Target="https://africacdc.org/download/antimicrobial-resistance-control-framework-2026-2030/" TargetMode="External"/><Relationship Id="rId52" Type="http://schemas.openxmlformats.org/officeDocument/2006/relationships/hyperlink" Target="https://africacdc.org/news-item/africa-cdc-aslm-and-the-european-union-launch-one-health-laboratory-initiative-to-strengthen-amr-control-in-africa/" TargetMode="External"/><Relationship Id="rId53" Type="http://schemas.openxmlformats.org/officeDocument/2006/relationships/hyperlink" Target="https://africacdc.org/rislnet/" TargetMode="External"/><Relationship Id="rId54" Type="http://schemas.openxmlformats.org/officeDocument/2006/relationships/hyperlink" Target="https://apps.who.int/gb/ebwha/pdf_files/WHA79/A79_5Add2-en.pdf" TargetMode="External"/><Relationship Id="rId55" Type="http://schemas.openxmlformats.org/officeDocument/2006/relationships/hyperlink" Target="https://astrobiology.nasa.gov/about/" TargetMode="External"/><Relationship Id="rId56" Type="http://schemas.openxmlformats.org/officeDocument/2006/relationships/hyperlink" Target="https://astrobiology.nasa.gov/research/astrobiology-at-nasa/planetary-protection-research/" TargetMode="External"/><Relationship Id="rId57" Type="http://schemas.openxmlformats.org/officeDocument/2006/relationships/hyperlink" Target="https://ccamp.res.in/" TargetMode="External"/><Relationship Id="rId58" Type="http://schemas.openxmlformats.org/officeDocument/2006/relationships/hyperlink" Target="https://ccari.res.in/Shirish.html" TargetMode="External"/><Relationship Id="rId59" Type="http://schemas.openxmlformats.org/officeDocument/2006/relationships/hyperlink" Target="https://ccari.res.in/estuarinecage231025.html" TargetMode="External"/><Relationship Id="rId60" Type="http://schemas.openxmlformats.org/officeDocument/2006/relationships/hyperlink" Target="https://cdsco.gov.in/opencms/opencms/en/Departments/Sub-Zone/Goa/" TargetMode="External"/><Relationship Id="rId61" Type="http://schemas.openxmlformats.org/officeDocument/2006/relationships/hyperlink" Target="https://clsi.org/about/press-releases/clsi-publishes-three-new-editions-of-antifungal-documents/" TargetMode="External"/><Relationship Id="rId62" Type="http://schemas.openxmlformats.org/officeDocument/2006/relationships/hyperlink" Target="https://clsi.org/htd/listallterms.asp" TargetMode="External"/><Relationship Id="rId63" Type="http://schemas.openxmlformats.org/officeDocument/2006/relationships/hyperlink" Target="https://clsi.org/shop/standards/m02/" TargetMode="External"/><Relationship Id="rId64" Type="http://schemas.openxmlformats.org/officeDocument/2006/relationships/hyperlink" Target="https://clsi.org/shop/standards/m02qg/" TargetMode="External"/><Relationship Id="rId65" Type="http://schemas.openxmlformats.org/officeDocument/2006/relationships/hyperlink" Target="https://clsi.org/shop/standards/m23s3/" TargetMode="External"/><Relationship Id="rId66" Type="http://schemas.openxmlformats.org/officeDocument/2006/relationships/hyperlink" Target="https://clsi.org/shop/standards/m24/" TargetMode="External"/><Relationship Id="rId67" Type="http://schemas.openxmlformats.org/officeDocument/2006/relationships/hyperlink" Target="https://clsi.org/shop/standards/m24s/" TargetMode="External"/><Relationship Id="rId68" Type="http://schemas.openxmlformats.org/officeDocument/2006/relationships/hyperlink" Target="https://clsi.org/shop/standards/m39/" TargetMode="External"/><Relationship Id="rId69" Type="http://schemas.openxmlformats.org/officeDocument/2006/relationships/hyperlink" Target="https://clsi.org/shop/standards/m44/" TargetMode="External"/><Relationship Id="rId70" Type="http://schemas.openxmlformats.org/officeDocument/2006/relationships/hyperlink" Target="https://clsi.org/shop/standards/m52/" TargetMode="External"/><Relationship Id="rId71" Type="http://schemas.openxmlformats.org/officeDocument/2006/relationships/hyperlink" Target="https://clsi.org/shop/standards/vet01/" TargetMode="External"/><Relationship Id="rId72" Type="http://schemas.openxmlformats.org/officeDocument/2006/relationships/hyperlink" Target="https://clsi.org/shop/standards/vet03/" TargetMode="External"/><Relationship Id="rId73" Type="http://schemas.openxmlformats.org/officeDocument/2006/relationships/hyperlink" Target="https://clsi.org/shop/standards/vet04/" TargetMode="External"/><Relationship Id="rId74" Type="http://schemas.openxmlformats.org/officeDocument/2006/relationships/hyperlink" Target="https://clsi.org/terms-and-conditions/copyright-policy/" TargetMode="External"/><Relationship Id="rId75" Type="http://schemas.openxmlformats.org/officeDocument/2006/relationships/hyperlink" Target="https://developer.nvidia.com/embedded/lifecycle" TargetMode="External"/><Relationship Id="rId76" Type="http://schemas.openxmlformats.org/officeDocument/2006/relationships/hyperlink" Target="https://docs.openelisci.org/" TargetMode="External"/><Relationship Id="rId77" Type="http://schemas.openxmlformats.org/officeDocument/2006/relationships/hyperlink" Target="https://doi.org/10.1007/s00284-024-03710-z" TargetMode="External"/><Relationship Id="rId78" Type="http://schemas.openxmlformats.org/officeDocument/2006/relationships/hyperlink" Target="https://doi.org/10.1007/s10096-025-05362-8" TargetMode="External"/><Relationship Id="rId79" Type="http://schemas.openxmlformats.org/officeDocument/2006/relationships/hyperlink" Target="https://doi.org/10.1016/j.anaerobe.2026.103025" TargetMode="External"/><Relationship Id="rId80" Type="http://schemas.openxmlformats.org/officeDocument/2006/relationships/hyperlink" Target="https://doi.org/10.1016/j.bios.2021.113876" TargetMode="External"/><Relationship Id="rId81" Type="http://schemas.openxmlformats.org/officeDocument/2006/relationships/hyperlink" Target="https://doi.org/10.1016/j.bios.2022.115056" TargetMode="External"/><Relationship Id="rId82" Type="http://schemas.openxmlformats.org/officeDocument/2006/relationships/hyperlink" Target="https://doi.org/10.1016/j.cmi.2025.07.012" TargetMode="External"/><Relationship Id="rId83" Type="http://schemas.openxmlformats.org/officeDocument/2006/relationships/hyperlink" Target="https://doi.org/10.1016/j.measurement.2019.06.041" TargetMode="External"/><Relationship Id="rId84" Type="http://schemas.openxmlformats.org/officeDocument/2006/relationships/hyperlink" Target="https://doi.org/10.1016/s0140-6736(24)01867-1" TargetMode="External"/><Relationship Id="rId85" Type="http://schemas.openxmlformats.org/officeDocument/2006/relationships/hyperlink" Target="https://doi.org/10.1021/acs.analchem.2c03683" TargetMode="External"/><Relationship Id="rId86" Type="http://schemas.openxmlformats.org/officeDocument/2006/relationships/hyperlink" Target="https://doi.org/10.1038/nmicrobiol.2016.53" TargetMode="External"/><Relationship Id="rId87" Type="http://schemas.openxmlformats.org/officeDocument/2006/relationships/hyperlink" Target="https://doi.org/10.1038/s41467-018-06912-9" TargetMode="External"/><Relationship Id="rId88" Type="http://schemas.openxmlformats.org/officeDocument/2006/relationships/hyperlink" Target="https://doi.org/10.1038/s41467-020-18902-x" TargetMode="External"/><Relationship Id="rId89" Type="http://schemas.openxmlformats.org/officeDocument/2006/relationships/hyperlink" Target="https://doi.org/10.1038/s41467-021-21187-3" TargetMode="External"/><Relationship Id="rId90" Type="http://schemas.openxmlformats.org/officeDocument/2006/relationships/hyperlink" Target="https://doi.org/10.1038/s41564-019-0480-z" TargetMode="External"/><Relationship Id="rId91" Type="http://schemas.openxmlformats.org/officeDocument/2006/relationships/hyperlink" Target="https://doi.org/10.1038/s41597-023-02404-8" TargetMode="External"/><Relationship Id="rId92" Type="http://schemas.openxmlformats.org/officeDocument/2006/relationships/hyperlink" Target="https://doi.org/10.1038/s41597-026-07095-5" TargetMode="External"/><Relationship Id="rId93" Type="http://schemas.openxmlformats.org/officeDocument/2006/relationships/hyperlink" Target="https://doi.org/10.1038/s41598-023-50296-w" TargetMode="External"/><Relationship Id="rId94" Type="http://schemas.openxmlformats.org/officeDocument/2006/relationships/hyperlink" Target="https://doi.org/10.1038/s44259-025-00082-7" TargetMode="External"/><Relationship Id="rId95" Type="http://schemas.openxmlformats.org/officeDocument/2006/relationships/hyperlink" Target="https://doi.org/10.1073/pnas.1708558114" TargetMode="External"/><Relationship Id="rId96" Type="http://schemas.openxmlformats.org/officeDocument/2006/relationships/hyperlink" Target="https://doi.org/10.1073/pnas.1922172117" TargetMode="External"/><Relationship Id="rId97" Type="http://schemas.openxmlformats.org/officeDocument/2006/relationships/hyperlink" Target="https://doi.org/10.1093/ajcp/aqab160" TargetMode="External"/><Relationship Id="rId98" Type="http://schemas.openxmlformats.org/officeDocument/2006/relationships/hyperlink" Target="https://doi.org/10.1093/jac/dkae325" TargetMode="External"/><Relationship Id="rId99" Type="http://schemas.openxmlformats.org/officeDocument/2006/relationships/hyperlink" Target="https://doi.org/10.1093/jac/dkv309" TargetMode="External"/><Relationship Id="rId100" Type="http://schemas.openxmlformats.org/officeDocument/2006/relationships/hyperlink" Target="https://doi.org/10.1099/mic.0.000295" TargetMode="External"/><Relationship Id="rId101" Type="http://schemas.openxmlformats.org/officeDocument/2006/relationships/hyperlink" Target="https://doi.org/10.1111/apm.13470" TargetMode="External"/><Relationship Id="rId102" Type="http://schemas.openxmlformats.org/officeDocument/2006/relationships/hyperlink" Target="https://doi.org/10.1128/jcm.00777-21" TargetMode="External"/><Relationship Id="rId103" Type="http://schemas.openxmlformats.org/officeDocument/2006/relationships/hyperlink" Target="https://doi.org/10.1128/jcm.01606-24" TargetMode="External"/><Relationship Id="rId104" Type="http://schemas.openxmlformats.org/officeDocument/2006/relationships/hyperlink" Target="https://doi.org/10.1128/spectrum.01442-22" TargetMode="External"/><Relationship Id="rId105" Type="http://schemas.openxmlformats.org/officeDocument/2006/relationships/hyperlink" Target="https://doi.org/10.1186/1471-2180-13-225" TargetMode="External"/><Relationship Id="rId106" Type="http://schemas.openxmlformats.org/officeDocument/2006/relationships/hyperlink" Target="https://doi.org/10.1186/s13036-025-00542-8" TargetMode="External"/><Relationship Id="rId107" Type="http://schemas.openxmlformats.org/officeDocument/2006/relationships/hyperlink" Target="https://doi.org/10.1371/journal.pone.0248917" TargetMode="External"/><Relationship Id="rId108" Type="http://schemas.openxmlformats.org/officeDocument/2006/relationships/hyperlink" Target="https://doi.org/10.1371/journal.pone.0303202" TargetMode="External"/><Relationship Id="rId109" Type="http://schemas.openxmlformats.org/officeDocument/2006/relationships/hyperlink" Target="https://doi.org/10.1371/journal.pone.0347932" TargetMode="External"/><Relationship Id="rId110" Type="http://schemas.openxmlformats.org/officeDocument/2006/relationships/hyperlink" Target="https://doi.org/10.25259/ijmr_214_2026" TargetMode="External"/><Relationship Id="rId111" Type="http://schemas.openxmlformats.org/officeDocument/2006/relationships/hyperlink" Target="https://doi.org/10.31003/uspnf_m98820_04_01" TargetMode="External"/><Relationship Id="rId112" Type="http://schemas.openxmlformats.org/officeDocument/2006/relationships/hyperlink" Target="https://doi.org/10.3389/fcimb.2025.1536058" TargetMode="External"/><Relationship Id="rId113" Type="http://schemas.openxmlformats.org/officeDocument/2006/relationships/hyperlink" Target="https://doi.org/10.3389/fmicb.2022.1076965" TargetMode="External"/><Relationship Id="rId114" Type="http://schemas.openxmlformats.org/officeDocument/2006/relationships/hyperlink" Target="https://doi.org/10.3389/fmicb.2023.1221134" TargetMode="External"/><Relationship Id="rId115" Type="http://schemas.openxmlformats.org/officeDocument/2006/relationships/hyperlink" Target="https://doi.org/10.3389/fmicb.2026.1810754" TargetMode="External"/><Relationship Id="rId116" Type="http://schemas.openxmlformats.org/officeDocument/2006/relationships/hyperlink" Target="https://doi.org/10.3855/jidc.21108" TargetMode="External"/><Relationship Id="rId117" Type="http://schemas.openxmlformats.org/officeDocument/2006/relationships/hyperlink" Target="https://doi.org/10.5061/dryad.5dv41nsfj" TargetMode="External"/><Relationship Id="rId118" Type="http://schemas.openxmlformats.org/officeDocument/2006/relationships/hyperlink" Target="https://doi.org/10.64898/2026.07.22.739984" TargetMode="External"/><Relationship Id="rId119" Type="http://schemas.openxmlformats.org/officeDocument/2006/relationships/hyperlink" Target="https://doi.org/10.7759/cureus.30971" TargetMode="External"/><Relationship Id="rId120" Type="http://schemas.openxmlformats.org/officeDocument/2006/relationships/hyperlink" Target="https://doi.usp.org/USPNF/USPNF_M9153_02_01.html" TargetMode="External"/><Relationship Id="rId121" Type="http://schemas.openxmlformats.org/officeDocument/2006/relationships/hyperlink" Target="https://doi.usp.org/USPNF/USPNF_M98820_04_01.html" TargetMode="External"/><Relationship Id="rId122" Type="http://schemas.openxmlformats.org/officeDocument/2006/relationships/hyperlink" Target="https://eur-lex.europa.eu/eli/reg/2016/679/oj/" TargetMode="External"/><Relationship Id="rId123" Type="http://schemas.openxmlformats.org/officeDocument/2006/relationships/hyperlink" Target="https://eur-lex.europa.eu/eli/reg/2017/746/oj" TargetMode="External"/><Relationship Id="rId124" Type="http://schemas.openxmlformats.org/officeDocument/2006/relationships/hyperlink" Target="https://gmcgoa.edu.in/department-of-microbiology/" TargetMode="External"/><Relationship Id="rId125" Type="http://schemas.openxmlformats.org/officeDocument/2006/relationships/hyperlink" Target="https://goa.gov.in/" TargetMode="External"/><Relationship Id="rId126" Type="http://schemas.openxmlformats.org/officeDocument/2006/relationships/hyperlink" Target="https://health.ec.europa.eu/document/download/12f9756a-1e0d-4aed-9783-d948553f1705_en" TargetMode="External"/><Relationship Id="rId127" Type="http://schemas.openxmlformats.org/officeDocument/2006/relationships/hyperlink" Target="https://health.ec.europa.eu/latest-updates/mdcg-2020-16-rev5-guidance-classification-rules-vitro-diagnostic-medical-devices-under-regulation-eu-2026-09-09_en" TargetMode="External"/><Relationship Id="rId128" Type="http://schemas.openxmlformats.org/officeDocument/2006/relationships/hyperlink" Target="https://icars-global.org/" TargetMode="External"/><Relationship Id="rId129" Type="http://schemas.openxmlformats.org/officeDocument/2006/relationships/hyperlink" Target="https://icars-global.org/seven-awarded-innovations-c-camp/" TargetMode="External"/><Relationship Id="rId130" Type="http://schemas.openxmlformats.org/officeDocument/2006/relationships/hyperlink" Target="https://irise.icmr.org.in/" TargetMode="External"/><Relationship Id="rId131" Type="http://schemas.openxmlformats.org/officeDocument/2006/relationships/hyperlink" Target="https://loinc.org/" TargetMode="External"/><Relationship Id="rId132" Type="http://schemas.openxmlformats.org/officeDocument/2006/relationships/hyperlink" Target="https://loinc.org/kb/users-guide/special-cases/antimicrobial-susceptibilities" TargetMode="External"/><Relationship Id="rId133" Type="http://schemas.openxmlformats.org/officeDocument/2006/relationships/hyperlink" Target="https://medtechmitra.icmr.org.in/" TargetMode="External"/><Relationship Id="rId134" Type="http://schemas.openxmlformats.org/officeDocument/2006/relationships/hyperlink" Target="https://members.aatcc.org/store/tm100/513/" TargetMode="External"/><Relationship Id="rId135" Type="http://schemas.openxmlformats.org/officeDocument/2006/relationships/hyperlink" Target="https://members.aatcc.org/store/tm147/554/" TargetMode="External"/><Relationship Id="rId136" Type="http://schemas.openxmlformats.org/officeDocument/2006/relationships/hyperlink" Target="https://mic.eucast.org/" TargetMode="External"/><Relationship Id="rId137" Type="http://schemas.openxmlformats.org/officeDocument/2006/relationships/hyperlink" Target="https://ncdc.mohfw.gov.in/wp-content/uploads/2025/09/Final_Annual-Report-2025_Jan-to-Dec-2024.pdf" TargetMode="External"/><Relationship Id="rId138" Type="http://schemas.openxmlformats.org/officeDocument/2006/relationships/hyperlink" Target="https://ncdc.mohfw.gov.in/wp-content/uploads/2025/10/Semi-Annual-Bulletin-Issue-5-Jan-to-June-2025.pdf" TargetMode="External"/><Relationship Id="rId139" Type="http://schemas.openxmlformats.org/officeDocument/2006/relationships/hyperlink" Target="https://new1.isro.gov.in/" TargetMode="External"/><Relationship Id="rId140" Type="http://schemas.openxmlformats.org/officeDocument/2006/relationships/hyperlink" Target="https://new1.isro.gov.in/DBT_ISRO_signs_Framework_Memorandum_of_Understanding_on_Cooperation_in_Space_Biotechnology.html" TargetMode="External"/><Relationship Id="rId141" Type="http://schemas.openxmlformats.org/officeDocument/2006/relationships/hyperlink" Target="https://nhm.goa.gov.in/health-centers-hospitals/" TargetMode="External"/><Relationship Id="rId142" Type="http://schemas.openxmlformats.org/officeDocument/2006/relationships/hyperlink" Target="https://openelis-global.org/" TargetMode="External"/><Relationship Id="rId143" Type="http://schemas.openxmlformats.org/officeDocument/2006/relationships/hyperlink" Target="https://patents.google.com/" TargetMode="External"/><Relationship Id="rId144" Type="http://schemas.openxmlformats.org/officeDocument/2006/relationships/hyperlink" Target="https://patents.google.com/patent/US12529090B2/en" TargetMode="External"/><Relationship Id="rId145" Type="http://schemas.openxmlformats.org/officeDocument/2006/relationships/hyperlink" Target="https://patents.google.com/patent/US5629169A/en" TargetMode="External"/><Relationship Id="rId146" Type="http://schemas.openxmlformats.org/officeDocument/2006/relationships/hyperlink" Target="https://patents.google.com/patent/US6665429B1/en" TargetMode="External"/><Relationship Id="rId147" Type="http://schemas.openxmlformats.org/officeDocument/2006/relationships/hyperlink" Target="https://patents.google.com/patent/WO2000032807A1/en" TargetMode="External"/><Relationship Id="rId148" Type="http://schemas.openxmlformats.org/officeDocument/2006/relationships/hyperlink" Target="https://patents.google.com/patent/WO2016055724A1/en" TargetMode="External"/><Relationship Id="rId149" Type="http://schemas.openxmlformats.org/officeDocument/2006/relationships/hyperlink" Target="https://pubmed.ncbi.nlm.nih.gov/40706670/" TargetMode="External"/><Relationship Id="rId150" Type="http://schemas.openxmlformats.org/officeDocument/2006/relationships/hyperlink" Target="https://science.nasa.gov/biological-physical/investigations/gears-genomic-enumeration-of-antibiotic-resistance-in-space/" TargetMode="External"/><Relationship Id="rId151" Type="http://schemas.openxmlformats.org/officeDocument/2006/relationships/hyperlink" Target="https://science.nasa.gov/biological-physical/investigations/microbial-tracking-3/" TargetMode="External"/><Relationship Id="rId152" Type="http://schemas.openxmlformats.org/officeDocument/2006/relationships/hyperlink" Target="https://terminology.hl7.org/" TargetMode="External"/><Relationship Id="rId153" Type="http://schemas.openxmlformats.org/officeDocument/2006/relationships/hyperlink" Target="https://terminology.hl7.org/7.0.1/ValueSet-v3-ObservationInterpretationSusceptibility.html" TargetMode="External"/><Relationship Id="rId154" Type="http://schemas.openxmlformats.org/officeDocument/2006/relationships/hyperlink" Target="https://whonet.org/features.html" TargetMode="External"/><Relationship Id="rId155" Type="http://schemas.openxmlformats.org/officeDocument/2006/relationships/hyperlink" Target="https://whonet.org/software.html" TargetMode="External"/><Relationship Id="rId156" Type="http://schemas.openxmlformats.org/officeDocument/2006/relationships/hyperlink" Target="https://www.accessdata.fda.gov/cdrh_docs/reviews/K183648.pdf" TargetMode="External"/><Relationship Id="rId157" Type="http://schemas.openxmlformats.org/officeDocument/2006/relationships/hyperlink" Target="https://www.accessdata.fda.gov/scripts/cdrh/cfdocs/cfPCD/classification.cfm?ID=LRG" TargetMode="External"/><Relationship Id="rId158" Type="http://schemas.openxmlformats.org/officeDocument/2006/relationships/hyperlink" Target="https://www.ccamp.res.in/node/9130" TargetMode="External"/><Relationship Id="rId159" Type="http://schemas.openxmlformats.org/officeDocument/2006/relationships/hyperlink" Target="https://www.cdc.gov/mrsa/php/laboratories/index.html" TargetMode="External"/><Relationship Id="rId160" Type="http://schemas.openxmlformats.org/officeDocument/2006/relationships/hyperlink" Target="https://www.cdc.gov/nhsn/faqs/faq-ar.html" TargetMode="External"/><Relationship Id="rId161" Type="http://schemas.openxmlformats.org/officeDocument/2006/relationships/hyperlink" Target="https://www.cdc.gov/nhsn/pdfs/pscmanual/11pscaurcurrent.pdf" TargetMode="External"/><Relationship Id="rId162" Type="http://schemas.openxmlformats.org/officeDocument/2006/relationships/hyperlink" Target="https://www.cdsco.gov.in/opencms/export/sites/CDSCO_WEB/Pdf-documents/Addendum-Doc-No-CDSCOIVDFAQ-042022dated-13032026.pdf" TargetMode="External"/><Relationship Id="rId163" Type="http://schemas.openxmlformats.org/officeDocument/2006/relationships/hyperlink" Target="https://www.cdsco.gov.in/opencms/export/sites/CDSCO_WEB/Pdf-documents/Guidance-document-on-Medical-Device-Software-under-MDR-2017.pdf" TargetMode="External"/><Relationship Id="rId164" Type="http://schemas.openxmlformats.org/officeDocument/2006/relationships/hyperlink" Target="https://www.cdsco.gov.in/opencms/export/sites/CDSCO_WEB/Pdf-documents/MedTech-Mitras-Innovator-Handbook-.pdf" TargetMode="External"/><Relationship Id="rId165" Type="http://schemas.openxmlformats.org/officeDocument/2006/relationships/hyperlink" Target="https://www.cdsco.gov.in/opencms/export/sites/CDSCO_WEB/Pdf-documents/Revised-PER-list-dated-29.06.2026.pdf" TargetMode="External"/><Relationship Id="rId166" Type="http://schemas.openxmlformats.org/officeDocument/2006/relationships/hyperlink" Target="https://www.cdsco.gov.in/opencms/export/sites/CDSCO_WEB/Pdf-documents/medical-device/IVD_classifiction25oc23.pdf" TargetMode="External"/><Relationship Id="rId167" Type="http://schemas.openxmlformats.org/officeDocument/2006/relationships/hyperlink" Target="https://www.cdsco.gov.in/opencms/export/sites/CDSCO_WEB/Pdf-documents/medical-device/List-of-labs-for-PE-of-IVD-Instruments-Analyser-Software-2022.pdf" TargetMode="External"/><Relationship Id="rId168" Type="http://schemas.openxmlformats.org/officeDocument/2006/relationships/hyperlink" Target="https://www.cdsco.gov.in/opencms/opencms/en/Medical-Device-Diagnostics/Medical-Device-Diagnostics/" TargetMode="External"/><Relationship Id="rId169" Type="http://schemas.openxmlformats.org/officeDocument/2006/relationships/hyperlink" Target="https://www.dghs.mohfw.gov.in/index.php?lang=en" TargetMode="External"/><Relationship Id="rId170" Type="http://schemas.openxmlformats.org/officeDocument/2006/relationships/hyperlink" Target="https://www.ecdc.europa.eu/en/about-us/networks/disease-networks-and-laboratory-networks/ears-net-data" TargetMode="External"/><Relationship Id="rId171" Type="http://schemas.openxmlformats.org/officeDocument/2006/relationships/hyperlink" Target="https://www.epa.gov/cwa-methods/approved-cwa-microbiological-test-methods" TargetMode="External"/><Relationship Id="rId172" Type="http://schemas.openxmlformats.org/officeDocument/2006/relationships/hyperlink" Target="https://www.epa.gov/sites/default/files/2015-08/documents/method_1604_2002.pdf" TargetMode="External"/><Relationship Id="rId173" Type="http://schemas.openxmlformats.org/officeDocument/2006/relationships/hyperlink" Target="https://www.eucast.org/about-eucast/organisation/national-ast-committees-nac/" TargetMode="External"/><Relationship Id="rId174" Type="http://schemas.openxmlformats.org/officeDocument/2006/relationships/hyperlink" Target="https://www.eucast.org/about-eucast/public-consultations/" TargetMode="External"/><Relationship Id="rId175" Type="http://schemas.openxmlformats.org/officeDocument/2006/relationships/hyperlink" Target="https://www.eucast.org/bacteria/development-of-clinical-breakpoints-and-ecoffs/about-clinical-breakpoints/" TargetMode="External"/><Relationship Id="rId176" Type="http://schemas.openxmlformats.org/officeDocument/2006/relationships/hyperlink" Target="https://www.eucast.org/bacteria/document-archive/" TargetMode="External"/><Relationship Id="rId177" Type="http://schemas.openxmlformats.org/officeDocument/2006/relationships/hyperlink" Target="https://www.eucast.org/bacteria/guidance-documents/" TargetMode="External"/><Relationship Id="rId178" Type="http://schemas.openxmlformats.org/officeDocument/2006/relationships/hyperlink" Target="https://www.eucast.org/bacteria/important-additional-information/resistance-detection/" TargetMode="External"/><Relationship Id="rId179" Type="http://schemas.openxmlformats.org/officeDocument/2006/relationships/hyperlink" Target="https://www.eucast.org/bacteria/methodology-and-instructions/disk-diffusion-and-quality-control/" TargetMode="External"/><Relationship Id="rId180" Type="http://schemas.openxmlformats.org/officeDocument/2006/relationships/hyperlink" Target="https://www.eucast.org/bacteria/methodology-and-instructions/media-preparation/" TargetMode="External"/><Relationship Id="rId181" Type="http://schemas.openxmlformats.org/officeDocument/2006/relationships/hyperlink" Target="https://www.eucast.org/bacteria/methodology-and-instructions/mic-determination/" TargetMode="External"/><Relationship Id="rId182" Type="http://schemas.openxmlformats.org/officeDocument/2006/relationships/hyperlink" Target="https://www.eucast.org/bacteria/methodology-and-instructions/warnings/" TargetMode="External"/><Relationship Id="rId183" Type="http://schemas.openxmlformats.org/officeDocument/2006/relationships/hyperlink" Target="https://www.eucast.org/bacteria/rapid-ast-in-blood-culture/methods-and-quality-control/" TargetMode="External"/><Relationship Id="rId184" Type="http://schemas.openxmlformats.org/officeDocument/2006/relationships/hyperlink" Target="https://www.eucast.org/fileadmin/eucast/pdf/disk_test_documents/2025/Manual_v_13.0_EUCAST_Disk_Test_2025.pdf" TargetMode="External"/><Relationship Id="rId185" Type="http://schemas.openxmlformats.org/officeDocument/2006/relationships/hyperlink" Target="https://www.eucast.org/fungi-afst/" TargetMode="External"/><Relationship Id="rId186" Type="http://schemas.openxmlformats.org/officeDocument/2006/relationships/hyperlink" Target="https://www.eucast.org/fungi-afst/clinical-breakpoints-and-interpretation/clinical-breakpoint-table/" TargetMode="External"/><Relationship Id="rId187" Type="http://schemas.openxmlformats.org/officeDocument/2006/relationships/hyperlink" Target="https://www.eucast.org/fungi-afst/methodology-and-instructions/ast-of-dermatophytes/" TargetMode="External"/><Relationship Id="rId188" Type="http://schemas.openxmlformats.org/officeDocument/2006/relationships/hyperlink" Target="https://www.eucast.org/news-detail/a-warning-against-antifungal-susceptibility-testing-of-amphotericin-b-problems-detected-with-several-commercially-available-products/" TargetMode="External"/><Relationship Id="rId189" Type="http://schemas.openxmlformats.org/officeDocument/2006/relationships/hyperlink" Target="https://www.eucast.org/news-detail/how-to-make-use-of-eucast-mic-and-zone-distributions/" TargetMode="External"/><Relationship Id="rId190" Type="http://schemas.openxmlformats.org/officeDocument/2006/relationships/hyperlink" Target="https://www.eucast.org/news-detail/publication-of-updated-clinical-breakpoint-tables-version-161/" TargetMode="External"/><Relationship Id="rId191" Type="http://schemas.openxmlformats.org/officeDocument/2006/relationships/hyperlink" Target="https://www.eucast.org/news-detail/the-quality-of-material-for-eucast-disk-diffusion/" TargetMode="External"/><Relationship Id="rId192" Type="http://schemas.openxmlformats.org/officeDocument/2006/relationships/hyperlink" Target="https://www.eucast.org/news-detail/updated-warning-against-gradient-tests-for-benzylpenicillin-mics-in-s-pneumoniae/" TargetMode="External"/><Relationship Id="rId193" Type="http://schemas.openxmlformats.org/officeDocument/2006/relationships/hyperlink" Target="https://www.eucast.org/vetcast/" TargetMode="External"/><Relationship Id="rId194" Type="http://schemas.openxmlformats.org/officeDocument/2006/relationships/hyperlink" Target="https://www.fda.gov/animal-veterinary/cvm-updates/fda-releases-national-antimicrobial-resistance-monitoring-system-narms-strategic-plan-2026-2030" TargetMode="External"/><Relationship Id="rId195" Type="http://schemas.openxmlformats.org/officeDocument/2006/relationships/hyperlink" Target="https://www.fda.gov/animal-veterinary/national-antimicrobial-resistance-monitoring-system/narms-resources" TargetMode="External"/><Relationship Id="rId196" Type="http://schemas.openxmlformats.org/officeDocument/2006/relationships/hyperlink" Target="https://www.fda.gov/media/124382/download" TargetMode="External"/><Relationship Id="rId197" Type="http://schemas.openxmlformats.org/officeDocument/2006/relationships/hyperlink" Target="https://www.fda.gov/media/79976/download" TargetMode="External"/><Relationship Id="rId198" Type="http://schemas.openxmlformats.org/officeDocument/2006/relationships/hyperlink" Target="https://www.fda.gov/regulatory-information/search-fda-guidance-documents/antimicrobial-susceptibility-test-ast-system-devices-updating-breakpoints-device-labeling" TargetMode="External"/><Relationship Id="rId199" Type="http://schemas.openxmlformats.org/officeDocument/2006/relationships/hyperlink" Target="https://www.goa.gov.in/department/foods-and-drugs-administration/" TargetMode="External"/><Relationship Id="rId200" Type="http://schemas.openxmlformats.org/officeDocument/2006/relationships/hyperlink" Target="https://www.goa.gov.in/wp-content/uploads/2022/08/License-Mandatory-For-Manufacture-Of-Medical-Devices.pdf" TargetMode="External"/><Relationship Id="rId201" Type="http://schemas.openxmlformats.org/officeDocument/2006/relationships/hyperlink" Target="https://www.hhs.gov/hipaa/for-professionals/faq/2075/may-a-hipaa-covered-entity-or-business-associate-use-cloud-service-to-store-or-process-ephi/index.html" TargetMode="External"/><Relationship Id="rId202" Type="http://schemas.openxmlformats.org/officeDocument/2006/relationships/hyperlink" Target="https://www.icmr.gov.in/icmr-research-support-portals" TargetMode="External"/><Relationship Id="rId203" Type="http://schemas.openxmlformats.org/officeDocument/2006/relationships/hyperlink" Target="https://www.icmr.gov.in/post/medical-innovations-patent-mitra-portal" TargetMode="External"/><Relationship Id="rId204" Type="http://schemas.openxmlformats.org/officeDocument/2006/relationships/hyperlink" Target="https://www.iso.org/standard/35499.html" TargetMode="External"/><Relationship Id="rId205" Type="http://schemas.openxmlformats.org/officeDocument/2006/relationships/hyperlink" Target="https://www.iso.org/standard/55832.html" TargetMode="External"/><Relationship Id="rId206" Type="http://schemas.openxmlformats.org/officeDocument/2006/relationships/hyperlink" Target="https://www.iso.org/standard/70464.html" TargetMode="External"/><Relationship Id="rId207" Type="http://schemas.openxmlformats.org/officeDocument/2006/relationships/hyperlink" Target="https://www.iso.org/standard/79377.html" TargetMode="External"/><Relationship Id="rId208" Type="http://schemas.openxmlformats.org/officeDocument/2006/relationships/hyperlink" Target="https://www.isro.gov.in/" TargetMode="External"/><Relationship Id="rId209" Type="http://schemas.openxmlformats.org/officeDocument/2006/relationships/hyperlink" Target="https://www.isro.gov.in/ISRO_AIIMS_NewDelhi_signs_Framework_Memorandum.html" TargetMode="External"/><Relationship Id="rId210" Type="http://schemas.openxmlformats.org/officeDocument/2006/relationships/hyperlink" Target="https://www.isro.gov.in/IndianMicrogravityExperiments_IMEx2026.html" TargetMode="External"/><Relationship Id="rId211" Type="http://schemas.openxmlformats.org/officeDocument/2006/relationships/hyperlink" Target="https://www.isro.gov.in/POEMCompletedOrbitsSpace.html" TargetMode="External"/><Relationship Id="rId212" Type="http://schemas.openxmlformats.org/officeDocument/2006/relationships/hyperlink" Target="https://www.isro.gov.in/POEM_4_Payloads_spadex.html" TargetMode="External"/><Relationship Id="rId213" Type="http://schemas.openxmlformats.org/officeDocument/2006/relationships/hyperlink" Target="https://www.isro.gov.in/Space_Analog_Mission.html" TargetMode="External"/><Relationship Id="rId214" Type="http://schemas.openxmlformats.org/officeDocument/2006/relationships/hyperlink" Target="https://www.isro.gov.in/media_isro/pdf/programme/Research_Areas_in_Space_for_web2023.pdf" TargetMode="External"/><Relationship Id="rId215" Type="http://schemas.openxmlformats.org/officeDocument/2006/relationships/hyperlink" Target="https://www.meity.gov.in/documents/act-and-policies/digital-personal-data-protection-rules-2025-gDOxUjMtQWa?pageTitle=Digital-Personal-Data-Protection-Rules-2025" TargetMode="External"/><Relationship Id="rId216" Type="http://schemas.openxmlformats.org/officeDocument/2006/relationships/hyperlink" Target="https://www.meity.gov.in/static/uploads/2025/11/c56ceae6c383460ca69577428d36828b.pdf" TargetMode="External"/><Relationship Id="rId217" Type="http://schemas.openxmlformats.org/officeDocument/2006/relationships/hyperlink" Target="https://www.ncdc.mohfw.gov.in/includes/About/CentresAndDivision/amr.php" TargetMode="External"/><Relationship Id="rId218" Type="http://schemas.openxmlformats.org/officeDocument/2006/relationships/hyperlink" Target="https://www.ncdc.mohfw.gov.in/wp-content/uploads/2025/11/National-Action-Plan-on-Antimicrobial-Resistance-NAP-AMR-2.0.pdf" TargetMode="External"/><Relationship Id="rId219" Type="http://schemas.openxmlformats.org/officeDocument/2006/relationships/hyperlink" Target="https://www.nrces.in/ndhm/fhir/r4/StructureDefinition-Observation.html" TargetMode="External"/><Relationship Id="rId220" Type="http://schemas.openxmlformats.org/officeDocument/2006/relationships/hyperlink" Target="https://www.paho.org/" TargetMode="External"/><Relationship Id="rId221" Type="http://schemas.openxmlformats.org/officeDocument/2006/relationships/hyperlink" Target="https://www.paho.org/en/documents/relavra-leading-fight-against-antimicrobial-resistance-latin-america-and-caribbean" TargetMode="External"/><Relationship Id="rId222" Type="http://schemas.openxmlformats.org/officeDocument/2006/relationships/hyperlink" Target="https://www.paho.org/en/news/10-4-2026-caribbean-laboratory-professionals-participating-training-lims-and-new-technologies" TargetMode="External"/><Relationship Id="rId223" Type="http://schemas.openxmlformats.org/officeDocument/2006/relationships/hyperlink" Target="https://www.paho.org/en/news/10-4-2026-equipment-update-uk-fleming-fund-and-paho-strengthening-laboratory-capacity-across" TargetMode="External"/><Relationship Id="rId224" Type="http://schemas.openxmlformats.org/officeDocument/2006/relationships/hyperlink" Target="https://www.paho.org/en/topics/antimicrobial-resistance" TargetMode="External"/><Relationship Id="rId225" Type="http://schemas.openxmlformats.org/officeDocument/2006/relationships/hyperlink" Target="https://www.paho.org/en/topics/antimicrobial-resistance/latin-american-and-caribbean-network-antimicrobial-resistance" TargetMode="External"/><Relationship Id="rId226" Type="http://schemas.openxmlformats.org/officeDocument/2006/relationships/hyperlink" Target="https://www.psa.gov.in/iaih" TargetMode="External"/><Relationship Id="rId227" Type="http://schemas.openxmlformats.org/officeDocument/2006/relationships/hyperlink" Target="https://www.psa.gov.in/pdf-article/2nd-india-antimicrobial-resistance-amr-innovation-workshop/10662" TargetMode="External"/><Relationship Id="rId228" Type="http://schemas.openxmlformats.org/officeDocument/2006/relationships/hyperlink" Target="https://www.raspberrypi.com/documentation/accessories/ai-hat-plus.html" TargetMode="External"/><Relationship Id="rId229" Type="http://schemas.openxmlformats.org/officeDocument/2006/relationships/hyperlink" Target="https://www.raspberrypi.com/news/introducing-the-raspberry-pi-ai-hat-plus-2-generative-ai-on-raspberry-pi-5/" TargetMode="External"/><Relationship Id="rId230" Type="http://schemas.openxmlformats.org/officeDocument/2006/relationships/hyperlink" Target="https://www.techstars.com/accelerators/baltimore-ai-health" TargetMode="External"/><Relationship Id="rId231" Type="http://schemas.openxmlformats.org/officeDocument/2006/relationships/hyperlink" Target="https://www.techstars.com/accelerators/boston" TargetMode="External"/><Relationship Id="rId232" Type="http://schemas.openxmlformats.org/officeDocument/2006/relationships/hyperlink" Target="https://www.techstars.com/accelerators/northwestern-medicine-healthcare" TargetMode="External"/><Relationship Id="rId233" Type="http://schemas.openxmlformats.org/officeDocument/2006/relationships/hyperlink" Target="https://www.ultralytics.com/license" TargetMode="External"/><Relationship Id="rId234" Type="http://schemas.openxmlformats.org/officeDocument/2006/relationships/hyperlink" Target="https://www.who.int/en/news-room/fact-sheets/detail/antimicrobial-resistance" TargetMode="External"/><Relationship Id="rId235" Type="http://schemas.openxmlformats.org/officeDocument/2006/relationships/hyperlink" Target="https://www.who.int/initiatives/glass" TargetMode="External"/><Relationship Id="rId236" Type="http://schemas.openxmlformats.org/officeDocument/2006/relationships/hyperlink" Target="https://www.who.int/initiatives/glass/glass-focused-surveillance" TargetMode="External"/><Relationship Id="rId237" Type="http://schemas.openxmlformats.org/officeDocument/2006/relationships/hyperlink" Target="https://www.who.int/news-room/articles-detail/who-toolkit-for-standard-operating-procedures-for-bacteriology--mycology-and-antimicrobial-susceptibility-testing" TargetMode="External"/><Relationship Id="rId238" Type="http://schemas.openxmlformats.org/officeDocument/2006/relationships/hyperlink" Target="https://www.who.int/news/item/25-05-2026-the-world-health-assembly-adopts-updated-global-action-plan-on-antimicrobial-resistance-%282026-2036%29" TargetMode="External"/><Relationship Id="rId239" Type="http://schemas.openxmlformats.org/officeDocument/2006/relationships/hyperlink" Target="https://www.who.int/publications/i/item/9789240105539" TargetMode="External"/><Relationship Id="rId240" Type="http://schemas.openxmlformats.org/officeDocument/2006/relationships/hyperlink" Target="https://www.who.int/publications/i/item/9789240110991" TargetMode="External"/><Relationship Id="rId241" Type="http://schemas.openxmlformats.org/officeDocument/2006/relationships/hyperlink" Target="https://www.who.int/publications/i/item/9789240116337" TargetMode="External"/><Relationship Id="rId242" Type="http://schemas.openxmlformats.org/officeDocument/2006/relationships/hyperlink" Target="https://www.who.int/publications/i/item/9789240122529" TargetMode="External"/><Relationship Id="rId243" Type="http://schemas.openxmlformats.org/officeDocument/2006/relationships/hyperlink" Target="https://www.who.int/publications/i/item/9789290209942" TargetMode="External"/><Relationship Id="rId244" Type="http://schemas.openxmlformats.org/officeDocument/2006/relationships/hyperlink" Target="https://www.who.int/publications/i/item/sea-hd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Scientific Evidence and References</dc:title>
  <dc:subject>Research assessment, technical audit and the complete retained reference catalogue. External studies provide evidence about their own methods and conditions; they do not establish AMREYE performance. Reference counts are inventories, not counts of in</dc:subject>
  <dc:creator>AMREYE.AI</dc:creator>
  <cp:keywords/>
  <dc:description>Detailed source content redistributed from the canonical master; claims retain their original evidence status.</dc:description>
  <cp:lastModifiedBy/>
  <cp:revision>1</cp:revision>
  <dcterms:created xsi:type="dcterms:W3CDTF">2013-12-23T23:15:00Z</dcterms:created>
  <dcterms:modified xsi:type="dcterms:W3CDTF">2013-12-23T23:15:00Z</dcterms:modified>
  <cp:category/>
</cp:coreProperties>
</file>