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color w:val="000000"/>
        </w:rPr>
        <w:t>AMREYE AI Validation Legal and Safety</w:t>
      </w:r>
    </w:p>
    <w:p>
      <w:pPr>
        <w:spacing w:before="0" w:after="50" w:line="250" w:lineRule="auto"/>
      </w:pPr>
      <w:r>
        <w:rPr>
          <w:rFonts w:ascii="Calibri" w:hAnsi="Calibri"/>
          <w:sz w:val="20"/>
        </w:rPr>
        <w:t>Validation, claim interpretation, legal and regulatory considerations, safety and security requirements. This is the retained project planning reference; it does not establish approval, registration, completed legal review or successful validation.</w:t>
      </w:r>
    </w:p>
    <w:p>
      <w:pPr>
        <w:spacing w:before="0" w:after="50" w:line="250" w:lineRule="auto"/>
      </w:pPr>
      <w:r>
        <w:rPr>
          <w:rFonts w:ascii="Calibri" w:hAnsi="Calibri"/>
          <w:sz w:val="20"/>
        </w:rPr>
        <w:t>Supporting reference revised 19 September 2026 from the source master last updated 17 September 2026. Detailed source content is retained for specialist use. Original figure and table numbers are retained for traceability. The concise AMREYE.AI Super Document remains the main project overview.</w:t>
      </w:r>
    </w:p>
    <w:p>
      <w:pPr>
        <w:spacing w:before="0" w:after="50" w:line="250" w:lineRule="auto"/>
      </w:pPr>
      <w:hyperlink r:id="rId11">
        <w:r>
          <w:rPr>
            <w:color w:val="154F63"/>
            <w:u w:val="single"/>
          </w:rPr>
          <w:t>Open the main project overview</w:t>
        </w:r>
      </w:hyperlink>
    </w:p>
    <w:p>
      <w:pPr>
        <w:pStyle w:val="Heading2"/>
        <w:keepNext/>
        <w:keepLines/>
      </w:pPr>
      <w:r>
        <w:rPr>
          <w:color w:val="000000"/>
        </w:rPr>
        <w:t>Contents</w:t>
      </w:r>
    </w:p>
    <w:p>
      <w:pPr>
        <w:spacing w:before="0" w:after="50" w:line="250" w:lineRule="auto"/>
      </w:pPr>
      <w:hyperlink w:anchor="P4_chapter_1">
        <w:r>
          <w:rPr>
            <w:color w:val="154F63"/>
            <w:u w:val="single"/>
          </w:rPr>
          <w:t>Validation claim control safety and security</w:t>
        </w:r>
      </w:hyperlink>
    </w:p>
    <w:p>
      <w:pPr>
        <w:spacing w:before="0" w:after="50" w:line="250" w:lineRule="auto"/>
      </w:pPr>
      <w:hyperlink r:id="rId12">
        <w:r>
          <w:rPr>
            <w:color w:val="154F63"/>
            <w:u w:val="single"/>
          </w:rPr>
          <w:t>Full source catalogue</w:t>
        </w:r>
      </w:hyperlink>
    </w:p>
    <w:p>
      <w:pPr>
        <w:spacing w:before="0" w:after="50" w:line="250" w:lineRule="auto"/>
      </w:pPr>
    </w:p>
    <w:p>
      <w:pPr>
        <w:pStyle w:val="Heading1"/>
        <w:keepNext/>
        <w:keepLines/>
        <w:pageBreakBefore w:val="0"/>
      </w:pPr>
      <w:bookmarkStart w:id="200000" w:name="P4_chapter_1"/>
      <w:r>
        <w:rPr>
          <w:color w:val="000000"/>
        </w:rPr>
        <w:t>Validation claim control safety and security</w:t>
      </w:r>
      <w:bookmarkStart w:id="95006" w:name="product_7"/>
      <w:bookmarkEnd w:id="95006"/>
      <w:bookmarkEnd w:id="200000"/>
    </w:p>
    <w:p>
      <w:pPr>
        <w:pStyle w:val="Heading3"/>
        <w:keepNext/>
        <w:keepLines/>
        <w:spacing w:before="240" w:after="120" w:line="269" w:lineRule="auto"/>
      </w:pPr>
      <w:r>
        <w:rPr>
          <w:color w:val="000000"/>
        </w:rPr>
        <w:t>Evidence required before a product claim</w:t>
      </w:r>
    </w:p>
    <w:p>
      <w:pPr>
        <w:pStyle w:val="Normal"/>
        <w:keepNext/>
        <w:spacing w:before="0" w:after="50" w:line="250" w:lineRule="auto"/>
        <w:rPr/>
      </w:pPr>
      <w:r>
        <w:rPr>
          <w:rFonts w:ascii="Calibri" w:hAnsi="Calibri"/>
          <w:b/>
          <w:color w:val="000000"/>
          <w:sz w:val="20"/>
        </w:rPr>
        <w:t>A product claim needs evidence matched to its meaning</w:t>
      </w:r>
    </w:p>
    <w:p>
      <w:pPr>
        <w:pStyle w:val="Normal"/>
        <w:spacing w:before="0" w:after="50" w:line="250" w:lineRule="auto"/>
        <w:rPr/>
      </w:pPr>
      <w:r>
        <w:rPr>
          <w:rFonts w:ascii="Calibri" w:hAnsi="Calibri"/>
          <w:color w:val="000000"/>
          <w:sz w:val="20"/>
        </w:rPr>
        <w:t>Validation begins with a precise claim. “Measures an eligible endpoint zone diameter” and “detects resistance within two hours” require different evidence. The claim should identify the material, method, users, environment, output and decision. Its wording should not exceed the evaluated domain.</w:t>
      </w:r>
    </w:p>
    <w:p>
      <w:pPr>
        <w:pStyle w:val="Heading3"/>
        <w:keepNext/>
        <w:keepLines/>
        <w:spacing w:before="240" w:after="120" w:line="269" w:lineRule="auto"/>
      </w:pPr>
      <w:r>
        <w:rPr>
          <w:color w:val="000000"/>
        </w:rPr>
        <w:t>Proposed evidence ladder</w:t>
      </w:r>
    </w:p>
    <w:p>
      <w:pPr>
        <w:pStyle w:val="Normal"/>
        <w:spacing w:before="0" w:after="50" w:line="250" w:lineRule="auto"/>
        <w:rPr/>
      </w:pPr>
      <w:r>
        <w:rPr>
          <w:rFonts w:ascii="Calibri" w:hAnsi="Calibri"/>
          <w:color w:val="000000"/>
          <w:sz w:val="20"/>
        </w:rPr>
        <w:t xml:space="preserve">Engineering verification establishes whether specified functions work. Analytical evaluation addresses measurement performance. Workflow and usability studies assess the complete interaction with intended users. Clinical performance or outcome claims require the corresponding study and regulatory assessment. A successful demonstration cannot stand in for all these levels.  </w:t>
      </w:r>
    </w:p>
    <w:p>
      <w:pPr>
        <w:spacing w:before="0" w:after="50" w:line="250" w:lineRule="auto"/>
      </w:pPr>
      <w:r>
        <w:rPr>
          <w:rFonts w:ascii="Calibri" w:hAnsi="Calibri"/>
          <w:color w:val="000000"/>
          <w:sz w:val="20"/>
        </w:rPr>
        <w:t xml:space="preserve">Claim type: Capture capability</w:t>
      </w:r>
    </w:p>
    <w:p>
      <w:pPr>
        <w:spacing w:before="0" w:after="50" w:line="250" w:lineRule="auto"/>
      </w:pPr>
      <w:r>
        <w:rPr>
          <w:rFonts w:ascii="Calibri" w:hAnsi="Calibri"/>
          <w:color w:val="000000"/>
          <w:sz w:val="20"/>
        </w:rPr>
        <w:t xml:space="preserve">Minimum evidence question: Does the system acquire complete, readable records under specified conditions?</w:t>
      </w:r>
    </w:p>
    <w:p>
      <w:pPr>
        <w:spacing w:before="0" w:after="50" w:line="250" w:lineRule="auto"/>
      </w:pPr>
      <w:r>
        <w:rPr>
          <w:rFonts w:ascii="Calibri" w:hAnsi="Calibri"/>
          <w:color w:val="000000"/>
          <w:sz w:val="20"/>
        </w:rPr>
        <w:t xml:space="preserve">Claim type: Measurement capability</w:t>
      </w:r>
    </w:p>
    <w:p>
      <w:pPr>
        <w:spacing w:before="0" w:after="50" w:line="250" w:lineRule="auto"/>
      </w:pPr>
      <w:r>
        <w:rPr>
          <w:rFonts w:ascii="Calibri" w:hAnsi="Calibri"/>
          <w:color w:val="000000"/>
          <w:sz w:val="20"/>
        </w:rPr>
        <w:t xml:space="preserve">Minimum evidence question: How do values agree with an appropriate independent reference?</w:t>
      </w:r>
    </w:p>
    <w:p>
      <w:pPr>
        <w:spacing w:before="0" w:after="50" w:line="250" w:lineRule="auto"/>
      </w:pPr>
      <w:r>
        <w:rPr>
          <w:rFonts w:ascii="Calibri" w:hAnsi="Calibri"/>
          <w:color w:val="000000"/>
          <w:sz w:val="20"/>
        </w:rPr>
        <w:t xml:space="preserve">Claim type: Interpretation capability</w:t>
      </w:r>
    </w:p>
    <w:p>
      <w:pPr>
        <w:spacing w:before="0" w:after="50" w:line="250" w:lineRule="auto"/>
      </w:pPr>
      <w:r>
        <w:rPr>
          <w:rFonts w:ascii="Calibri" w:hAnsi="Calibri"/>
          <w:color w:val="000000"/>
          <w:sz w:val="20"/>
        </w:rPr>
        <w:t xml:space="preserve">Minimum evidence question: Are rules, scope and corrections implemented correctly?</w:t>
      </w:r>
    </w:p>
    <w:p>
      <w:pPr>
        <w:spacing w:before="0" w:after="50" w:line="250" w:lineRule="auto"/>
      </w:pPr>
      <w:r>
        <w:rPr>
          <w:rFonts w:ascii="Calibri" w:hAnsi="Calibri"/>
          <w:color w:val="000000"/>
          <w:sz w:val="20"/>
        </w:rPr>
        <w:t xml:space="preserve">Claim type: Workflow benefit</w:t>
      </w:r>
    </w:p>
    <w:p>
      <w:pPr>
        <w:spacing w:before="0" w:after="50" w:line="250" w:lineRule="auto"/>
      </w:pPr>
      <w:r>
        <w:rPr>
          <w:rFonts w:ascii="Calibri" w:hAnsi="Calibri"/>
          <w:color w:val="000000"/>
          <w:sz w:val="20"/>
        </w:rPr>
        <w:t xml:space="preserve">Minimum evidence question: Does the complete reviewed process improve the stated operational metric?</w:t>
      </w:r>
    </w:p>
    <w:p>
      <w:pPr>
        <w:spacing w:before="0" w:after="50" w:line="250" w:lineRule="auto"/>
      </w:pPr>
      <w:r>
        <w:rPr>
          <w:rFonts w:ascii="Calibri" w:hAnsi="Calibri"/>
          <w:color w:val="000000"/>
          <w:sz w:val="20"/>
        </w:rPr>
        <w:t xml:space="preserve">Claim type: Predictive or clinical benefit</w:t>
      </w:r>
    </w:p>
    <w:p>
      <w:pPr>
        <w:spacing w:before="0" w:after="50" w:line="250" w:lineRule="auto"/>
      </w:pPr>
      <w:r>
        <w:rPr>
          <w:rFonts w:ascii="Calibri" w:hAnsi="Calibri"/>
          <w:color w:val="000000"/>
          <w:sz w:val="20"/>
        </w:rPr>
        <w:t xml:space="preserve">Minimum evidence question: Does an appropriately designed independent study support the exact outcome?</w:t>
      </w:r>
    </w:p>
    <w:p>
      <w:pPr>
        <w:pStyle w:val="Heading3"/>
        <w:keepNext/>
        <w:keepLines/>
        <w:spacing w:before="240" w:after="120" w:line="269" w:lineRule="auto"/>
      </w:pPr>
      <w:r>
        <w:rPr>
          <w:color w:val="000000"/>
        </w:rPr>
        <w:t>Make evidence maturity visible</w:t>
      </w:r>
    </w:p>
    <w:p>
      <w:pPr>
        <w:pStyle w:val="Normal"/>
        <w:spacing w:before="0" w:after="50" w:line="250" w:lineRule="auto"/>
        <w:rPr/>
      </w:pPr>
      <w:r>
        <w:rPr>
          <w:rFonts w:ascii="Calibri" w:hAnsi="Calibri"/>
          <w:color w:val="000000"/>
          <w:sz w:val="20"/>
        </w:rPr>
        <w:t>The proposed product record should distinguish demonstrated functions, qualified functions, proposed engineering and future research. An external paper can establish that an approach is scientifically plausible, but its results belong to that study. Historical prototypes and software demonstrations also need their own scope and verification records.</w:t>
      </w:r>
    </w:p>
    <w:p>
      <w:pPr>
        <w:pStyle w:val="Normal"/>
        <w:spacing w:before="0" w:after="50" w:line="250" w:lineRule="auto"/>
        <w:rPr/>
      </w:pPr>
      <w:r>
        <w:rPr>
          <w:rFonts w:ascii="Calibri" w:hAnsi="Calibri"/>
          <w:color w:val="000000"/>
          <w:sz w:val="20"/>
        </w:rPr>
        <w:t>Before external use, each claim should have an owner, supporting evidence, limitations and a review date. When the product, method or intended use changes, the evidence relationship should be reassessed. This discipline allows ambitious research to remain visible while keeping the released product description accurate.</w:t>
      </w:r>
    </w:p>
    <w:p>
      <w:pPr>
        <w:pStyle w:val="Heading3"/>
        <w:keepNext/>
        <w:keepLines/>
        <w:spacing w:before="240" w:after="120" w:line="269" w:lineRule="auto"/>
      </w:pPr>
      <w:r>
        <w:rPr>
          <w:color w:val="000000"/>
        </w:rPr>
        <w:t>Intended use and risk analysis</w:t>
      </w:r>
    </w:p>
    <w:p>
      <w:pPr>
        <w:pStyle w:val="Normal"/>
        <w:keepNext/>
        <w:spacing w:before="0" w:after="50" w:line="250" w:lineRule="auto"/>
        <w:rPr/>
      </w:pPr>
      <w:r>
        <w:rPr>
          <w:rFonts w:ascii="Calibri" w:hAnsi="Calibri"/>
          <w:b/>
          <w:color w:val="000000"/>
          <w:sz w:val="20"/>
        </w:rPr>
        <w:t>Risk analysis connects failure to the decision it could affect</w:t>
      </w:r>
    </w:p>
    <w:p>
      <w:pPr>
        <w:pStyle w:val="Normal"/>
        <w:spacing w:before="0" w:after="50" w:line="250" w:lineRule="auto"/>
        <w:rPr/>
      </w:pPr>
      <w:r>
        <w:rPr>
          <w:rFonts w:ascii="Calibri" w:hAnsi="Calibri"/>
          <w:color w:val="000000"/>
          <w:sz w:val="20"/>
        </w:rPr>
        <w:t xml:space="preserve">The proposed risk process should examine hazards arising from incorrect measurement, identity errors, misleading interpretation, unavailable service and unsafe instrument behavior. It should consider normal use, foreseeable misuse and combinations of failures. A low average error rate does not resolve a rare but consequential failure mode. </w:t>
      </w:r>
    </w:p>
    <w:p>
      <w:pPr>
        <w:pStyle w:val="Heading3"/>
        <w:keepNext/>
        <w:keepLines/>
        <w:spacing w:before="240" w:after="120" w:line="269" w:lineRule="auto"/>
      </w:pPr>
      <w:r>
        <w:rPr>
          <w:color w:val="000000"/>
        </w:rPr>
        <w:t>Start with a concrete sequence</w:t>
      </w:r>
    </w:p>
    <w:p>
      <w:pPr>
        <w:pStyle w:val="Normal"/>
        <w:spacing w:before="0" w:after="50" w:line="250" w:lineRule="auto"/>
        <w:rPr/>
      </w:pPr>
      <w:r>
        <w:rPr>
          <w:rFonts w:ascii="Calibri" w:hAnsi="Calibri"/>
          <w:color w:val="000000"/>
          <w:sz w:val="20"/>
        </w:rPr>
        <w:t>For example, an incorrect plate association can lead to a technically accurate measurement being attached to the wrong case. Better segmentation would not mitigate that hazard. Identity verification, review context and export checks address different points in the sequence.</w:t>
      </w:r>
    </w:p>
    <w:p>
      <w:pPr>
        <w:spacing w:before="0" w:after="50" w:line="250" w:lineRule="auto"/>
      </w:pPr>
      <w:r>
        <w:rPr>
          <w:rFonts w:ascii="Calibri" w:hAnsi="Calibri"/>
          <w:color w:val="000000"/>
          <w:sz w:val="20"/>
        </w:rPr>
        <w:t xml:space="preserve">Failure sequence: Wrong identity → wrong case result</w:t>
      </w:r>
    </w:p>
    <w:p>
      <w:pPr>
        <w:spacing w:before="0" w:after="50" w:line="250" w:lineRule="auto"/>
      </w:pPr>
      <w:r>
        <w:rPr>
          <w:rFonts w:ascii="Calibri" w:hAnsi="Calibri"/>
          <w:color w:val="000000"/>
          <w:sz w:val="20"/>
        </w:rPr>
        <w:t xml:space="preserve">Candidate control: Positive association and mismatch handling</w:t>
      </w:r>
    </w:p>
    <w:p>
      <w:pPr>
        <w:spacing w:before="0" w:after="50" w:line="250" w:lineRule="auto"/>
      </w:pPr>
      <w:r>
        <w:rPr>
          <w:rFonts w:ascii="Calibri" w:hAnsi="Calibri"/>
          <w:color w:val="000000"/>
          <w:sz w:val="20"/>
        </w:rPr>
        <w:t xml:space="preserve">Verification focus: Realistic misidentification scenarios.</w:t>
      </w:r>
    </w:p>
    <w:p>
      <w:pPr>
        <w:spacing w:before="0" w:after="50" w:line="250" w:lineRule="auto"/>
      </w:pPr>
      <w:r>
        <w:rPr>
          <w:rFonts w:ascii="Calibri" w:hAnsi="Calibri"/>
          <w:color w:val="000000"/>
          <w:sz w:val="20"/>
        </w:rPr>
        <w:t xml:space="preserve">Failure sequence: Poor image → incorrect boundary</w:t>
      </w:r>
    </w:p>
    <w:p>
      <w:pPr>
        <w:spacing w:before="0" w:after="50" w:line="250" w:lineRule="auto"/>
      </w:pPr>
      <w:r>
        <w:rPr>
          <w:rFonts w:ascii="Calibri" w:hAnsi="Calibri"/>
          <w:color w:val="000000"/>
          <w:sz w:val="20"/>
        </w:rPr>
        <w:t xml:space="preserve">Candidate control: Quality checks and abstention</w:t>
      </w:r>
    </w:p>
    <w:p>
      <w:pPr>
        <w:spacing w:before="0" w:after="50" w:line="250" w:lineRule="auto"/>
      </w:pPr>
      <w:r>
        <w:rPr>
          <w:rFonts w:ascii="Calibri" w:hAnsi="Calibri"/>
          <w:color w:val="000000"/>
          <w:sz w:val="20"/>
        </w:rPr>
        <w:t xml:space="preserve">Verification focus: Difficult appearances and false acceptance.</w:t>
      </w:r>
    </w:p>
    <w:p>
      <w:pPr>
        <w:spacing w:before="0" w:after="50" w:line="250" w:lineRule="auto"/>
      </w:pPr>
      <w:r>
        <w:rPr>
          <w:rFonts w:ascii="Calibri" w:hAnsi="Calibri"/>
          <w:color w:val="000000"/>
          <w:sz w:val="20"/>
        </w:rPr>
        <w:t xml:space="preserve">Failure sequence: Wrong rules → wrong category</w:t>
      </w:r>
    </w:p>
    <w:p>
      <w:pPr>
        <w:spacing w:before="0" w:after="50" w:line="250" w:lineRule="auto"/>
      </w:pPr>
      <w:r>
        <w:rPr>
          <w:rFonts w:ascii="Calibri" w:hAnsi="Calibri"/>
          <w:color w:val="000000"/>
          <w:sz w:val="20"/>
        </w:rPr>
        <w:t xml:space="preserve">Candidate control: Versioned rules and eligibility checks</w:t>
      </w:r>
    </w:p>
    <w:p>
      <w:pPr>
        <w:spacing w:before="0" w:after="50" w:line="250" w:lineRule="auto"/>
      </w:pPr>
      <w:r>
        <w:rPr>
          <w:rFonts w:ascii="Calibri" w:hAnsi="Calibri"/>
          <w:color w:val="000000"/>
          <w:sz w:val="20"/>
        </w:rPr>
        <w:t xml:space="preserve">Verification focus: Scope, corrections and regression cases.</w:t>
      </w:r>
    </w:p>
    <w:p>
      <w:pPr>
        <w:spacing w:before="0" w:after="50" w:line="250" w:lineRule="auto"/>
      </w:pPr>
      <w:r>
        <w:rPr>
          <w:rFonts w:ascii="Calibri" w:hAnsi="Calibri"/>
          <w:color w:val="000000"/>
          <w:sz w:val="20"/>
        </w:rPr>
        <w:t xml:space="preserve">Failure sequence: Changed result → stale approval</w:t>
      </w:r>
    </w:p>
    <w:p>
      <w:pPr>
        <w:spacing w:before="0" w:after="50" w:line="250" w:lineRule="auto"/>
      </w:pPr>
      <w:r>
        <w:rPr>
          <w:rFonts w:ascii="Calibri" w:hAnsi="Calibri"/>
          <w:color w:val="000000"/>
          <w:sz w:val="20"/>
        </w:rPr>
        <w:t xml:space="preserve">Candidate control: Dependent approval invalidation</w:t>
      </w:r>
    </w:p>
    <w:p>
      <w:pPr>
        <w:spacing w:before="0" w:after="50" w:line="250" w:lineRule="auto"/>
      </w:pPr>
      <w:r>
        <w:rPr>
          <w:rFonts w:ascii="Calibri" w:hAnsi="Calibri"/>
          <w:color w:val="000000"/>
          <w:sz w:val="20"/>
        </w:rPr>
        <w:t xml:space="preserve">Verification focus: Correction and amendment behavior.</w:t>
      </w:r>
    </w:p>
    <w:p>
      <w:pPr>
        <w:pStyle w:val="Heading3"/>
        <w:keepNext/>
        <w:keepLines/>
        <w:spacing w:before="240" w:after="120" w:line="269" w:lineRule="auto"/>
      </w:pPr>
      <w:r>
        <w:rPr>
          <w:color w:val="000000"/>
        </w:rPr>
        <w:t>Controls need evidence of effectiveness</w:t>
      </w:r>
    </w:p>
    <w:p>
      <w:pPr>
        <w:pStyle w:val="Normal"/>
        <w:spacing w:before="0" w:after="50" w:line="250" w:lineRule="auto"/>
        <w:rPr/>
      </w:pPr>
      <w:r>
        <w:rPr>
          <w:rFonts w:ascii="Calibri" w:hAnsi="Calibri"/>
          <w:color w:val="000000"/>
          <w:sz w:val="20"/>
        </w:rPr>
        <w:t>A warning is useful only if the intended user notices and understands it in time. An interlock needs testing under the failure conditions it is meant to prevent. The assessment should also consider new risks introduced by the control, such as excessive false alarms or a recovery path that encourages bypassing checks.</w:t>
      </w:r>
    </w:p>
    <w:p>
      <w:pPr>
        <w:pStyle w:val="Normal"/>
        <w:spacing w:before="0" w:after="50" w:line="250" w:lineRule="auto"/>
        <w:rPr/>
      </w:pPr>
      <w:r>
        <w:rPr>
          <w:rFonts w:ascii="Calibri" w:hAnsi="Calibri"/>
          <w:color w:val="000000"/>
          <w:sz w:val="20"/>
        </w:rPr>
        <w:t>The risk record should link hazards, controls, verification and residual-risk decisions. It should evolve with field findings and product changes. This compendium proposes the process and relevant failure classes; it does not claim that a complete product risk-management file or acceptable residual-risk determination already exists.</w:t>
      </w:r>
    </w:p>
    <w:p>
      <w:pPr>
        <w:pStyle w:val="Heading3"/>
        <w:keepNext/>
        <w:keepLines/>
        <w:spacing w:before="240" w:after="120" w:line="269" w:lineRule="auto"/>
      </w:pPr>
      <w:r>
        <w:rPr>
          <w:color w:val="000000"/>
        </w:rPr>
        <w:t>Measurement validation design</w:t>
      </w:r>
    </w:p>
    <w:p>
      <w:pPr>
        <w:pStyle w:val="Normal"/>
        <w:keepNext/>
        <w:spacing w:before="0" w:after="50" w:line="250" w:lineRule="auto"/>
        <w:rPr/>
      </w:pPr>
      <w:r>
        <w:rPr>
          <w:rFonts w:ascii="Calibri" w:hAnsi="Calibri"/>
          <w:b/>
          <w:color w:val="000000"/>
          <w:sz w:val="20"/>
        </w:rPr>
        <w:t>Measurement validation needs a prespecified comparison</w:t>
      </w:r>
    </w:p>
    <w:p>
      <w:pPr>
        <w:pStyle w:val="Normal"/>
        <w:spacing w:before="0" w:after="50" w:line="250" w:lineRule="auto"/>
        <w:rPr/>
      </w:pPr>
      <w:r>
        <w:rPr>
          <w:rFonts w:ascii="Calibri" w:hAnsi="Calibri"/>
          <w:color w:val="000000"/>
          <w:sz w:val="20"/>
        </w:rPr>
        <w:t>A zone-measurement study should define the measurand, reference process, eligibility criteria and analysis before examining the final results. The measurand includes the physical plane, boundary convention, units and method context. Without these definitions, two accurate observers may appear to disagree because they are measuring different features.</w:t>
      </w:r>
    </w:p>
    <w:p>
      <w:pPr>
        <w:pStyle w:val="Heading3"/>
        <w:keepNext/>
        <w:keepLines/>
        <w:spacing w:before="240" w:after="120" w:line="269" w:lineRule="auto"/>
      </w:pPr>
      <w:r>
        <w:rPr>
          <w:color w:val="000000"/>
        </w:rPr>
        <w:t>Proposed study structure</w:t>
      </w:r>
    </w:p>
    <w:p>
      <w:pPr>
        <w:pStyle w:val="Normal"/>
        <w:spacing w:before="0" w:after="50" w:line="250" w:lineRule="auto"/>
        <w:rPr/>
      </w:pPr>
      <w:r>
        <w:rPr>
          <w:rFonts w:ascii="Calibri" w:hAnsi="Calibri"/>
          <w:color w:val="000000"/>
          <w:sz w:val="20"/>
        </w:rPr>
        <w:t>The study should include representative plate appearances and independent reference assessment. It should separate development data from evaluation data and account for repeated measurements within plates or isolates. Reference uncertainty and reviewer disagreement should be retained rather than treated as zero.</w:t>
      </w:r>
    </w:p>
    <w:p>
      <w:pPr>
        <w:spacing w:before="0" w:after="50" w:line="250" w:lineRule="auto"/>
      </w:pPr>
      <w:r>
        <w:rPr>
          <w:rFonts w:ascii="Calibri" w:hAnsi="Calibri"/>
          <w:color w:val="000000"/>
          <w:sz w:val="20"/>
        </w:rPr>
        <w:t xml:space="preserve">Design element: Population</w:t>
      </w:r>
    </w:p>
    <w:p>
      <w:pPr>
        <w:spacing w:before="0" w:after="50" w:line="250" w:lineRule="auto"/>
      </w:pPr>
      <w:r>
        <w:rPr>
          <w:rFonts w:ascii="Calibri" w:hAnsi="Calibri"/>
          <w:color w:val="000000"/>
          <w:sz w:val="20"/>
        </w:rPr>
        <w:t xml:space="preserve">Required specification: Organisms, antimicrobials, media and relevant plate appearances.</w:t>
      </w:r>
    </w:p>
    <w:p>
      <w:pPr>
        <w:spacing w:before="0" w:after="50" w:line="250" w:lineRule="auto"/>
      </w:pPr>
      <w:r>
        <w:rPr>
          <w:rFonts w:ascii="Calibri" w:hAnsi="Calibri"/>
          <w:color w:val="000000"/>
          <w:sz w:val="20"/>
        </w:rPr>
        <w:t xml:space="preserve">Design element: Measurement</w:t>
      </w:r>
    </w:p>
    <w:p>
      <w:pPr>
        <w:spacing w:before="0" w:after="50" w:line="250" w:lineRule="auto"/>
      </w:pPr>
      <w:r>
        <w:rPr>
          <w:rFonts w:ascii="Calibri" w:hAnsi="Calibri"/>
          <w:color w:val="000000"/>
          <w:sz w:val="20"/>
        </w:rPr>
        <w:t xml:space="preserve">Required specification: Boundary convention, calibration and reporting resolution.</w:t>
      </w:r>
    </w:p>
    <w:p>
      <w:pPr>
        <w:spacing w:before="0" w:after="50" w:line="250" w:lineRule="auto"/>
      </w:pPr>
      <w:r>
        <w:rPr>
          <w:rFonts w:ascii="Calibri" w:hAnsi="Calibri"/>
          <w:color w:val="000000"/>
          <w:sz w:val="20"/>
        </w:rPr>
        <w:t xml:space="preserve">Design element: Reference</w:t>
      </w:r>
    </w:p>
    <w:p>
      <w:pPr>
        <w:spacing w:before="0" w:after="50" w:line="250" w:lineRule="auto"/>
      </w:pPr>
      <w:r>
        <w:rPr>
          <w:rFonts w:ascii="Calibri" w:hAnsi="Calibri"/>
          <w:color w:val="000000"/>
          <w:sz w:val="20"/>
        </w:rPr>
        <w:t xml:space="preserve">Required specification: Qualified method, assessors and adjudication process.</w:t>
      </w:r>
    </w:p>
    <w:p>
      <w:pPr>
        <w:spacing w:before="0" w:after="50" w:line="250" w:lineRule="auto"/>
      </w:pPr>
      <w:r>
        <w:rPr>
          <w:rFonts w:ascii="Calibri" w:hAnsi="Calibri"/>
          <w:color w:val="000000"/>
          <w:sz w:val="20"/>
        </w:rPr>
        <w:t xml:space="preserve">Design element: Endpoints</w:t>
      </w:r>
    </w:p>
    <w:p>
      <w:pPr>
        <w:spacing w:before="0" w:after="50" w:line="250" w:lineRule="auto"/>
      </w:pPr>
      <w:r>
        <w:rPr>
          <w:rFonts w:ascii="Calibri" w:hAnsi="Calibri"/>
          <w:color w:val="000000"/>
          <w:sz w:val="20"/>
        </w:rPr>
        <w:t xml:space="preserve">Required specification: Bias, agreement, uncertainty and clinically relevant error classes.</w:t>
      </w:r>
    </w:p>
    <w:p>
      <w:pPr>
        <w:spacing w:before="0" w:after="50" w:line="250" w:lineRule="auto"/>
      </w:pPr>
      <w:r>
        <w:rPr>
          <w:rFonts w:ascii="Calibri" w:hAnsi="Calibri"/>
          <w:color w:val="000000"/>
          <w:sz w:val="20"/>
        </w:rPr>
        <w:t xml:space="preserve">Design element: Exclusions</w:t>
      </w:r>
    </w:p>
    <w:p>
      <w:pPr>
        <w:spacing w:before="0" w:after="50" w:line="250" w:lineRule="auto"/>
      </w:pPr>
      <w:r>
        <w:rPr>
          <w:rFonts w:ascii="Calibri" w:hAnsi="Calibri"/>
          <w:color w:val="000000"/>
          <w:sz w:val="20"/>
        </w:rPr>
        <w:t xml:space="preserve">Required specification: Prespecified reasons with complete counts and outcomes.</w:t>
      </w:r>
    </w:p>
    <w:p>
      <w:pPr>
        <w:spacing w:before="0" w:after="50" w:line="250" w:lineRule="auto"/>
      </w:pPr>
      <w:r>
        <w:rPr>
          <w:rFonts w:ascii="Calibri" w:hAnsi="Calibri"/>
          <w:color w:val="000000"/>
          <w:sz w:val="20"/>
        </w:rPr>
        <w:t xml:space="preserve">Design element: Analysis</w:t>
      </w:r>
    </w:p>
    <w:p>
      <w:pPr>
        <w:spacing w:before="0" w:after="50" w:line="250" w:lineRule="auto"/>
      </w:pPr>
      <w:r>
        <w:rPr>
          <w:rFonts w:ascii="Calibri" w:hAnsi="Calibri"/>
          <w:color w:val="000000"/>
          <w:sz w:val="20"/>
        </w:rPr>
        <w:t xml:space="preserve">Required specification: Grouping, confidence intervals and handling of missing values.</w:t>
      </w:r>
    </w:p>
    <w:p>
      <w:pPr>
        <w:pStyle w:val="Heading3"/>
        <w:keepNext/>
        <w:keepLines/>
        <w:spacing w:before="240" w:after="120" w:line="269" w:lineRule="auto"/>
      </w:pPr>
      <w:r>
        <w:rPr>
          <w:color w:val="000000"/>
        </w:rPr>
        <w:t>Challenge the useful range</w:t>
      </w:r>
    </w:p>
    <w:p>
      <w:pPr>
        <w:pStyle w:val="Normal"/>
        <w:spacing w:before="0" w:after="50" w:line="250" w:lineRule="auto"/>
        <w:rPr/>
      </w:pPr>
      <w:r>
        <w:rPr>
          <w:rFonts w:ascii="Calibri" w:hAnsi="Calibri"/>
          <w:color w:val="000000"/>
          <w:sz w:val="20"/>
        </w:rPr>
        <w:t>The dataset should include measurements near interpretation boundaries, irregular zones and other difficult conditions within the proposed scope. A collection dominated by easy, clearly separated cases may conceal performance weaknesses that matter in practice.</w:t>
      </w:r>
    </w:p>
    <w:p>
      <w:pPr>
        <w:pStyle w:val="Normal"/>
        <w:spacing w:before="0" w:after="50" w:line="250" w:lineRule="auto"/>
        <w:rPr/>
      </w:pPr>
      <w:r>
        <w:rPr>
          <w:rFonts w:ascii="Calibri" w:hAnsi="Calibri"/>
          <w:color w:val="000000"/>
          <w:sz w:val="20"/>
        </w:rPr>
        <w:t xml:space="preserve">Acceptance criteria should be justified against the intended method and decision, with relevant national evaluation guidance and standards consulted. They should not be copied from an unrelated instrument or selected after viewing the results. The proposed evaluation should report both numerical measurement behavior and the consequences of that behavior in the intended reviewed workflow. </w:t>
      </w:r>
    </w:p>
    <w:p>
      <w:pPr>
        <w:pStyle w:val="Heading3"/>
        <w:keepNext/>
        <w:keepLines/>
        <w:spacing w:before="240" w:after="120" w:line="269" w:lineRule="auto"/>
      </w:pPr>
      <w:r>
        <w:rPr>
          <w:color w:val="000000"/>
        </w:rPr>
        <w:t>Reference methods and adjudication</w:t>
      </w:r>
    </w:p>
    <w:p>
      <w:pPr>
        <w:pStyle w:val="Normal"/>
        <w:keepNext/>
        <w:spacing w:before="0" w:after="50" w:line="250" w:lineRule="auto"/>
        <w:rPr/>
      </w:pPr>
      <w:r>
        <w:rPr>
          <w:rFonts w:ascii="Calibri" w:hAnsi="Calibri"/>
          <w:b/>
          <w:color w:val="000000"/>
          <w:sz w:val="20"/>
        </w:rPr>
        <w:t>The reference process also has uncertainty</w:t>
      </w:r>
    </w:p>
    <w:p>
      <w:pPr>
        <w:pStyle w:val="Normal"/>
        <w:spacing w:before="0" w:after="50" w:line="250" w:lineRule="auto"/>
        <w:rPr/>
      </w:pPr>
      <w:r>
        <w:rPr>
          <w:rFonts w:ascii="Calibri" w:hAnsi="Calibri"/>
          <w:color w:val="000000"/>
          <w:sz w:val="20"/>
        </w:rPr>
        <w:t>An independent reference provides the basis for assessing a proposed measurement or classification. Its suitability depends on the question. A manual zone reading can assess a zone measurement, while an MIC prediction requires an appropriate MIC reference. A software model cannot validate itself by comparing with labels generated by the same model.</w:t>
      </w:r>
    </w:p>
    <w:p>
      <w:pPr>
        <w:pStyle w:val="Heading3"/>
        <w:keepNext/>
        <w:keepLines/>
        <w:spacing w:before="240" w:after="120" w:line="269" w:lineRule="auto"/>
      </w:pPr>
      <w:r>
        <w:rPr>
          <w:color w:val="000000"/>
        </w:rPr>
        <w:t>Proposed reference governance</w:t>
      </w:r>
    </w:p>
    <w:p>
      <w:pPr>
        <w:pStyle w:val="Normal"/>
        <w:spacing w:before="0" w:after="50" w:line="250" w:lineRule="auto"/>
        <w:rPr/>
      </w:pPr>
      <w:r>
        <w:rPr>
          <w:rFonts w:ascii="Calibri" w:hAnsi="Calibri"/>
          <w:color w:val="000000"/>
          <w:sz w:val="20"/>
        </w:rPr>
        <w:t>Reference assessors should use a defined method and have appropriate competency. Blinding to the investigational output should be used where feasible. Disagreements should follow a prespecified adjudication process that retains the original readings and reasons for resolution.</w:t>
      </w:r>
    </w:p>
    <w:p>
      <w:pPr>
        <w:spacing w:before="0" w:after="50" w:line="250" w:lineRule="auto"/>
      </w:pPr>
      <w:r>
        <w:rPr>
          <w:rFonts w:ascii="Calibri" w:hAnsi="Calibri"/>
          <w:color w:val="000000"/>
          <w:sz w:val="20"/>
        </w:rPr>
        <w:t xml:space="preserve">Reference issue: Inter-observer variation</w:t>
      </w:r>
    </w:p>
    <w:p>
      <w:pPr>
        <w:spacing w:before="0" w:after="50" w:line="250" w:lineRule="auto"/>
      </w:pPr>
      <w:r>
        <w:rPr>
          <w:rFonts w:ascii="Calibri" w:hAnsi="Calibri"/>
          <w:color w:val="000000"/>
          <w:sz w:val="20"/>
        </w:rPr>
        <w:t xml:space="preserve">Proposed treatment: Quantify and retain individual readings.</w:t>
      </w:r>
    </w:p>
    <w:p>
      <w:pPr>
        <w:spacing w:before="0" w:after="50" w:line="250" w:lineRule="auto"/>
      </w:pPr>
      <w:r>
        <w:rPr>
          <w:rFonts w:ascii="Calibri" w:hAnsi="Calibri"/>
          <w:color w:val="000000"/>
          <w:sz w:val="20"/>
        </w:rPr>
        <w:t xml:space="preserve">Reference issue: Ambiguous boundary</w:t>
      </w:r>
    </w:p>
    <w:p>
      <w:pPr>
        <w:spacing w:before="0" w:after="50" w:line="250" w:lineRule="auto"/>
      </w:pPr>
      <w:r>
        <w:rPr>
          <w:rFonts w:ascii="Calibri" w:hAnsi="Calibri"/>
          <w:color w:val="000000"/>
          <w:sz w:val="20"/>
        </w:rPr>
        <w:t xml:space="preserve">Proposed treatment: Apply the method's reading guidance and preserve uncertainty.</w:t>
      </w:r>
    </w:p>
    <w:p>
      <w:pPr>
        <w:spacing w:before="0" w:after="50" w:line="250" w:lineRule="auto"/>
      </w:pPr>
      <w:r>
        <w:rPr>
          <w:rFonts w:ascii="Calibri" w:hAnsi="Calibri"/>
          <w:color w:val="000000"/>
          <w:sz w:val="20"/>
        </w:rPr>
        <w:t xml:space="preserve">Reference issue: Conflicting methods</w:t>
      </w:r>
    </w:p>
    <w:p>
      <w:pPr>
        <w:spacing w:before="0" w:after="50" w:line="250" w:lineRule="auto"/>
      </w:pPr>
      <w:r>
        <w:rPr>
          <w:rFonts w:ascii="Calibri" w:hAnsi="Calibri"/>
          <w:color w:val="000000"/>
          <w:sz w:val="20"/>
        </w:rPr>
        <w:t xml:space="preserve">Proposed treatment: Investigate scope and conditions before assigning a final label.</w:t>
      </w:r>
    </w:p>
    <w:p>
      <w:pPr>
        <w:spacing w:before="0" w:after="50" w:line="250" w:lineRule="auto"/>
      </w:pPr>
      <w:r>
        <w:rPr>
          <w:rFonts w:ascii="Calibri" w:hAnsi="Calibri"/>
          <w:color w:val="000000"/>
          <w:sz w:val="20"/>
        </w:rPr>
        <w:t xml:space="preserve">Reference issue: Missing reference</w:t>
      </w:r>
    </w:p>
    <w:p>
      <w:pPr>
        <w:spacing w:before="0" w:after="50" w:line="250" w:lineRule="auto"/>
      </w:pPr>
      <w:r>
        <w:rPr>
          <w:rFonts w:ascii="Calibri" w:hAnsi="Calibri"/>
          <w:color w:val="000000"/>
          <w:sz w:val="20"/>
        </w:rPr>
        <w:t xml:space="preserve">Proposed treatment: Keep the case in the accounting with an explicit status.</w:t>
      </w:r>
    </w:p>
    <w:p>
      <w:pPr>
        <w:spacing w:before="0" w:after="50" w:line="250" w:lineRule="auto"/>
      </w:pPr>
      <w:r>
        <w:rPr>
          <w:rFonts w:ascii="Calibri" w:hAnsi="Calibri"/>
          <w:color w:val="000000"/>
          <w:sz w:val="20"/>
        </w:rPr>
        <w:t xml:space="preserve">Reference issue: Adjudication bias</w:t>
      </w:r>
    </w:p>
    <w:p>
      <w:pPr>
        <w:spacing w:before="0" w:after="50" w:line="250" w:lineRule="auto"/>
      </w:pPr>
      <w:r>
        <w:rPr>
          <w:rFonts w:ascii="Calibri" w:hAnsi="Calibri"/>
          <w:color w:val="000000"/>
          <w:sz w:val="20"/>
        </w:rPr>
        <w:t xml:space="preserve">Proposed treatment: Avoid allowing the investigational prediction to determine its own reference.</w:t>
      </w:r>
    </w:p>
    <w:p>
      <w:pPr>
        <w:pStyle w:val="Heading3"/>
        <w:keepNext/>
        <w:keepLines/>
        <w:spacing w:before="240" w:after="120" w:line="269" w:lineRule="auto"/>
      </w:pPr>
      <w:r>
        <w:rPr>
          <w:color w:val="000000"/>
        </w:rPr>
        <w:t>A consensus is a process, not an infallible truth</w:t>
      </w:r>
    </w:p>
    <w:p>
      <w:pPr>
        <w:pStyle w:val="Normal"/>
        <w:spacing w:before="0" w:after="50" w:line="250" w:lineRule="auto"/>
        <w:rPr/>
      </w:pPr>
      <w:r>
        <w:rPr>
          <w:rFonts w:ascii="Calibri" w:hAnsi="Calibri"/>
          <w:color w:val="000000"/>
          <w:sz w:val="20"/>
        </w:rPr>
        <w:t>Consensus can improve consistency, but it may still contain systematic error. Where possible, the study should examine reference repeatability and use independent checks appropriate to the measurand. Difficult cases should not be discarded solely because experts disagree.</w:t>
      </w:r>
    </w:p>
    <w:p>
      <w:pPr>
        <w:pStyle w:val="Normal"/>
        <w:spacing w:before="0" w:after="50" w:line="250" w:lineRule="auto"/>
        <w:rPr/>
      </w:pPr>
      <w:r>
        <w:rPr>
          <w:rFonts w:ascii="Calibri" w:hAnsi="Calibri"/>
          <w:color w:val="000000"/>
          <w:sz w:val="20"/>
        </w:rPr>
        <w:t>The proposed data model should store reference values separately from routine reviewer corrections. A correction made during product use may be useful training material after assessment, but it is not automatically a research reference label. Keeping these roles distinct supports honest evaluation and makes later reanalysis possible when a reference decision is revised.</w:t>
      </w:r>
    </w:p>
    <w:p>
      <w:pPr>
        <w:pStyle w:val="Heading3"/>
        <w:keepNext/>
        <w:keepLines/>
        <w:spacing w:before="240" w:after="120" w:line="269" w:lineRule="auto"/>
      </w:pPr>
      <w:r>
        <w:rPr>
          <w:color w:val="000000"/>
        </w:rPr>
        <w:t>Dataset representativeness</w:t>
      </w:r>
    </w:p>
    <w:p>
      <w:pPr>
        <w:pStyle w:val="Normal"/>
        <w:keepNext/>
        <w:spacing w:before="0" w:after="50" w:line="250" w:lineRule="auto"/>
        <w:rPr/>
      </w:pPr>
      <w:r>
        <w:rPr>
          <w:rFonts w:ascii="Calibri" w:hAnsi="Calibri"/>
          <w:b/>
          <w:color w:val="000000"/>
          <w:sz w:val="20"/>
        </w:rPr>
        <w:t>Representativeness is a property of the intended domain</w:t>
      </w:r>
    </w:p>
    <w:p>
      <w:pPr>
        <w:pStyle w:val="Normal"/>
        <w:spacing w:before="0" w:after="50" w:line="250" w:lineRule="auto"/>
        <w:rPr/>
      </w:pPr>
      <w:r>
        <w:rPr>
          <w:rFonts w:ascii="Calibri" w:hAnsi="Calibri"/>
          <w:color w:val="000000"/>
          <w:sz w:val="20"/>
        </w:rPr>
        <w:t>A validation collection should reflect the conditions under which the product is expected to work. Relevant dimensions include organisms, antimicrobial combinations, media, plate geometry, image quality, sites, users and clinically important result ranges. A large dataset can still be narrow if most observations come from similar cases.</w:t>
      </w:r>
    </w:p>
    <w:p>
      <w:pPr>
        <w:pStyle w:val="Heading3"/>
        <w:keepNext/>
        <w:keepLines/>
        <w:spacing w:before="240" w:after="120" w:line="269" w:lineRule="auto"/>
      </w:pPr>
      <w:r>
        <w:rPr>
          <w:color w:val="000000"/>
        </w:rPr>
        <w:t>Build a coverage matrix</w:t>
      </w:r>
    </w:p>
    <w:p>
      <w:pPr>
        <w:pStyle w:val="Normal"/>
        <w:spacing w:before="0" w:after="50" w:line="250" w:lineRule="auto"/>
        <w:rPr/>
      </w:pPr>
      <w:r>
        <w:rPr>
          <w:rFonts w:ascii="Calibri" w:hAnsi="Calibri"/>
          <w:color w:val="000000"/>
          <w:sz w:val="20"/>
        </w:rPr>
        <w:t>The proposed study should map intended-use dimensions to available cases and identify gaps before model training and final evaluation. Rare but consequential conditions may need deliberate enrichment. Their prevalence in the evaluation collection should be reported so that overall metrics are interpreted correctly.</w:t>
      </w:r>
    </w:p>
    <w:p>
      <w:pPr>
        <w:spacing w:before="0" w:after="50" w:line="250" w:lineRule="auto"/>
      </w:pPr>
      <w:r>
        <w:rPr>
          <w:rFonts w:ascii="Calibri" w:hAnsi="Calibri"/>
          <w:color w:val="000000"/>
          <w:sz w:val="20"/>
        </w:rPr>
        <w:t xml:space="preserve">Coverage dimension: Biological</w:t>
      </w:r>
    </w:p>
    <w:p>
      <w:pPr>
        <w:spacing w:before="0" w:after="50" w:line="250" w:lineRule="auto"/>
      </w:pPr>
      <w:r>
        <w:rPr>
          <w:rFonts w:ascii="Calibri" w:hAnsi="Calibri"/>
          <w:color w:val="000000"/>
          <w:sz w:val="20"/>
        </w:rPr>
        <w:t xml:space="preserve">Example question: Are relevant organisms and difficult phenotypes represented?</w:t>
      </w:r>
    </w:p>
    <w:p>
      <w:pPr>
        <w:spacing w:before="0" w:after="50" w:line="250" w:lineRule="auto"/>
      </w:pPr>
      <w:r>
        <w:rPr>
          <w:rFonts w:ascii="Calibri" w:hAnsi="Calibri"/>
          <w:color w:val="000000"/>
          <w:sz w:val="20"/>
        </w:rPr>
        <w:t xml:space="preserve">Coverage dimension: Method</w:t>
      </w:r>
    </w:p>
    <w:p>
      <w:pPr>
        <w:spacing w:before="0" w:after="50" w:line="250" w:lineRule="auto"/>
      </w:pPr>
      <w:r>
        <w:rPr>
          <w:rFonts w:ascii="Calibri" w:hAnsi="Calibri"/>
          <w:color w:val="000000"/>
          <w:sz w:val="20"/>
        </w:rPr>
        <w:t xml:space="preserve">Example question: Are permitted media, disks and reading conditions covered?</w:t>
      </w:r>
    </w:p>
    <w:p>
      <w:pPr>
        <w:spacing w:before="0" w:after="50" w:line="250" w:lineRule="auto"/>
      </w:pPr>
      <w:r>
        <w:rPr>
          <w:rFonts w:ascii="Calibri" w:hAnsi="Calibri"/>
          <w:color w:val="000000"/>
          <w:sz w:val="20"/>
        </w:rPr>
        <w:t xml:space="preserve">Coverage dimension: Instrument</w:t>
      </w:r>
    </w:p>
    <w:p>
      <w:pPr>
        <w:spacing w:before="0" w:after="50" w:line="250" w:lineRule="auto"/>
      </w:pPr>
      <w:r>
        <w:rPr>
          <w:rFonts w:ascii="Calibri" w:hAnsi="Calibri"/>
          <w:color w:val="000000"/>
          <w:sz w:val="20"/>
        </w:rPr>
        <w:t xml:space="preserve">Example question: Are manufacturing and calibration variations represented?</w:t>
      </w:r>
    </w:p>
    <w:p>
      <w:pPr>
        <w:spacing w:before="0" w:after="50" w:line="250" w:lineRule="auto"/>
      </w:pPr>
      <w:r>
        <w:rPr>
          <w:rFonts w:ascii="Calibri" w:hAnsi="Calibri"/>
          <w:color w:val="000000"/>
          <w:sz w:val="20"/>
        </w:rPr>
        <w:t xml:space="preserve">Coverage dimension: Site and user</w:t>
      </w:r>
    </w:p>
    <w:p>
      <w:pPr>
        <w:spacing w:before="0" w:after="50" w:line="250" w:lineRule="auto"/>
      </w:pPr>
      <w:r>
        <w:rPr>
          <w:rFonts w:ascii="Calibri" w:hAnsi="Calibri"/>
          <w:color w:val="000000"/>
          <w:sz w:val="20"/>
        </w:rPr>
        <w:t xml:space="preserve">Example question: Does the collection reflect intended operational diversity?</w:t>
      </w:r>
    </w:p>
    <w:p>
      <w:pPr>
        <w:spacing w:before="0" w:after="50" w:line="250" w:lineRule="auto"/>
      </w:pPr>
      <w:r>
        <w:rPr>
          <w:rFonts w:ascii="Calibri" w:hAnsi="Calibri"/>
          <w:color w:val="000000"/>
          <w:sz w:val="20"/>
        </w:rPr>
        <w:t xml:space="preserve">Coverage dimension: Result range</w:t>
      </w:r>
    </w:p>
    <w:p>
      <w:pPr>
        <w:spacing w:before="0" w:after="50" w:line="250" w:lineRule="auto"/>
      </w:pPr>
      <w:r>
        <w:rPr>
          <w:rFonts w:ascii="Calibri" w:hAnsi="Calibri"/>
          <w:color w:val="000000"/>
          <w:sz w:val="20"/>
        </w:rPr>
        <w:t xml:space="preserve">Example question: Are boundary cases and consequential categories sufficiently assessed?</w:t>
      </w:r>
    </w:p>
    <w:p>
      <w:pPr>
        <w:pStyle w:val="Heading3"/>
        <w:keepNext/>
        <w:keepLines/>
        <w:spacing w:before="240" w:after="120" w:line="269" w:lineRule="auto"/>
      </w:pPr>
      <w:r>
        <w:rPr>
          <w:color w:val="000000"/>
        </w:rPr>
        <w:t>More images are not always more independent evidence</w:t>
      </w:r>
    </w:p>
    <w:p>
      <w:pPr>
        <w:pStyle w:val="Normal"/>
        <w:spacing w:before="0" w:after="50" w:line="250" w:lineRule="auto"/>
        <w:rPr/>
      </w:pPr>
      <w:r>
        <w:rPr>
          <w:rFonts w:ascii="Calibri" w:hAnsi="Calibri"/>
          <w:color w:val="000000"/>
          <w:sz w:val="20"/>
        </w:rPr>
        <w:t>Many images of one plate can help study temporal behavior or acquisition repeatability. They do not provide the same population evidence as the same number of independent isolates. The analysis should identify the biological unit and account for dependence among observations.</w:t>
      </w:r>
    </w:p>
    <w:p>
      <w:pPr>
        <w:pStyle w:val="Normal"/>
        <w:spacing w:before="0" w:after="50" w:line="250" w:lineRule="auto"/>
        <w:rPr/>
      </w:pPr>
      <w:r>
        <w:rPr>
          <w:rFonts w:ascii="Calibri" w:hAnsi="Calibri"/>
          <w:color w:val="000000"/>
          <w:sz w:val="20"/>
        </w:rPr>
        <w:t>Data collection should preserve failed captures and unavailable results, because these influence real-world coverage. A model evaluated only on images that passed an expert selection process may appear more capable than it is in routine operation. The proposed product evaluation should therefore distinguish performance on accepted images from the complete workflow's ability to obtain an acceptable result.</w:t>
      </w:r>
    </w:p>
    <w:p>
      <w:pPr>
        <w:pStyle w:val="Heading3"/>
        <w:keepNext/>
        <w:keepLines/>
        <w:spacing w:before="240" w:after="120" w:line="269" w:lineRule="auto"/>
      </w:pPr>
      <w:r>
        <w:rPr>
          <w:color w:val="000000"/>
        </w:rPr>
        <w:t>Site and temporal separation</w:t>
      </w:r>
    </w:p>
    <w:p>
      <w:pPr>
        <w:pStyle w:val="Normal"/>
        <w:keepNext/>
        <w:spacing w:before="0" w:after="50" w:line="250" w:lineRule="auto"/>
        <w:rPr/>
      </w:pPr>
      <w:r>
        <w:rPr>
          <w:rFonts w:ascii="Calibri" w:hAnsi="Calibri"/>
          <w:b/>
          <w:color w:val="000000"/>
          <w:sz w:val="20"/>
        </w:rPr>
        <w:t>Separate development from evaluation at meaningful boundaries</w:t>
      </w:r>
    </w:p>
    <w:p>
      <w:pPr>
        <w:pStyle w:val="Normal"/>
        <w:spacing w:before="0" w:after="50" w:line="250" w:lineRule="auto"/>
        <w:rPr/>
      </w:pPr>
      <w:r>
        <w:rPr>
          <w:rFonts w:ascii="Calibri" w:hAnsi="Calibri"/>
          <w:color w:val="000000"/>
          <w:sz w:val="20"/>
        </w:rPr>
        <w:t>Training and test separation should prevent information about the evaluation outcome from influencing model development. Random image splitting is often insufficient when several images share a plate, isolate, patient, batch or acquisition session. The relevant grouping depends on the claim being evaluated.</w:t>
      </w:r>
    </w:p>
    <w:p>
      <w:pPr>
        <w:pStyle w:val="Heading3"/>
        <w:keepNext/>
        <w:keepLines/>
        <w:spacing w:before="240" w:after="120" w:line="269" w:lineRule="auto"/>
      </w:pPr>
      <w:r>
        <w:rPr>
          <w:color w:val="000000"/>
        </w:rPr>
        <w:t>Proposed separation strategy</w:t>
      </w:r>
    </w:p>
    <w:p>
      <w:pPr>
        <w:pStyle w:val="Normal"/>
        <w:spacing w:before="0" w:after="50" w:line="250" w:lineRule="auto"/>
        <w:rPr/>
      </w:pPr>
      <w:r>
        <w:rPr>
          <w:rFonts w:ascii="Calibri" w:hAnsi="Calibri"/>
          <w:color w:val="000000"/>
          <w:sz w:val="20"/>
        </w:rPr>
        <w:t>The development collection supports model fitting and exploratory decisions. A validation collection supports tuning and threshold selection. A final independent collection or prospective period assesses the frozen system. Site and temporal separation can challenge transfer beyond the conditions that shaped development.</w:t>
      </w:r>
    </w:p>
    <w:p>
      <w:pPr>
        <w:spacing w:before="0" w:after="50" w:line="250" w:lineRule="auto"/>
      </w:pPr>
      <w:r>
        <w:rPr>
          <w:rFonts w:ascii="Calibri" w:hAnsi="Calibri"/>
          <w:color w:val="000000"/>
          <w:sz w:val="20"/>
        </w:rPr>
        <w:t xml:space="preserve">Leakage route: Same plate across partitions</w:t>
      </w:r>
    </w:p>
    <w:p>
      <w:pPr>
        <w:spacing w:before="0" w:after="50" w:line="250" w:lineRule="auto"/>
      </w:pPr>
      <w:r>
        <w:rPr>
          <w:rFonts w:ascii="Calibri" w:hAnsi="Calibri"/>
          <w:color w:val="000000"/>
          <w:sz w:val="20"/>
        </w:rPr>
        <w:t xml:space="preserve">Proposed prevention: Group all linked observations before splitting.</w:t>
      </w:r>
    </w:p>
    <w:p>
      <w:pPr>
        <w:spacing w:before="0" w:after="50" w:line="250" w:lineRule="auto"/>
      </w:pPr>
      <w:r>
        <w:rPr>
          <w:rFonts w:ascii="Calibri" w:hAnsi="Calibri"/>
          <w:color w:val="000000"/>
          <w:sz w:val="20"/>
        </w:rPr>
        <w:t xml:space="preserve">Leakage route: Related isolate records</w:t>
      </w:r>
    </w:p>
    <w:p>
      <w:pPr>
        <w:spacing w:before="0" w:after="50" w:line="250" w:lineRule="auto"/>
      </w:pPr>
      <w:r>
        <w:rPr>
          <w:rFonts w:ascii="Calibri" w:hAnsi="Calibri"/>
          <w:color w:val="000000"/>
          <w:sz w:val="20"/>
        </w:rPr>
        <w:t xml:space="preserve">Proposed prevention: Account for the biological relationship relevant to the study.</w:t>
      </w:r>
    </w:p>
    <w:p>
      <w:pPr>
        <w:spacing w:before="0" w:after="50" w:line="250" w:lineRule="auto"/>
      </w:pPr>
      <w:r>
        <w:rPr>
          <w:rFonts w:ascii="Calibri" w:hAnsi="Calibri"/>
          <w:color w:val="000000"/>
          <w:sz w:val="20"/>
        </w:rPr>
        <w:t xml:space="preserve">Leakage route: Shared preprocessing statistics</w:t>
      </w:r>
    </w:p>
    <w:p>
      <w:pPr>
        <w:spacing w:before="0" w:after="50" w:line="250" w:lineRule="auto"/>
      </w:pPr>
      <w:r>
        <w:rPr>
          <w:rFonts w:ascii="Calibri" w:hAnsi="Calibri"/>
          <w:color w:val="000000"/>
          <w:sz w:val="20"/>
        </w:rPr>
        <w:t xml:space="preserve">Proposed prevention: Fit transformations using permitted development data only.</w:t>
      </w:r>
    </w:p>
    <w:p>
      <w:pPr>
        <w:spacing w:before="0" w:after="50" w:line="250" w:lineRule="auto"/>
      </w:pPr>
      <w:r>
        <w:rPr>
          <w:rFonts w:ascii="Calibri" w:hAnsi="Calibri"/>
          <w:color w:val="000000"/>
          <w:sz w:val="20"/>
        </w:rPr>
        <w:t xml:space="preserve">Leakage route: Repeated test-set inspection</w:t>
      </w:r>
    </w:p>
    <w:p>
      <w:pPr>
        <w:spacing w:before="0" w:after="50" w:line="250" w:lineRule="auto"/>
      </w:pPr>
      <w:r>
        <w:rPr>
          <w:rFonts w:ascii="Calibri" w:hAnsi="Calibri"/>
          <w:color w:val="000000"/>
          <w:sz w:val="20"/>
        </w:rPr>
        <w:t xml:space="preserve">Proposed prevention: Reserve independent evaluation after final choices are frozen.</w:t>
      </w:r>
    </w:p>
    <w:p>
      <w:pPr>
        <w:spacing w:before="0" w:after="50" w:line="250" w:lineRule="auto"/>
      </w:pPr>
      <w:r>
        <w:rPr>
          <w:rFonts w:ascii="Calibri" w:hAnsi="Calibri"/>
          <w:color w:val="000000"/>
          <w:sz w:val="20"/>
        </w:rPr>
        <w:t xml:space="preserve">Leakage route: Synthetic derivatives</w:t>
      </w:r>
    </w:p>
    <w:p>
      <w:pPr>
        <w:spacing w:before="0" w:after="50" w:line="250" w:lineRule="auto"/>
      </w:pPr>
      <w:r>
        <w:rPr>
          <w:rFonts w:ascii="Calibri" w:hAnsi="Calibri"/>
          <w:color w:val="000000"/>
          <w:sz w:val="20"/>
        </w:rPr>
        <w:t xml:space="preserve">Proposed prevention: Keep each derivative with its originating source unit.</w:t>
      </w:r>
    </w:p>
    <w:p>
      <w:pPr>
        <w:pStyle w:val="Heading3"/>
        <w:keepNext/>
        <w:keepLines/>
        <w:spacing w:before="240" w:after="120" w:line="269" w:lineRule="auto"/>
      </w:pPr>
      <w:r>
        <w:rPr>
          <w:color w:val="000000"/>
        </w:rPr>
        <w:t>Document what the split actually tests</w:t>
      </w:r>
    </w:p>
    <w:p>
      <w:pPr>
        <w:pStyle w:val="Normal"/>
        <w:spacing w:before="0" w:after="50" w:line="250" w:lineRule="auto"/>
        <w:rPr/>
      </w:pPr>
      <w:r>
        <w:rPr>
          <w:rFonts w:ascii="Calibri" w:hAnsi="Calibri"/>
          <w:color w:val="000000"/>
          <w:sz w:val="20"/>
        </w:rPr>
        <w:t>A held-out site can test some operational transfer, but it does not guarantee coverage of every new organism or instrument revision. A temporal split can reveal drift while still sharing many site-specific features. The report should state which forms of generalization the design supports.</w:t>
      </w:r>
    </w:p>
    <w:p>
      <w:pPr>
        <w:pStyle w:val="Normal"/>
        <w:spacing w:before="0" w:after="50" w:line="250" w:lineRule="auto"/>
        <w:rPr/>
      </w:pPr>
      <w:r>
        <w:rPr>
          <w:rFonts w:ascii="Calibri" w:hAnsi="Calibri"/>
          <w:color w:val="000000"/>
          <w:sz w:val="20"/>
        </w:rPr>
        <w:t>The proposed software should retain dataset release identifiers and partition assignments. If a reference label changes, affected analyses should be traceable. Evaluation data should not quietly migrate into training while the same historical metrics continue to describe the revised model. New training releases require an appropriate new assessment of performance.</w:t>
      </w:r>
    </w:p>
    <w:p>
      <w:pPr>
        <w:pStyle w:val="Heading3"/>
        <w:keepNext/>
        <w:keepLines/>
        <w:spacing w:before="240" w:after="120" w:line="269" w:lineRule="auto"/>
      </w:pPr>
      <w:r>
        <w:rPr>
          <w:color w:val="000000"/>
        </w:rPr>
        <w:t>Repeatability and reproducibility</w:t>
      </w:r>
    </w:p>
    <w:p>
      <w:pPr>
        <w:pStyle w:val="Normal"/>
        <w:keepNext/>
        <w:spacing w:before="0" w:after="50" w:line="250" w:lineRule="auto"/>
        <w:rPr/>
      </w:pPr>
      <w:r>
        <w:rPr>
          <w:rFonts w:ascii="Calibri" w:hAnsi="Calibri"/>
          <w:b/>
          <w:color w:val="000000"/>
          <w:sz w:val="20"/>
        </w:rPr>
        <w:t>Repeatability and reproducibility test different sources of variation</w:t>
      </w:r>
    </w:p>
    <w:p>
      <w:pPr>
        <w:pStyle w:val="Normal"/>
        <w:spacing w:before="0" w:after="50" w:line="250" w:lineRule="auto"/>
        <w:rPr/>
      </w:pPr>
      <w:r>
        <w:rPr>
          <w:rFonts w:ascii="Calibri" w:hAnsi="Calibri"/>
          <w:color w:val="000000"/>
          <w:sz w:val="20"/>
        </w:rPr>
        <w:t>Repeatability examines variation under closely controlled conditions. Reproducibility examines variation when specified conditions change, such as instrument, operator, day or laboratory. Both are relevant to a measurement product, and neither alone establishes agreement with the correct value.</w:t>
      </w:r>
    </w:p>
    <w:p>
      <w:pPr>
        <w:pStyle w:val="Heading3"/>
        <w:keepNext/>
        <w:keepLines/>
        <w:spacing w:before="240" w:after="120" w:line="269" w:lineRule="auto"/>
      </w:pPr>
      <w:r>
        <w:rPr>
          <w:color w:val="000000"/>
        </w:rPr>
        <w:t>Proposed variance study</w:t>
      </w:r>
    </w:p>
    <w:p>
      <w:pPr>
        <w:pStyle w:val="Normal"/>
        <w:spacing w:before="0" w:after="50" w:line="250" w:lineRule="auto"/>
        <w:rPr/>
      </w:pPr>
      <w:r>
        <w:rPr>
          <w:rFonts w:ascii="Calibri" w:hAnsi="Calibri"/>
          <w:color w:val="000000"/>
          <w:sz w:val="20"/>
        </w:rPr>
        <w:t>A nested or crossed design can separate contributions from repeated capture, repositioning, operator and instrument. The design should reflect the permitted workflow and avoid attributing biological change to instrument variation when the same plate is observed over a period in which its appearance evolves.</w:t>
      </w:r>
    </w:p>
    <w:p>
      <w:pPr>
        <w:spacing w:before="0" w:after="50" w:line="250" w:lineRule="auto"/>
      </w:pPr>
      <w:r>
        <w:rPr>
          <w:rFonts w:ascii="Calibri" w:hAnsi="Calibri"/>
          <w:color w:val="000000"/>
          <w:sz w:val="20"/>
        </w:rPr>
        <w:t xml:space="preserve">Variation source: Capture noise</w:t>
      </w:r>
    </w:p>
    <w:p>
      <w:pPr>
        <w:spacing w:before="0" w:after="50" w:line="250" w:lineRule="auto"/>
      </w:pPr>
      <w:r>
        <w:rPr>
          <w:rFonts w:ascii="Calibri" w:hAnsi="Calibri"/>
          <w:color w:val="000000"/>
          <w:sz w:val="20"/>
        </w:rPr>
        <w:t xml:space="preserve">Candidate comparison: Repeated eligible acquisitions without repositioning.</w:t>
      </w:r>
    </w:p>
    <w:p>
      <w:pPr>
        <w:spacing w:before="0" w:after="50" w:line="250" w:lineRule="auto"/>
      </w:pPr>
      <w:r>
        <w:rPr>
          <w:rFonts w:ascii="Calibri" w:hAnsi="Calibri"/>
          <w:color w:val="000000"/>
          <w:sz w:val="20"/>
        </w:rPr>
        <w:t xml:space="preserve">Variation source: Placement</w:t>
      </w:r>
    </w:p>
    <w:p>
      <w:pPr>
        <w:spacing w:before="0" w:after="50" w:line="250" w:lineRule="auto"/>
      </w:pPr>
      <w:r>
        <w:rPr>
          <w:rFonts w:ascii="Calibri" w:hAnsi="Calibri"/>
          <w:color w:val="000000"/>
          <w:sz w:val="20"/>
        </w:rPr>
        <w:t xml:space="preserve">Candidate comparison: Removal and replacement within the permitted pose range.</w:t>
      </w:r>
    </w:p>
    <w:p>
      <w:pPr>
        <w:spacing w:before="0" w:after="50" w:line="250" w:lineRule="auto"/>
      </w:pPr>
      <w:r>
        <w:rPr>
          <w:rFonts w:ascii="Calibri" w:hAnsi="Calibri"/>
          <w:color w:val="000000"/>
          <w:sz w:val="20"/>
        </w:rPr>
        <w:t xml:space="preserve">Variation source: Operator</w:t>
      </w:r>
    </w:p>
    <w:p>
      <w:pPr>
        <w:spacing w:before="0" w:after="50" w:line="250" w:lineRule="auto"/>
      </w:pPr>
      <w:r>
        <w:rPr>
          <w:rFonts w:ascii="Calibri" w:hAnsi="Calibri"/>
          <w:color w:val="000000"/>
          <w:sz w:val="20"/>
        </w:rPr>
        <w:t xml:space="preserve">Candidate comparison: Different trained users following the same workflow.</w:t>
      </w:r>
    </w:p>
    <w:p>
      <w:pPr>
        <w:spacing w:before="0" w:after="50" w:line="250" w:lineRule="auto"/>
      </w:pPr>
      <w:r>
        <w:rPr>
          <w:rFonts w:ascii="Calibri" w:hAnsi="Calibri"/>
          <w:color w:val="000000"/>
          <w:sz w:val="20"/>
        </w:rPr>
        <w:t xml:space="preserve">Variation source: Instrument</w:t>
      </w:r>
    </w:p>
    <w:p>
      <w:pPr>
        <w:spacing w:before="0" w:after="50" w:line="250" w:lineRule="auto"/>
      </w:pPr>
      <w:r>
        <w:rPr>
          <w:rFonts w:ascii="Calibri" w:hAnsi="Calibri"/>
          <w:color w:val="000000"/>
          <w:sz w:val="20"/>
        </w:rPr>
        <w:t xml:space="preserve">Candidate comparison: Multiple qualified units and relevant configurations.</w:t>
      </w:r>
    </w:p>
    <w:p>
      <w:pPr>
        <w:spacing w:before="0" w:after="50" w:line="250" w:lineRule="auto"/>
      </w:pPr>
      <w:r>
        <w:rPr>
          <w:rFonts w:ascii="Calibri" w:hAnsi="Calibri"/>
          <w:color w:val="000000"/>
          <w:sz w:val="20"/>
        </w:rPr>
        <w:t xml:space="preserve">Variation source: Time or site</w:t>
      </w:r>
    </w:p>
    <w:p>
      <w:pPr>
        <w:spacing w:before="0" w:after="50" w:line="250" w:lineRule="auto"/>
      </w:pPr>
      <w:r>
        <w:rPr>
          <w:rFonts w:ascii="Calibri" w:hAnsi="Calibri"/>
          <w:color w:val="000000"/>
          <w:sz w:val="20"/>
        </w:rPr>
        <w:t xml:space="preserve">Candidate comparison: Defined changes with biological and environmental context retained.</w:t>
      </w:r>
    </w:p>
    <w:p>
      <w:pPr>
        <w:pStyle w:val="Heading3"/>
        <w:keepNext/>
        <w:keepLines/>
        <w:spacing w:before="240" w:after="120" w:line="269" w:lineRule="auto"/>
      </w:pPr>
      <w:r>
        <w:rPr>
          <w:color w:val="000000"/>
        </w:rPr>
        <w:t>Use stable targets for instrument questions</w:t>
      </w:r>
    </w:p>
    <w:p>
      <w:pPr>
        <w:pStyle w:val="Normal"/>
        <w:spacing w:before="0" w:after="50" w:line="250" w:lineRule="auto"/>
        <w:rPr/>
      </w:pPr>
      <w:r>
        <w:rPr>
          <w:rFonts w:ascii="Calibri" w:hAnsi="Calibri"/>
          <w:color w:val="000000"/>
          <w:sz w:val="20"/>
        </w:rPr>
        <w:t>Reference artifacts can help isolate optical and geometric variation. Biological material is needed to assess the complete measurement of real appearances. These studies answer complementary questions and should be reported separately.</w:t>
      </w:r>
    </w:p>
    <w:p>
      <w:pPr>
        <w:pStyle w:val="Normal"/>
        <w:spacing w:before="0" w:after="50" w:line="250" w:lineRule="auto"/>
        <w:rPr/>
      </w:pPr>
      <w:r>
        <w:rPr>
          <w:rFonts w:ascii="Calibri" w:hAnsi="Calibri"/>
          <w:color w:val="000000"/>
          <w:sz w:val="20"/>
        </w:rPr>
        <w:t>The analysis should estimate relevant variance components and uncertainty, not merely report that repeated values look similar. A highly repeatable systematic bias is still an accuracy problem. Proposed acceptance should therefore combine repeatability and reproducibility evidence with independent reference agreement and clear operating limits. The resulting calibration and service requirements should follow the observed sources of variation rather than an arbitrary maintenance interval.</w:t>
      </w:r>
    </w:p>
    <w:p>
      <w:pPr>
        <w:pStyle w:val="Heading3"/>
        <w:keepNext/>
        <w:keepLines/>
        <w:spacing w:before="240" w:after="120" w:line="269" w:lineRule="auto"/>
      </w:pPr>
      <w:r>
        <w:rPr>
          <w:color w:val="000000"/>
        </w:rPr>
        <w:t>Bias agreement and uncertainty</w:t>
      </w:r>
    </w:p>
    <w:p>
      <w:pPr>
        <w:pStyle w:val="Normal"/>
        <w:keepNext/>
        <w:spacing w:before="0" w:after="50" w:line="250" w:lineRule="auto"/>
        <w:rPr/>
      </w:pPr>
      <w:r>
        <w:rPr>
          <w:rFonts w:ascii="Calibri" w:hAnsi="Calibri"/>
          <w:b/>
          <w:color w:val="000000"/>
          <w:sz w:val="20"/>
        </w:rPr>
        <w:t>Agreement needs more than correlation</w:t>
      </w:r>
    </w:p>
    <w:p>
      <w:pPr>
        <w:pStyle w:val="Normal"/>
        <w:spacing w:before="0" w:after="50" w:line="250" w:lineRule="auto"/>
        <w:rPr/>
      </w:pPr>
      <w:r>
        <w:rPr>
          <w:rFonts w:ascii="Calibri" w:hAnsi="Calibri"/>
          <w:color w:val="000000"/>
          <w:sz w:val="20"/>
        </w:rPr>
        <w:t>Two methods can be strongly correlated while differing by a clinically relevant offset or scale error. Measurement validation should examine differences in the reported units, their dependence on magnitude and the uncertainty of the reference comparison. A scatter plot alone can conceal systematic disagreement.</w:t>
      </w:r>
    </w:p>
    <w:p>
      <w:pPr>
        <w:pStyle w:val="Heading3"/>
        <w:keepNext/>
        <w:keepLines/>
        <w:spacing w:before="240" w:after="120" w:line="269" w:lineRule="auto"/>
      </w:pPr>
      <w:r>
        <w:rPr>
          <w:color w:val="000000"/>
        </w:rPr>
        <w:t>Proposed analysis views</w:t>
      </w:r>
    </w:p>
    <w:p>
      <w:pPr>
        <w:pStyle w:val="Normal"/>
        <w:spacing w:before="0" w:after="50" w:line="250" w:lineRule="auto"/>
        <w:rPr/>
      </w:pPr>
      <w:r>
        <w:rPr>
          <w:rFonts w:ascii="Calibri" w:hAnsi="Calibri"/>
          <w:color w:val="000000"/>
          <w:sz w:val="20"/>
        </w:rPr>
        <w:t>For paired diameters, calculate the difference between the investigational and reference measurements in mm. Examine its average, spread and relationship to diameter, organism, image quality and other relevant factors. Agreement limits require assumptions about the difference distribution and appropriate handling of repeated observations.</w:t>
      </w:r>
    </w:p>
    <w:p>
      <w:pPr>
        <w:spacing w:before="0" w:after="50" w:line="250" w:lineRule="auto"/>
      </w:pPr>
      <w:r>
        <w:rPr>
          <w:rFonts w:ascii="Calibri" w:hAnsi="Calibri"/>
          <w:color w:val="000000"/>
          <w:sz w:val="20"/>
        </w:rPr>
        <w:t xml:space="preserve">Analysis: Mean difference</w:t>
      </w:r>
    </w:p>
    <w:p>
      <w:pPr>
        <w:spacing w:before="0" w:after="50" w:line="250" w:lineRule="auto"/>
      </w:pPr>
      <w:r>
        <w:rPr>
          <w:rFonts w:ascii="Calibri" w:hAnsi="Calibri"/>
          <w:color w:val="000000"/>
          <w:sz w:val="20"/>
        </w:rPr>
        <w:t xml:space="preserve">What it addresses: Systematic offset</w:t>
      </w:r>
    </w:p>
    <w:p>
      <w:pPr>
        <w:spacing w:before="0" w:after="50" w:line="250" w:lineRule="auto"/>
      </w:pPr>
      <w:r>
        <w:rPr>
          <w:rFonts w:ascii="Calibri" w:hAnsi="Calibri"/>
          <w:color w:val="000000"/>
          <w:sz w:val="20"/>
        </w:rPr>
        <w:t xml:space="preserve">What it does not establish alone: Acceptable spread for individual cases.</w:t>
      </w:r>
    </w:p>
    <w:p>
      <w:pPr>
        <w:spacing w:before="0" w:after="50" w:line="250" w:lineRule="auto"/>
      </w:pPr>
      <w:r>
        <w:rPr>
          <w:rFonts w:ascii="Calibri" w:hAnsi="Calibri"/>
          <w:color w:val="000000"/>
          <w:sz w:val="20"/>
        </w:rPr>
        <w:t xml:space="preserve">Analysis: Absolute error</w:t>
      </w:r>
    </w:p>
    <w:p>
      <w:pPr>
        <w:spacing w:before="0" w:after="50" w:line="250" w:lineRule="auto"/>
      </w:pPr>
      <w:r>
        <w:rPr>
          <w:rFonts w:ascii="Calibri" w:hAnsi="Calibri"/>
          <w:color w:val="000000"/>
          <w:sz w:val="20"/>
        </w:rPr>
        <w:t xml:space="preserve">What it addresses: Magnitude of disagreement</w:t>
      </w:r>
    </w:p>
    <w:p>
      <w:pPr>
        <w:spacing w:before="0" w:after="50" w:line="250" w:lineRule="auto"/>
      </w:pPr>
      <w:r>
        <w:rPr>
          <w:rFonts w:ascii="Calibri" w:hAnsi="Calibri"/>
          <w:color w:val="000000"/>
          <w:sz w:val="20"/>
        </w:rPr>
        <w:t xml:space="preserve">What it does not establish alone: Direction or cause of bias.</w:t>
      </w:r>
    </w:p>
    <w:p>
      <w:pPr>
        <w:spacing w:before="0" w:after="50" w:line="250" w:lineRule="auto"/>
      </w:pPr>
      <w:r>
        <w:rPr>
          <w:rFonts w:ascii="Calibri" w:hAnsi="Calibri"/>
          <w:color w:val="000000"/>
          <w:sz w:val="20"/>
        </w:rPr>
        <w:t xml:space="preserve">Analysis: Difference plot</w:t>
      </w:r>
    </w:p>
    <w:p>
      <w:pPr>
        <w:spacing w:before="0" w:after="50" w:line="250" w:lineRule="auto"/>
      </w:pPr>
      <w:r>
        <w:rPr>
          <w:rFonts w:ascii="Calibri" w:hAnsi="Calibri"/>
          <w:color w:val="000000"/>
          <w:sz w:val="20"/>
        </w:rPr>
        <w:t xml:space="preserve">What it addresses: Range-dependent patterns</w:t>
      </w:r>
    </w:p>
    <w:p>
      <w:pPr>
        <w:spacing w:before="0" w:after="50" w:line="250" w:lineRule="auto"/>
      </w:pPr>
      <w:r>
        <w:rPr>
          <w:rFonts w:ascii="Calibri" w:hAnsi="Calibri"/>
          <w:color w:val="000000"/>
          <w:sz w:val="20"/>
        </w:rPr>
        <w:t xml:space="preserve">What it does not establish alone: Clinical acceptability without criteria.</w:t>
      </w:r>
    </w:p>
    <w:p>
      <w:pPr>
        <w:spacing w:before="0" w:after="50" w:line="250" w:lineRule="auto"/>
      </w:pPr>
      <w:r>
        <w:rPr>
          <w:rFonts w:ascii="Calibri" w:hAnsi="Calibri"/>
          <w:color w:val="000000"/>
          <w:sz w:val="20"/>
        </w:rPr>
        <w:t xml:space="preserve">Analysis: Repeatability</w:t>
      </w:r>
    </w:p>
    <w:p>
      <w:pPr>
        <w:spacing w:before="0" w:after="50" w:line="250" w:lineRule="auto"/>
      </w:pPr>
      <w:r>
        <w:rPr>
          <w:rFonts w:ascii="Calibri" w:hAnsi="Calibri"/>
          <w:color w:val="000000"/>
          <w:sz w:val="20"/>
        </w:rPr>
        <w:t xml:space="preserve">What it addresses: Consistency under specified conditions</w:t>
      </w:r>
    </w:p>
    <w:p>
      <w:pPr>
        <w:spacing w:before="0" w:after="50" w:line="250" w:lineRule="auto"/>
      </w:pPr>
      <w:r>
        <w:rPr>
          <w:rFonts w:ascii="Calibri" w:hAnsi="Calibri"/>
          <w:color w:val="000000"/>
          <w:sz w:val="20"/>
        </w:rPr>
        <w:t xml:space="preserve">What it does not establish alone: Accuracy against an independent reference.</w:t>
      </w:r>
    </w:p>
    <w:p>
      <w:pPr>
        <w:spacing w:before="0" w:after="50" w:line="250" w:lineRule="auto"/>
      </w:pPr>
      <w:r>
        <w:rPr>
          <w:rFonts w:ascii="Calibri" w:hAnsi="Calibri"/>
          <w:color w:val="000000"/>
          <w:sz w:val="20"/>
        </w:rPr>
        <w:t xml:space="preserve">Analysis: Uncertainty budget</w:t>
      </w:r>
    </w:p>
    <w:p>
      <w:pPr>
        <w:spacing w:before="0" w:after="50" w:line="250" w:lineRule="auto"/>
      </w:pPr>
      <w:r>
        <w:rPr>
          <w:rFonts w:ascii="Calibri" w:hAnsi="Calibri"/>
          <w:color w:val="000000"/>
          <w:sz w:val="20"/>
        </w:rPr>
        <w:t xml:space="preserve">What it addresses: Contributors to measurement doubt</w:t>
      </w:r>
    </w:p>
    <w:p>
      <w:pPr>
        <w:spacing w:before="0" w:after="50" w:line="250" w:lineRule="auto"/>
      </w:pPr>
      <w:r>
        <w:rPr>
          <w:rFonts w:ascii="Calibri" w:hAnsi="Calibri"/>
          <w:color w:val="000000"/>
          <w:sz w:val="20"/>
        </w:rPr>
        <w:t xml:space="preserve">What it does not establish alone: Biological validity of the interpretation.</w:t>
      </w:r>
    </w:p>
    <w:p>
      <w:pPr>
        <w:pStyle w:val="Heading3"/>
        <w:keepNext/>
        <w:keepLines/>
        <w:spacing w:before="240" w:after="120" w:line="269" w:lineRule="auto"/>
      </w:pPr>
      <w:r>
        <w:rPr>
          <w:color w:val="000000"/>
        </w:rPr>
        <w:t>Preserve reporting resolution</w:t>
      </w:r>
    </w:p>
    <w:p>
      <w:pPr>
        <w:pStyle w:val="Normal"/>
        <w:spacing w:before="0" w:after="50" w:line="250" w:lineRule="auto"/>
        <w:rPr/>
      </w:pPr>
      <w:r>
        <w:rPr>
          <w:rFonts w:ascii="Calibri" w:hAnsi="Calibri"/>
          <w:color w:val="000000"/>
          <w:sz w:val="20"/>
        </w:rPr>
        <w:t>Rounding can change comparisons near a decision boundary. The system should retain the original measured value and the rule governing its reported form. Analysis should distinguish raw measurement behavior from the effect of rounding and categorical interpretation.</w:t>
      </w:r>
    </w:p>
    <w:p>
      <w:pPr>
        <w:pStyle w:val="Normal"/>
        <w:spacing w:before="0" w:after="50" w:line="250" w:lineRule="auto"/>
        <w:rPr/>
      </w:pPr>
      <w:r>
        <w:rPr>
          <w:rFonts w:ascii="Calibri" w:hAnsi="Calibri"/>
          <w:color w:val="000000"/>
          <w:sz w:val="20"/>
        </w:rPr>
        <w:t>A suitable study should report confidence intervals and case counts for important subgroups. Pooled agreement may conceal a systematic problem in a smaller domain. The proposed product should restrict its qualified scope when evidence identifies such a limitation, rather than allowing a favorable overall average to override the unresolved subgroup result.</w:t>
      </w:r>
    </w:p>
    <w:p>
      <w:pPr>
        <w:pStyle w:val="Heading3"/>
        <w:keepNext/>
        <w:keepLines/>
        <w:spacing w:before="240" w:after="120" w:line="269" w:lineRule="auto"/>
      </w:pPr>
      <w:r>
        <w:rPr>
          <w:color w:val="000000"/>
        </w:rPr>
        <w:t>Categorical interpretation evaluation</w:t>
      </w:r>
    </w:p>
    <w:p>
      <w:pPr>
        <w:pStyle w:val="Normal"/>
        <w:keepNext/>
        <w:spacing w:before="0" w:after="50" w:line="250" w:lineRule="auto"/>
        <w:rPr/>
      </w:pPr>
      <w:r>
        <w:rPr>
          <w:rFonts w:ascii="Calibri" w:hAnsi="Calibri"/>
          <w:b/>
          <w:color w:val="000000"/>
          <w:sz w:val="20"/>
        </w:rPr>
        <w:t>Categorical agreement depends on the applicable interpretation rules</w:t>
      </w:r>
    </w:p>
    <w:p>
      <w:pPr>
        <w:pStyle w:val="Normal"/>
        <w:spacing w:before="0" w:after="50" w:line="250" w:lineRule="auto"/>
        <w:rPr/>
      </w:pPr>
      <w:r>
        <w:rPr>
          <w:rFonts w:ascii="Calibri" w:hAnsi="Calibri"/>
          <w:color w:val="000000"/>
          <w:sz w:val="20"/>
        </w:rPr>
        <w:t xml:space="preserve">Categorical evaluation compares the investigational and reference interpretations within a defined organism-antimicrobial-method domain. It should use the applicable rule version and retain the underlying measurements. The same diameter can lead to different interpretations when the method or standards context changes.  </w:t>
      </w:r>
    </w:p>
    <w:p>
      <w:pPr>
        <w:pStyle w:val="Heading3"/>
        <w:keepNext/>
        <w:keepLines/>
        <w:spacing w:before="240" w:after="120" w:line="269" w:lineRule="auto"/>
      </w:pPr>
      <w:r>
        <w:rPr>
          <w:color w:val="000000"/>
        </w:rPr>
        <w:t>Use correct denominators</w:t>
      </w:r>
    </w:p>
    <w:p>
      <w:pPr>
        <w:pStyle w:val="Normal"/>
        <w:spacing w:before="0" w:after="50" w:line="250" w:lineRule="auto"/>
        <w:rPr/>
      </w:pPr>
      <w:r>
        <w:rPr>
          <w:rFonts w:ascii="Calibri" w:hAnsi="Calibri"/>
          <w:color w:val="000000"/>
          <w:sz w:val="20"/>
        </w:rPr>
        <w:t>Categorical agreement is the proportion of evaluable paired results assigned the same category under the specified framework. For conventional error analyses, a very major error concerns an investigational susceptible result when the reference is resistant; its denominator is the relevant reference-resistant set. A major error concerns an investigational resistant result when the reference is susceptible, with the corresponding reference-susceptible denominator. Exact handling must follow the chosen evaluation framework.</w:t>
      </w:r>
    </w:p>
    <w:p>
      <w:pPr>
        <w:spacing w:before="0" w:after="50" w:line="250" w:lineRule="auto"/>
      </w:pPr>
      <w:r>
        <w:rPr>
          <w:rFonts w:ascii="Calibri" w:hAnsi="Calibri"/>
          <w:color w:val="000000"/>
          <w:sz w:val="20"/>
        </w:rPr>
        <w:t xml:space="preserve">Analysis requirement: Category framework</w:t>
      </w:r>
    </w:p>
    <w:p>
      <w:pPr>
        <w:spacing w:before="0" w:after="50" w:line="250" w:lineRule="auto"/>
      </w:pPr>
      <w:r>
        <w:rPr>
          <w:rFonts w:ascii="Calibri" w:hAnsi="Calibri"/>
          <w:color w:val="000000"/>
          <w:sz w:val="20"/>
        </w:rPr>
        <w:t xml:space="preserve">Proposed report: Standards body, version, method and applicable definitions.</w:t>
      </w:r>
    </w:p>
    <w:p>
      <w:pPr>
        <w:spacing w:before="0" w:after="50" w:line="250" w:lineRule="auto"/>
      </w:pPr>
      <w:r>
        <w:rPr>
          <w:rFonts w:ascii="Calibri" w:hAnsi="Calibri"/>
          <w:color w:val="000000"/>
          <w:sz w:val="20"/>
        </w:rPr>
        <w:t xml:space="preserve">Analysis requirement: Error class</w:t>
      </w:r>
    </w:p>
    <w:p>
      <w:pPr>
        <w:spacing w:before="0" w:after="50" w:line="250" w:lineRule="auto"/>
      </w:pPr>
      <w:r>
        <w:rPr>
          <w:rFonts w:ascii="Calibri" w:hAnsi="Calibri"/>
          <w:color w:val="000000"/>
          <w:sz w:val="20"/>
        </w:rPr>
        <w:t xml:space="preserve">Proposed report: Explicit direction of disagreement and denominator.</w:t>
      </w:r>
    </w:p>
    <w:p>
      <w:pPr>
        <w:spacing w:before="0" w:after="50" w:line="250" w:lineRule="auto"/>
      </w:pPr>
      <w:r>
        <w:rPr>
          <w:rFonts w:ascii="Calibri" w:hAnsi="Calibri"/>
          <w:color w:val="000000"/>
          <w:sz w:val="20"/>
        </w:rPr>
        <w:t xml:space="preserve">Analysis requirement: Boundary cases</w:t>
      </w:r>
    </w:p>
    <w:p>
      <w:pPr>
        <w:spacing w:before="0" w:after="50" w:line="250" w:lineRule="auto"/>
      </w:pPr>
      <w:r>
        <w:rPr>
          <w:rFonts w:ascii="Calibri" w:hAnsi="Calibri"/>
          <w:color w:val="000000"/>
          <w:sz w:val="20"/>
        </w:rPr>
        <w:t xml:space="preserve">Proposed report: Distribution near relevant interpretation thresholds.</w:t>
      </w:r>
    </w:p>
    <w:p>
      <w:pPr>
        <w:spacing w:before="0" w:after="50" w:line="250" w:lineRule="auto"/>
      </w:pPr>
      <w:r>
        <w:rPr>
          <w:rFonts w:ascii="Calibri" w:hAnsi="Calibri"/>
          <w:color w:val="000000"/>
          <w:sz w:val="20"/>
        </w:rPr>
        <w:t xml:space="preserve">Analysis requirement: Unavailable results</w:t>
      </w:r>
    </w:p>
    <w:p>
      <w:pPr>
        <w:spacing w:before="0" w:after="50" w:line="250" w:lineRule="auto"/>
      </w:pPr>
      <w:r>
        <w:rPr>
          <w:rFonts w:ascii="Calibri" w:hAnsi="Calibri"/>
          <w:color w:val="000000"/>
          <w:sz w:val="20"/>
        </w:rPr>
        <w:t xml:space="preserve">Proposed report: Separate failed, abstained and unsupported cases.</w:t>
      </w:r>
    </w:p>
    <w:p>
      <w:pPr>
        <w:spacing w:before="0" w:after="50" w:line="250" w:lineRule="auto"/>
      </w:pPr>
      <w:r>
        <w:rPr>
          <w:rFonts w:ascii="Calibri" w:hAnsi="Calibri"/>
          <w:color w:val="000000"/>
          <w:sz w:val="20"/>
        </w:rPr>
        <w:t xml:space="preserve">Analysis requirement: Uncertainty</w:t>
      </w:r>
    </w:p>
    <w:p>
      <w:pPr>
        <w:spacing w:before="0" w:after="50" w:line="250" w:lineRule="auto"/>
      </w:pPr>
      <w:r>
        <w:rPr>
          <w:rFonts w:ascii="Calibri" w:hAnsi="Calibri"/>
          <w:color w:val="000000"/>
          <w:sz w:val="20"/>
        </w:rPr>
        <w:t xml:space="preserve">Proposed report: Confidence intervals appropriate to the sample and grouping.</w:t>
      </w:r>
    </w:p>
    <w:p>
      <w:pPr>
        <w:pStyle w:val="Heading3"/>
        <w:keepNext/>
        <w:keepLines/>
        <w:spacing w:before="240" w:after="120" w:line="269" w:lineRule="auto"/>
      </w:pPr>
      <w:r>
        <w:rPr>
          <w:color w:val="000000"/>
        </w:rPr>
        <w:t>Do not merge unlike category meanings</w:t>
      </w:r>
    </w:p>
    <w:p>
      <w:pPr>
        <w:pStyle w:val="Normal"/>
        <w:spacing w:before="0" w:after="50" w:line="250" w:lineRule="auto"/>
        <w:rPr/>
      </w:pPr>
      <w:r>
        <w:rPr>
          <w:rFonts w:ascii="Calibri" w:hAnsi="Calibri"/>
          <w:color w:val="000000"/>
          <w:sz w:val="20"/>
        </w:rPr>
        <w:t>EUCAST's I category denotes susceptibility with increased exposure; it should not be casually equated with another framework's intermediate category. The system should preserve the source vocabulary and any approved mapping rather than translating categories through a generic three-letter lookup.</w:t>
      </w:r>
    </w:p>
    <w:p>
      <w:pPr>
        <w:pStyle w:val="Normal"/>
        <w:spacing w:before="0" w:after="50" w:line="250" w:lineRule="auto"/>
        <w:rPr/>
      </w:pPr>
      <w:r>
        <w:rPr>
          <w:rFonts w:ascii="Calibri" w:hAnsi="Calibri"/>
          <w:color w:val="000000"/>
          <w:sz w:val="20"/>
        </w:rPr>
        <w:t>The proposed evaluation should report measurement and interpretation errors separately where possible. A correct numerical measurement can still receive an incorrect category through a rule-mapping defect. Conversely, a measurement error may remain within the same category while exposing a weakness that matters near another threshold. Both patterns require investigation.</w:t>
      </w:r>
    </w:p>
    <w:p>
      <w:pPr>
        <w:pStyle w:val="Heading3"/>
        <w:keepNext/>
        <w:keepLines/>
        <w:spacing w:before="240" w:after="120" w:line="269" w:lineRule="auto"/>
      </w:pPr>
      <w:r>
        <w:rPr>
          <w:color w:val="000000"/>
        </w:rPr>
        <w:t>Evaluating rare and consequential errors</w:t>
      </w:r>
    </w:p>
    <w:p>
      <w:pPr>
        <w:pStyle w:val="Normal"/>
        <w:keepNext/>
        <w:spacing w:before="0" w:after="50" w:line="250" w:lineRule="auto"/>
        <w:rPr/>
      </w:pPr>
      <w:r>
        <w:rPr>
          <w:rFonts w:ascii="Calibri" w:hAnsi="Calibri"/>
          <w:b/>
          <w:color w:val="000000"/>
          <w:sz w:val="20"/>
        </w:rPr>
        <w:t>Zero observed errors do not establish a zero error rate</w:t>
      </w:r>
    </w:p>
    <w:p>
      <w:pPr>
        <w:pStyle w:val="Normal"/>
        <w:spacing w:before="0" w:after="50" w:line="250" w:lineRule="auto"/>
        <w:rPr/>
      </w:pPr>
      <w:r>
        <w:rPr>
          <w:rFonts w:ascii="Calibri" w:hAnsi="Calibri"/>
          <w:color w:val="000000"/>
          <w:sz w:val="20"/>
        </w:rPr>
        <w:t>Rare consequential errors require deliberate statistical planning. If n independent eligible cases produce zero errors, an exact one-sided 95% binomial upper bound for the underlying error probability is 1 − 0.05^(1/n). This is a mathematical illustration under independent, identically distributed Bernoulli assumptions, not a product performance result.</w:t>
      </w:r>
    </w:p>
    <w:p>
      <w:pPr>
        <w:spacing w:before="0" w:after="50" w:line="250" w:lineRule="auto"/>
      </w:pPr>
      <w:r>
        <w:rPr>
          <w:rFonts w:ascii="Calibri" w:hAnsi="Calibri"/>
          <w:color w:val="000000"/>
          <w:sz w:val="20"/>
        </w:rPr>
        <w:t xml:space="preserve">Illustrative error-free sample: 100 independent relevant cases</w:t>
      </w:r>
    </w:p>
    <w:p>
      <w:pPr>
        <w:spacing w:before="0" w:after="50" w:line="250" w:lineRule="auto"/>
      </w:pPr>
      <w:r>
        <w:rPr>
          <w:rFonts w:ascii="Calibri" w:hAnsi="Calibri"/>
          <w:color w:val="000000"/>
          <w:sz w:val="20"/>
        </w:rPr>
        <w:t xml:space="preserve">One-sided 95% upper bound, approximately: 2.95%</w:t>
      </w:r>
    </w:p>
    <w:p>
      <w:pPr>
        <w:spacing w:before="0" w:after="50" w:line="250" w:lineRule="auto"/>
      </w:pPr>
      <w:r>
        <w:rPr>
          <w:rFonts w:ascii="Calibri" w:hAnsi="Calibri"/>
          <w:color w:val="000000"/>
          <w:sz w:val="20"/>
        </w:rPr>
        <w:t xml:space="preserve">Illustrative error-free sample: 300 independent relevant cases</w:t>
      </w:r>
    </w:p>
    <w:p>
      <w:pPr>
        <w:spacing w:before="0" w:after="50" w:line="250" w:lineRule="auto"/>
      </w:pPr>
      <w:r>
        <w:rPr>
          <w:rFonts w:ascii="Calibri" w:hAnsi="Calibri"/>
          <w:color w:val="000000"/>
          <w:sz w:val="20"/>
        </w:rPr>
        <w:t xml:space="preserve">One-sided 95% upper bound, approximately: 0.994%</w:t>
      </w:r>
    </w:p>
    <w:p>
      <w:pPr>
        <w:spacing w:before="0" w:after="50" w:line="250" w:lineRule="auto"/>
      </w:pPr>
      <w:r>
        <w:rPr>
          <w:rFonts w:ascii="Calibri" w:hAnsi="Calibri"/>
          <w:color w:val="000000"/>
          <w:sz w:val="20"/>
        </w:rPr>
        <w:t xml:space="preserve">Illustrative error-free sample: 1,000 independent relevant cases</w:t>
      </w:r>
    </w:p>
    <w:p>
      <w:pPr>
        <w:spacing w:before="0" w:after="50" w:line="250" w:lineRule="auto"/>
      </w:pPr>
      <w:r>
        <w:rPr>
          <w:rFonts w:ascii="Calibri" w:hAnsi="Calibri"/>
          <w:color w:val="000000"/>
          <w:sz w:val="20"/>
        </w:rPr>
        <w:t xml:space="preserve">One-sided 95% upper bound, approximately: 0.299%</w:t>
      </w:r>
    </w:p>
    <w:p>
      <w:pPr>
        <w:pStyle w:val="Heading3"/>
        <w:keepNext/>
        <w:keepLines/>
        <w:spacing w:before="240" w:after="120" w:line="269" w:lineRule="auto"/>
      </w:pPr>
      <w:r>
        <w:rPr>
          <w:color w:val="000000"/>
        </w:rPr>
        <w:t>Plan the relevant denominator</w:t>
      </w:r>
    </w:p>
    <w:p>
      <w:pPr>
        <w:pStyle w:val="Normal"/>
        <w:spacing w:before="0" w:after="50" w:line="250" w:lineRule="auto"/>
        <w:rPr/>
      </w:pPr>
      <w:r>
        <w:rPr>
          <w:rFonts w:ascii="Calibri" w:hAnsi="Calibri"/>
          <w:color w:val="000000"/>
          <w:sz w:val="20"/>
        </w:rPr>
        <w:t>For a particular error class, the relevant sample may be only the reference-resistant or reference-susceptible subset, not every test in the study. Multiple drug results from one isolate may also be dependent. The analysis should reflect that structure rather than treating every output as an independent opportunity to demonstrate safety.</w:t>
      </w:r>
    </w:p>
    <w:p>
      <w:pPr>
        <w:pStyle w:val="Normal"/>
        <w:spacing w:before="0" w:after="50" w:line="250" w:lineRule="auto"/>
        <w:rPr/>
      </w:pPr>
      <w:r>
        <w:rPr>
          <w:rFonts w:ascii="Calibri" w:hAnsi="Calibri"/>
          <w:color w:val="000000"/>
          <w:sz w:val="20"/>
        </w:rPr>
        <w:t>The zero-error ambition is translated into engineering requirements: prevent known failure sequences, detect disagreement, abstain when evidence is inadequate and recover without inventing data. Each control needs measurable performance, including false alarms and missed failures. Multiple sensors cannot guarantee zero error because common causes can make them agree incorrectly.</w:t>
      </w:r>
    </w:p>
    <w:p>
      <w:pPr>
        <w:pStyle w:val="Heading3"/>
        <w:keepNext/>
        <w:keepLines/>
        <w:spacing w:before="240" w:after="120" w:line="269" w:lineRule="auto"/>
      </w:pPr>
      <w:r>
        <w:rPr>
          <w:color w:val="000000"/>
        </w:rPr>
        <w:t>Interpret the evidence conservatively</w:t>
      </w:r>
    </w:p>
    <w:p>
      <w:pPr>
        <w:pStyle w:val="Normal"/>
        <w:spacing w:before="0" w:after="50" w:line="250" w:lineRule="auto"/>
        <w:rPr/>
      </w:pPr>
      <w:r>
        <w:rPr>
          <w:rFonts w:ascii="Calibri" w:hAnsi="Calibri"/>
          <w:color w:val="000000"/>
          <w:sz w:val="20"/>
        </w:rPr>
        <w:t>An enriched challenge collection can help investigate rare failure modes, while a representative workflow study helps estimate operational coverage. These designs answer different questions. A credible claim should state the assessed error class, domain, denominator and confidence interval. The absence of an observed error is encouraging evidence within that study, not proof that an error is impossible.</w:t>
      </w:r>
    </w:p>
    <w:p>
      <w:pPr>
        <w:pStyle w:val="Heading3"/>
        <w:keepNext/>
        <w:keepLines/>
        <w:spacing w:before="240" w:after="120" w:line="269" w:lineRule="auto"/>
      </w:pPr>
      <w:r>
        <w:rPr>
          <w:color w:val="000000"/>
        </w:rPr>
        <w:t>Abstention and coverage evaluation</w:t>
      </w:r>
    </w:p>
    <w:p>
      <w:pPr>
        <w:pStyle w:val="Normal"/>
        <w:keepNext/>
        <w:spacing w:before="0" w:after="50" w:line="250" w:lineRule="auto"/>
        <w:rPr/>
      </w:pPr>
      <w:r>
        <w:rPr>
          <w:rFonts w:ascii="Calibri" w:hAnsi="Calibri"/>
          <w:b/>
          <w:color w:val="000000"/>
          <w:sz w:val="20"/>
        </w:rPr>
        <w:t>Abstention is useful only when its cost and coverage are visible</w:t>
      </w:r>
    </w:p>
    <w:p>
      <w:pPr>
        <w:pStyle w:val="Normal"/>
        <w:spacing w:before="0" w:after="50" w:line="250" w:lineRule="auto"/>
        <w:rPr/>
      </w:pPr>
      <w:r>
        <w:rPr>
          <w:rFonts w:ascii="Calibri" w:hAnsi="Calibri"/>
          <w:color w:val="000000"/>
          <w:sz w:val="20"/>
        </w:rPr>
        <w:t>An abstaining system declines to produce an eligible result when evidence is insufficient. This can reduce unsafe outputs, but a model can achieve a low accepted-case error rate by rejecting most difficult cases. Evaluation must therefore report both accuracy among accepted cases and the proportion of the intended workload that receives a result.</w:t>
      </w:r>
    </w:p>
    <w:p>
      <w:pPr>
        <w:pStyle w:val="Heading3"/>
        <w:keepNext/>
        <w:keepLines/>
        <w:spacing w:before="240" w:after="120" w:line="269" w:lineRule="auto"/>
      </w:pPr>
      <w:r>
        <w:rPr>
          <w:color w:val="000000"/>
        </w:rPr>
        <w:t>Proposed selective-performance report</w:t>
      </w:r>
    </w:p>
    <w:p>
      <w:pPr>
        <w:pStyle w:val="Normal"/>
        <w:spacing w:before="0" w:after="50" w:line="250" w:lineRule="auto"/>
        <w:rPr/>
      </w:pPr>
      <w:r>
        <w:rPr>
          <w:rFonts w:ascii="Calibri" w:hAnsi="Calibri"/>
          <w:color w:val="000000"/>
          <w:sz w:val="20"/>
        </w:rPr>
        <w:t>The study should define eligibility independently of model confidence, then account for every eligible case. Reasons for abstention should be meaningful, such as unreadable image, identity uncertainty, unsupported domain or sensor disagreement. A generic failure category can conceal distinct problems requiring different remedies.</w:t>
      </w:r>
    </w:p>
    <w:p>
      <w:pPr>
        <w:spacing w:before="0" w:after="50" w:line="250" w:lineRule="auto"/>
      </w:pPr>
      <w:r>
        <w:rPr>
          <w:rFonts w:ascii="Calibri" w:hAnsi="Calibri"/>
          <w:color w:val="000000"/>
          <w:sz w:val="20"/>
        </w:rPr>
        <w:t xml:space="preserve">Metric: Coverage</w:t>
      </w:r>
    </w:p>
    <w:p>
      <w:pPr>
        <w:spacing w:before="0" w:after="50" w:line="250" w:lineRule="auto"/>
      </w:pPr>
      <w:r>
        <w:rPr>
          <w:rFonts w:ascii="Calibri" w:hAnsi="Calibri"/>
          <w:color w:val="000000"/>
          <w:sz w:val="20"/>
        </w:rPr>
        <w:t xml:space="preserve">Meaning: Accepted results divided by all eligible cases.</w:t>
      </w:r>
    </w:p>
    <w:p>
      <w:pPr>
        <w:spacing w:before="0" w:after="50" w:line="250" w:lineRule="auto"/>
      </w:pPr>
      <w:r>
        <w:rPr>
          <w:rFonts w:ascii="Calibri" w:hAnsi="Calibri"/>
          <w:color w:val="000000"/>
          <w:sz w:val="20"/>
        </w:rPr>
        <w:t xml:space="preserve">Metric: Accepted-case error</w:t>
      </w:r>
    </w:p>
    <w:p>
      <w:pPr>
        <w:spacing w:before="0" w:after="50" w:line="250" w:lineRule="auto"/>
      </w:pPr>
      <w:r>
        <w:rPr>
          <w:rFonts w:ascii="Calibri" w:hAnsi="Calibri"/>
          <w:color w:val="000000"/>
          <w:sz w:val="20"/>
        </w:rPr>
        <w:t xml:space="preserve">Meaning: Errors among outputs the system allowed to proceed.</w:t>
      </w:r>
    </w:p>
    <w:p>
      <w:pPr>
        <w:spacing w:before="0" w:after="50" w:line="250" w:lineRule="auto"/>
      </w:pPr>
      <w:r>
        <w:rPr>
          <w:rFonts w:ascii="Calibri" w:hAnsi="Calibri"/>
          <w:color w:val="000000"/>
          <w:sz w:val="20"/>
        </w:rPr>
        <w:t xml:space="preserve">Metric: False rejection</w:t>
      </w:r>
    </w:p>
    <w:p>
      <w:pPr>
        <w:spacing w:before="0" w:after="50" w:line="250" w:lineRule="auto"/>
      </w:pPr>
      <w:r>
        <w:rPr>
          <w:rFonts w:ascii="Calibri" w:hAnsi="Calibri"/>
          <w:color w:val="000000"/>
          <w:sz w:val="20"/>
        </w:rPr>
        <w:t xml:space="preserve">Meaning: Cases unnecessarily deferred under the defined reference assessment.</w:t>
      </w:r>
    </w:p>
    <w:p>
      <w:pPr>
        <w:spacing w:before="0" w:after="50" w:line="250" w:lineRule="auto"/>
      </w:pPr>
      <w:r>
        <w:rPr>
          <w:rFonts w:ascii="Calibri" w:hAnsi="Calibri"/>
          <w:color w:val="000000"/>
          <w:sz w:val="20"/>
        </w:rPr>
        <w:t xml:space="preserve">Metric: Repeat burden</w:t>
      </w:r>
    </w:p>
    <w:p>
      <w:pPr>
        <w:spacing w:before="0" w:after="50" w:line="250" w:lineRule="auto"/>
      </w:pPr>
      <w:r>
        <w:rPr>
          <w:rFonts w:ascii="Calibri" w:hAnsi="Calibri"/>
          <w:color w:val="000000"/>
          <w:sz w:val="20"/>
        </w:rPr>
        <w:t xml:space="preserve">Meaning: Additional captures, assays or review caused by abstention.</w:t>
      </w:r>
    </w:p>
    <w:p>
      <w:pPr>
        <w:spacing w:before="0" w:after="50" w:line="250" w:lineRule="auto"/>
      </w:pPr>
      <w:r>
        <w:rPr>
          <w:rFonts w:ascii="Calibri" w:hAnsi="Calibri"/>
          <w:color w:val="000000"/>
          <w:sz w:val="20"/>
        </w:rPr>
        <w:t xml:space="preserve">Metric: Recovery success</w:t>
      </w:r>
    </w:p>
    <w:p>
      <w:pPr>
        <w:spacing w:before="0" w:after="50" w:line="250" w:lineRule="auto"/>
      </w:pPr>
      <w:r>
        <w:rPr>
          <w:rFonts w:ascii="Calibri" w:hAnsi="Calibri"/>
          <w:color w:val="000000"/>
          <w:sz w:val="20"/>
        </w:rPr>
        <w:t xml:space="preserve">Meaning: Deferred cases resolved through an eligible follow-up path.</w:t>
      </w:r>
    </w:p>
    <w:p>
      <w:pPr>
        <w:pStyle w:val="Heading3"/>
        <w:keepNext/>
        <w:keepLines/>
        <w:spacing w:before="240" w:after="120" w:line="269" w:lineRule="auto"/>
      </w:pPr>
      <w:r>
        <w:rPr>
          <w:color w:val="000000"/>
        </w:rPr>
        <w:t>Test thresholds on independent data</w:t>
      </w:r>
    </w:p>
    <w:p>
      <w:pPr>
        <w:pStyle w:val="Normal"/>
        <w:spacing w:before="0" w:after="50" w:line="250" w:lineRule="auto"/>
        <w:rPr/>
      </w:pPr>
      <w:r>
        <w:rPr>
          <w:rFonts w:ascii="Calibri" w:hAnsi="Calibri"/>
          <w:color w:val="000000"/>
          <w:sz w:val="20"/>
        </w:rPr>
        <w:t>Confidence thresholds should be selected using permitted development data and evaluated after being fixed. Reporting the most favorable threshold from the final test set would bias the result. Performance should also be stratified by site, organism and relevant difficult conditions.</w:t>
      </w:r>
    </w:p>
    <w:p>
      <w:pPr>
        <w:pStyle w:val="Normal"/>
        <w:spacing w:before="0" w:after="50" w:line="250" w:lineRule="auto"/>
        <w:rPr/>
      </w:pPr>
      <w:r>
        <w:rPr>
          <w:rFonts w:ascii="Calibri" w:hAnsi="Calibri"/>
          <w:color w:val="000000"/>
          <w:sz w:val="20"/>
        </w:rPr>
        <w:t>The proposed interface should offer a useful next step without disguising abstention as a negative result. “Unavailable because the boundary is unreadable” has different meaning from a measured diameter. A receiving system must preserve this distinction so that an abstained case is not accidentally converted into zero, susceptible or normal during export.</w:t>
      </w:r>
    </w:p>
    <w:p>
      <w:pPr>
        <w:pStyle w:val="Heading3"/>
        <w:keepNext/>
        <w:keepLines/>
        <w:spacing w:before="240" w:after="120" w:line="269" w:lineRule="auto"/>
      </w:pPr>
      <w:r>
        <w:rPr>
          <w:color w:val="000000"/>
        </w:rPr>
        <w:t>Robustness to imaging disturbances</w:t>
      </w:r>
    </w:p>
    <w:p>
      <w:pPr>
        <w:pStyle w:val="Normal"/>
        <w:keepNext/>
        <w:spacing w:before="0" w:after="50" w:line="250" w:lineRule="auto"/>
        <w:rPr/>
      </w:pPr>
      <w:r>
        <w:rPr>
          <w:rFonts w:ascii="Calibri" w:hAnsi="Calibri"/>
          <w:b/>
          <w:color w:val="000000"/>
          <w:sz w:val="20"/>
        </w:rPr>
        <w:t>Robustness testing should reproduce meaningful disturbances</w:t>
      </w:r>
    </w:p>
    <w:p>
      <w:pPr>
        <w:pStyle w:val="Normal"/>
        <w:spacing w:before="0" w:after="50" w:line="250" w:lineRule="auto"/>
        <w:rPr/>
      </w:pPr>
      <w:r>
        <w:rPr>
          <w:rFonts w:ascii="Calibri" w:hAnsi="Calibri"/>
          <w:color w:val="000000"/>
          <w:sz w:val="20"/>
        </w:rPr>
        <w:t>The imaging system should be challenged with disturbances expected within or near its operating limits. Relevant factors include glare, condensation, exposure variation, blur, plate pose, label occlusion, background changes and vessel variation. Tests should assess both measurement degradation and the ability to recognize an unsupported image.</w:t>
      </w:r>
    </w:p>
    <w:p>
      <w:pPr>
        <w:pStyle w:val="Heading3"/>
        <w:keepNext/>
        <w:keepLines/>
        <w:spacing w:before="240" w:after="120" w:line="269" w:lineRule="auto"/>
      </w:pPr>
      <w:r>
        <w:rPr>
          <w:color w:val="000000"/>
        </w:rPr>
        <w:t>Separate tolerance from detection</w:t>
      </w:r>
    </w:p>
    <w:p>
      <w:pPr>
        <w:pStyle w:val="Normal"/>
        <w:spacing w:before="0" w:after="50" w:line="250" w:lineRule="auto"/>
        <w:rPr/>
      </w:pPr>
      <w:r>
        <w:rPr>
          <w:rFonts w:ascii="Calibri" w:hAnsi="Calibri"/>
          <w:color w:val="000000"/>
          <w:sz w:val="20"/>
        </w:rPr>
        <w:t>Some disturbances may be small enough for qualified measurement to continue. Others should trigger abstention. The study should establish the boundary between these states and verify that the quality check recognizes it. A system that remains numerically stable on a visually corrupted image may be confidently wrong.</w:t>
      </w:r>
    </w:p>
    <w:p>
      <w:pPr>
        <w:spacing w:before="0" w:after="50" w:line="250" w:lineRule="auto"/>
      </w:pPr>
      <w:r>
        <w:rPr>
          <w:rFonts w:ascii="Calibri" w:hAnsi="Calibri"/>
          <w:color w:val="000000"/>
          <w:sz w:val="20"/>
        </w:rPr>
        <w:t xml:space="preserve">Disturbance: Illumination change</w:t>
      </w:r>
    </w:p>
    <w:p>
      <w:pPr>
        <w:spacing w:before="0" w:after="50" w:line="250" w:lineRule="auto"/>
      </w:pPr>
      <w:r>
        <w:rPr>
          <w:rFonts w:ascii="Calibri" w:hAnsi="Calibri"/>
          <w:color w:val="000000"/>
          <w:sz w:val="20"/>
        </w:rPr>
        <w:t xml:space="preserve">Proposed evaluation: Bias, contrast and quality-check response.</w:t>
      </w:r>
    </w:p>
    <w:p>
      <w:pPr>
        <w:spacing w:before="0" w:after="50" w:line="250" w:lineRule="auto"/>
      </w:pPr>
      <w:r>
        <w:rPr>
          <w:rFonts w:ascii="Calibri" w:hAnsi="Calibri"/>
          <w:color w:val="000000"/>
          <w:sz w:val="20"/>
        </w:rPr>
        <w:t xml:space="preserve">Disturbance: Focus degradation</w:t>
      </w:r>
    </w:p>
    <w:p>
      <w:pPr>
        <w:spacing w:before="0" w:after="50" w:line="250" w:lineRule="auto"/>
      </w:pPr>
      <w:r>
        <w:rPr>
          <w:rFonts w:ascii="Calibri" w:hAnsi="Calibri"/>
          <w:color w:val="000000"/>
          <w:sz w:val="20"/>
        </w:rPr>
        <w:t xml:space="preserve">Proposed evaluation: Boundary error and false acceptance.</w:t>
      </w:r>
    </w:p>
    <w:p>
      <w:pPr>
        <w:spacing w:before="0" w:after="50" w:line="250" w:lineRule="auto"/>
      </w:pPr>
      <w:r>
        <w:rPr>
          <w:rFonts w:ascii="Calibri" w:hAnsi="Calibri"/>
          <w:color w:val="000000"/>
          <w:sz w:val="20"/>
        </w:rPr>
        <w:t xml:space="preserve">Disturbance: Pose or height variation</w:t>
      </w:r>
    </w:p>
    <w:p>
      <w:pPr>
        <w:spacing w:before="0" w:after="50" w:line="250" w:lineRule="auto"/>
      </w:pPr>
      <w:r>
        <w:rPr>
          <w:rFonts w:ascii="Calibri" w:hAnsi="Calibri"/>
          <w:color w:val="000000"/>
          <w:sz w:val="20"/>
        </w:rPr>
        <w:t xml:space="preserve">Proposed evaluation: Scale and distortion effects within the permitted range.</w:t>
      </w:r>
    </w:p>
    <w:p>
      <w:pPr>
        <w:spacing w:before="0" w:after="50" w:line="250" w:lineRule="auto"/>
      </w:pPr>
      <w:r>
        <w:rPr>
          <w:rFonts w:ascii="Calibri" w:hAnsi="Calibri"/>
          <w:color w:val="000000"/>
          <w:sz w:val="20"/>
        </w:rPr>
        <w:t xml:space="preserve">Disturbance: Glare or condensation</w:t>
      </w:r>
    </w:p>
    <w:p>
      <w:pPr>
        <w:spacing w:before="0" w:after="50" w:line="250" w:lineRule="auto"/>
      </w:pPr>
      <w:r>
        <w:rPr>
          <w:rFonts w:ascii="Calibri" w:hAnsi="Calibri"/>
          <w:color w:val="000000"/>
          <w:sz w:val="20"/>
        </w:rPr>
        <w:t xml:space="preserve">Proposed evaluation: Local feature loss and detection of unreadable regions.</w:t>
      </w:r>
    </w:p>
    <w:p>
      <w:pPr>
        <w:spacing w:before="0" w:after="50" w:line="250" w:lineRule="auto"/>
      </w:pPr>
      <w:r>
        <w:rPr>
          <w:rFonts w:ascii="Calibri" w:hAnsi="Calibri"/>
          <w:color w:val="000000"/>
          <w:sz w:val="20"/>
        </w:rPr>
        <w:t xml:space="preserve">Disturbance: Occlusion</w:t>
      </w:r>
    </w:p>
    <w:p>
      <w:pPr>
        <w:spacing w:before="0" w:after="50" w:line="250" w:lineRule="auto"/>
      </w:pPr>
      <w:r>
        <w:rPr>
          <w:rFonts w:ascii="Calibri" w:hAnsi="Calibri"/>
          <w:color w:val="000000"/>
          <w:sz w:val="20"/>
        </w:rPr>
        <w:t xml:space="preserve">Proposed evaluation: Missing disks, labels or boundaries and appropriate workflow status.</w:t>
      </w:r>
    </w:p>
    <w:p>
      <w:pPr>
        <w:pStyle w:val="Heading3"/>
        <w:keepNext/>
        <w:keepLines/>
        <w:spacing w:before="240" w:after="120" w:line="269" w:lineRule="auto"/>
      </w:pPr>
      <w:r>
        <w:rPr>
          <w:color w:val="000000"/>
        </w:rPr>
        <w:t>Use physical and synthetic challenges appropriately</w:t>
      </w:r>
    </w:p>
    <w:p>
      <w:pPr>
        <w:pStyle w:val="Normal"/>
        <w:spacing w:before="0" w:after="50" w:line="250" w:lineRule="auto"/>
        <w:rPr/>
      </w:pPr>
      <w:r>
        <w:rPr>
          <w:rFonts w:ascii="Calibri" w:hAnsi="Calibri"/>
          <w:color w:val="000000"/>
          <w:sz w:val="20"/>
        </w:rPr>
        <w:t>Synthetic perturbations can isolate a software property, while physical tests reveal interactions among optics, material and environment. A simulated blur filter may not reproduce all effects of an actual focus change. Both forms of evidence should state their scope.</w:t>
      </w:r>
    </w:p>
    <w:p>
      <w:pPr>
        <w:pStyle w:val="Normal"/>
        <w:spacing w:before="0" w:after="50" w:line="250" w:lineRule="auto"/>
        <w:rPr/>
      </w:pPr>
      <w:r>
        <w:rPr>
          <w:rFonts w:ascii="Calibri" w:hAnsi="Calibri"/>
          <w:color w:val="000000"/>
          <w:sz w:val="20"/>
        </w:rPr>
        <w:t>The proposed report should identify the disturbance level, affected area and reference behavior. Combined disturbances deserve attention because several mild effects can jointly invalidate a measurement. Recovery tests should verify that a successful recapture produces a new linked observation and that the original failed image remains available for investigation.</w:t>
      </w:r>
    </w:p>
    <w:p>
      <w:pPr>
        <w:pStyle w:val="Heading3"/>
        <w:keepNext/>
        <w:keepLines/>
        <w:spacing w:before="240" w:after="120" w:line="269" w:lineRule="auto"/>
      </w:pPr>
      <w:r>
        <w:rPr>
          <w:color w:val="000000"/>
        </w:rPr>
        <w:t>Sensor failure and common causes</w:t>
      </w:r>
    </w:p>
    <w:p>
      <w:pPr>
        <w:pStyle w:val="Normal"/>
        <w:keepNext/>
        <w:spacing w:before="0" w:after="50" w:line="250" w:lineRule="auto"/>
        <w:rPr/>
      </w:pPr>
      <w:r>
        <w:rPr>
          <w:rFonts w:ascii="Calibri" w:hAnsi="Calibri"/>
          <w:b/>
          <w:color w:val="000000"/>
          <w:sz w:val="20"/>
        </w:rPr>
        <w:t>Multiple sensors can share the same failure</w:t>
      </w:r>
    </w:p>
    <w:p>
      <w:pPr>
        <w:pStyle w:val="Normal"/>
        <w:spacing w:before="0" w:after="50" w:line="250" w:lineRule="auto"/>
        <w:rPr/>
      </w:pPr>
      <w:r>
        <w:rPr>
          <w:rFonts w:ascii="Calibri" w:hAnsi="Calibri"/>
          <w:color w:val="000000"/>
          <w:sz w:val="20"/>
        </w:rPr>
        <w:t>Multimodal sensing can improve error detection when channels provide complementary information. It can also create false agreement when several channels share a calibration error, clock fault, power disturbance or confounding environment. The proposed validation should test the independence assumed by the fusion method.</w:t>
      </w:r>
    </w:p>
    <w:p>
      <w:pPr>
        <w:pStyle w:val="Heading3"/>
        <w:keepNext/>
        <w:keepLines/>
        <w:spacing w:before="240" w:after="120" w:line="269" w:lineRule="auto"/>
      </w:pPr>
      <w:r>
        <w:rPr>
          <w:color w:val="000000"/>
        </w:rPr>
        <w:t>Build a common-cause map</w:t>
      </w:r>
    </w:p>
    <w:p>
      <w:pPr>
        <w:pStyle w:val="Normal"/>
        <w:spacing w:before="0" w:after="50" w:line="250" w:lineRule="auto"/>
        <w:rPr/>
      </w:pPr>
      <w:r>
        <w:rPr>
          <w:rFonts w:ascii="Calibri" w:hAnsi="Calibri"/>
          <w:color w:val="000000"/>
          <w:sz w:val="20"/>
        </w:rPr>
        <w:t>The engineering team should identify shared power, timing, mounting, calibration, preprocessing and environmental dependencies. A fault in one shared element may affect many apparently separate measurements. Voting across those measurements does not create independent confirmation.</w:t>
      </w:r>
    </w:p>
    <w:p>
      <w:pPr>
        <w:spacing w:before="0" w:after="50" w:line="250" w:lineRule="auto"/>
      </w:pPr>
      <w:r>
        <w:rPr>
          <w:rFonts w:ascii="Calibri" w:hAnsi="Calibri"/>
          <w:color w:val="000000"/>
          <w:sz w:val="20"/>
        </w:rPr>
        <w:t xml:space="preserve">Fault class: Single-channel failure</w:t>
      </w:r>
    </w:p>
    <w:p>
      <w:pPr>
        <w:spacing w:before="0" w:after="50" w:line="250" w:lineRule="auto"/>
      </w:pPr>
      <w:r>
        <w:rPr>
          <w:rFonts w:ascii="Calibri" w:hAnsi="Calibri"/>
          <w:color w:val="000000"/>
          <w:sz w:val="20"/>
        </w:rPr>
        <w:t xml:space="preserve">Proposed challenge: Stuck, missing, saturated or drifting signal.</w:t>
      </w:r>
    </w:p>
    <w:p>
      <w:pPr>
        <w:spacing w:before="0" w:after="50" w:line="250" w:lineRule="auto"/>
      </w:pPr>
      <w:r>
        <w:rPr>
          <w:rFonts w:ascii="Calibri" w:hAnsi="Calibri"/>
          <w:color w:val="000000"/>
          <w:sz w:val="20"/>
        </w:rPr>
        <w:t xml:space="preserve">Fault class: Shared timing error</w:t>
      </w:r>
    </w:p>
    <w:p>
      <w:pPr>
        <w:spacing w:before="0" w:after="50" w:line="250" w:lineRule="auto"/>
      </w:pPr>
      <w:r>
        <w:rPr>
          <w:rFonts w:ascii="Calibri" w:hAnsi="Calibri"/>
          <w:color w:val="000000"/>
          <w:sz w:val="20"/>
        </w:rPr>
        <w:t xml:space="preserve">Proposed challenge: Misaligned channels that remain individually plausible.</w:t>
      </w:r>
    </w:p>
    <w:p>
      <w:pPr>
        <w:spacing w:before="0" w:after="50" w:line="250" w:lineRule="auto"/>
      </w:pPr>
      <w:r>
        <w:rPr>
          <w:rFonts w:ascii="Calibri" w:hAnsi="Calibri"/>
          <w:color w:val="000000"/>
          <w:sz w:val="20"/>
        </w:rPr>
        <w:t xml:space="preserve">Fault class: Shared calibration defect</w:t>
      </w:r>
    </w:p>
    <w:p>
      <w:pPr>
        <w:spacing w:before="0" w:after="50" w:line="250" w:lineRule="auto"/>
      </w:pPr>
      <w:r>
        <w:rPr>
          <w:rFonts w:ascii="Calibri" w:hAnsi="Calibri"/>
          <w:color w:val="000000"/>
          <w:sz w:val="20"/>
        </w:rPr>
        <w:t xml:space="preserve">Proposed challenge: Consistent but incorrect values across linked observations.</w:t>
      </w:r>
    </w:p>
    <w:p>
      <w:pPr>
        <w:spacing w:before="0" w:after="50" w:line="250" w:lineRule="auto"/>
      </w:pPr>
      <w:r>
        <w:rPr>
          <w:rFonts w:ascii="Calibri" w:hAnsi="Calibri"/>
          <w:color w:val="000000"/>
          <w:sz w:val="20"/>
        </w:rPr>
        <w:t xml:space="preserve">Fault class: Environmental confounder</w:t>
      </w:r>
    </w:p>
    <w:p>
      <w:pPr>
        <w:spacing w:before="0" w:after="50" w:line="250" w:lineRule="auto"/>
      </w:pPr>
      <w:r>
        <w:rPr>
          <w:rFonts w:ascii="Calibri" w:hAnsi="Calibri"/>
          <w:color w:val="000000"/>
          <w:sz w:val="20"/>
        </w:rPr>
        <w:t xml:space="preserve">Proposed challenge: Multiple channels responding to a non-target change.</w:t>
      </w:r>
    </w:p>
    <w:p>
      <w:pPr>
        <w:spacing w:before="0" w:after="50" w:line="250" w:lineRule="auto"/>
      </w:pPr>
      <w:r>
        <w:rPr>
          <w:rFonts w:ascii="Calibri" w:hAnsi="Calibri"/>
          <w:color w:val="000000"/>
          <w:sz w:val="20"/>
        </w:rPr>
        <w:t xml:space="preserve">Fault class: Fusion failure</w:t>
      </w:r>
    </w:p>
    <w:p>
      <w:pPr>
        <w:spacing w:before="0" w:after="50" w:line="250" w:lineRule="auto"/>
      </w:pPr>
      <w:r>
        <w:rPr>
          <w:rFonts w:ascii="Calibri" w:hAnsi="Calibri"/>
          <w:color w:val="000000"/>
          <w:sz w:val="20"/>
        </w:rPr>
        <w:t xml:space="preserve">Proposed challenge: Overweighting a channel or narrowing uncertainty unjustifiably.</w:t>
      </w:r>
    </w:p>
    <w:p>
      <w:pPr>
        <w:pStyle w:val="Heading3"/>
        <w:keepNext/>
        <w:keepLines/>
        <w:spacing w:before="240" w:after="120" w:line="269" w:lineRule="auto"/>
      </w:pPr>
      <w:r>
        <w:rPr>
          <w:color w:val="000000"/>
        </w:rPr>
        <w:t>Evaluate the recovery decision</w:t>
      </w:r>
    </w:p>
    <w:p>
      <w:pPr>
        <w:pStyle w:val="Normal"/>
        <w:spacing w:before="0" w:after="50" w:line="250" w:lineRule="auto"/>
        <w:rPr/>
      </w:pPr>
      <w:r>
        <w:rPr>
          <w:rFonts w:ascii="Calibri" w:hAnsi="Calibri"/>
          <w:color w:val="000000"/>
          <w:sz w:val="20"/>
        </w:rPr>
        <w:t>Detection alone is insufficient. The system must choose an appropriate qualified fallback, request review or abstain. Excluding a faulty auxiliary sensor may be acceptable for one task and invalidate another. Reduced-input modes need separate evidence and explicit eligibility rules.</w:t>
      </w:r>
    </w:p>
    <w:p>
      <w:pPr>
        <w:pStyle w:val="Normal"/>
        <w:spacing w:before="0" w:after="50" w:line="250" w:lineRule="auto"/>
        <w:rPr/>
      </w:pPr>
      <w:r>
        <w:rPr>
          <w:rFonts w:ascii="Calibri" w:hAnsi="Calibri"/>
          <w:color w:val="000000"/>
          <w:sz w:val="20"/>
        </w:rPr>
        <w:t>The study should report fault-specific detection, false alarms, detection delay and the correctness of the resulting workflow state. It should also include faults not represented during model training. AMReye.AI's error-reduction strategy is therefore a combination of diverse evidence, explicit dependency analysis and safe handling of uncertainty, with no guarantee that sensor multiplicity eliminates every error.</w:t>
      </w:r>
    </w:p>
    <w:p>
      <w:pPr>
        <w:pStyle w:val="Heading3"/>
        <w:keepNext/>
        <w:keepLines/>
        <w:spacing w:before="240" w:after="120" w:line="269" w:lineRule="auto"/>
      </w:pPr>
      <w:r>
        <w:rPr>
          <w:color w:val="000000"/>
        </w:rPr>
        <w:t>Early result validation</w:t>
      </w:r>
    </w:p>
    <w:p>
      <w:pPr>
        <w:pStyle w:val="Normal"/>
        <w:keepNext/>
        <w:spacing w:before="0" w:after="50" w:line="250" w:lineRule="auto"/>
        <w:rPr/>
      </w:pPr>
      <w:r>
        <w:rPr>
          <w:rFonts w:ascii="Calibri" w:hAnsi="Calibri"/>
          <w:b/>
          <w:color w:val="000000"/>
          <w:sz w:val="20"/>
        </w:rPr>
        <w:t>An early result must be evaluated at the claimed time</w:t>
      </w:r>
    </w:p>
    <w:p>
      <w:pPr>
        <w:pStyle w:val="Normal"/>
        <w:spacing w:before="0" w:after="50" w:line="250" w:lineRule="auto"/>
        <w:rPr/>
      </w:pPr>
      <w:r>
        <w:rPr>
          <w:rFonts w:ascii="Calibri" w:hAnsi="Calibri"/>
          <w:color w:val="000000"/>
          <w:sz w:val="20"/>
        </w:rPr>
        <w:t xml:space="preserve">Rapid-AST research should specify the clock origin, specimen context, organism-drug scope and reference method before evaluation. An early output is eligible only if the method and interpretation have been established for that time. Routine endpoint breakpoints are not automatically applicable to a shorter observation interval.  </w:t>
      </w:r>
    </w:p>
    <w:p>
      <w:pPr>
        <w:pStyle w:val="Heading3"/>
        <w:keepNext/>
        <w:keepLines/>
        <w:spacing w:before="240" w:after="120" w:line="269" w:lineRule="auto"/>
      </w:pPr>
      <w:r>
        <w:rPr>
          <w:color w:val="000000"/>
        </w:rPr>
        <w:t>Proposed sub-two-hour study definition</w:t>
      </w:r>
    </w:p>
    <w:p>
      <w:pPr>
        <w:pStyle w:val="Normal"/>
        <w:spacing w:before="0" w:after="50" w:line="250" w:lineRule="auto"/>
        <w:rPr/>
      </w:pPr>
      <w:r>
        <w:rPr>
          <w:rFonts w:ascii="Calibri" w:hAnsi="Calibri"/>
          <w:color w:val="000000"/>
          <w:sz w:val="20"/>
        </w:rPr>
        <w:t>The study should state which preparations and observations occur within the two-hour interval and which occur beforehand. It should preserve timestamps for unsuccessful cases and include the time needed for mandatory review when the claim concerns a reviewed result.</w:t>
      </w:r>
    </w:p>
    <w:p>
      <w:pPr>
        <w:spacing w:before="0" w:after="50" w:line="250" w:lineRule="auto"/>
      </w:pPr>
      <w:r>
        <w:rPr>
          <w:rFonts w:ascii="Calibri" w:hAnsi="Calibri"/>
          <w:color w:val="000000"/>
          <w:sz w:val="20"/>
        </w:rPr>
        <w:t xml:space="preserve">Study element: Start</w:t>
      </w:r>
    </w:p>
    <w:p>
      <w:pPr>
        <w:spacing w:before="0" w:after="50" w:line="250" w:lineRule="auto"/>
      </w:pPr>
      <w:r>
        <w:rPr>
          <w:rFonts w:ascii="Calibri" w:hAnsi="Calibri"/>
          <w:color w:val="000000"/>
          <w:sz w:val="20"/>
        </w:rPr>
        <w:t xml:space="preserve">Required statement: Specimen receipt, positive culture, exposure or another explicit event.</w:t>
      </w:r>
    </w:p>
    <w:p>
      <w:pPr>
        <w:spacing w:before="0" w:after="50" w:line="250" w:lineRule="auto"/>
      </w:pPr>
      <w:r>
        <w:rPr>
          <w:rFonts w:ascii="Calibri" w:hAnsi="Calibri"/>
          <w:color w:val="000000"/>
          <w:sz w:val="20"/>
        </w:rPr>
        <w:t xml:space="preserve">Study element: Population</w:t>
      </w:r>
    </w:p>
    <w:p>
      <w:pPr>
        <w:spacing w:before="0" w:after="50" w:line="250" w:lineRule="auto"/>
      </w:pPr>
      <w:r>
        <w:rPr>
          <w:rFonts w:ascii="Calibri" w:hAnsi="Calibri"/>
          <w:color w:val="000000"/>
          <w:sz w:val="20"/>
        </w:rPr>
        <w:t xml:space="preserve">Required statement: Eligible material, organisms, drugs and relevant exclusions.</w:t>
      </w:r>
    </w:p>
    <w:p>
      <w:pPr>
        <w:spacing w:before="0" w:after="50" w:line="250" w:lineRule="auto"/>
      </w:pPr>
      <w:r>
        <w:rPr>
          <w:rFonts w:ascii="Calibri" w:hAnsi="Calibri"/>
          <w:color w:val="000000"/>
          <w:sz w:val="20"/>
        </w:rPr>
        <w:t xml:space="preserve">Study element: Output</w:t>
      </w:r>
    </w:p>
    <w:p>
      <w:pPr>
        <w:spacing w:before="0" w:after="50" w:line="250" w:lineRule="auto"/>
      </w:pPr>
      <w:r>
        <w:rPr>
          <w:rFonts w:ascii="Calibri" w:hAnsi="Calibri"/>
          <w:color w:val="000000"/>
          <w:sz w:val="20"/>
        </w:rPr>
        <w:t xml:space="preserve">Required statement: Measured response, research prediction or reviewed category.</w:t>
      </w:r>
    </w:p>
    <w:p>
      <w:pPr>
        <w:spacing w:before="0" w:after="50" w:line="250" w:lineRule="auto"/>
      </w:pPr>
      <w:r>
        <w:rPr>
          <w:rFonts w:ascii="Calibri" w:hAnsi="Calibri"/>
          <w:color w:val="000000"/>
          <w:sz w:val="20"/>
        </w:rPr>
        <w:t xml:space="preserve">Study element: Comparator</w:t>
      </w:r>
    </w:p>
    <w:p>
      <w:pPr>
        <w:spacing w:before="0" w:after="50" w:line="250" w:lineRule="auto"/>
      </w:pPr>
      <w:r>
        <w:rPr>
          <w:rFonts w:ascii="Calibri" w:hAnsi="Calibri"/>
          <w:color w:val="000000"/>
          <w:sz w:val="20"/>
        </w:rPr>
        <w:t xml:space="preserve">Required statement: Appropriate independent reference with defined timing.</w:t>
      </w:r>
    </w:p>
    <w:p>
      <w:pPr>
        <w:spacing w:before="0" w:after="50" w:line="250" w:lineRule="auto"/>
      </w:pPr>
      <w:r>
        <w:rPr>
          <w:rFonts w:ascii="Calibri" w:hAnsi="Calibri"/>
          <w:color w:val="000000"/>
          <w:sz w:val="20"/>
        </w:rPr>
        <w:t xml:space="preserve">Study element: Success</w:t>
      </w:r>
    </w:p>
    <w:p>
      <w:pPr>
        <w:spacing w:before="0" w:after="50" w:line="250" w:lineRule="auto"/>
      </w:pPr>
      <w:r>
        <w:rPr>
          <w:rFonts w:ascii="Calibri" w:hAnsi="Calibri"/>
          <w:color w:val="000000"/>
          <w:sz w:val="20"/>
        </w:rPr>
        <w:t xml:space="preserve">Required statement: Prespecified error, coverage and uncertainty criteria at the target time.</w:t>
      </w:r>
    </w:p>
    <w:p>
      <w:pPr>
        <w:spacing w:before="0" w:after="50" w:line="250" w:lineRule="auto"/>
      </w:pPr>
      <w:r>
        <w:rPr>
          <w:rFonts w:ascii="Calibri" w:hAnsi="Calibri"/>
          <w:color w:val="000000"/>
          <w:sz w:val="20"/>
        </w:rPr>
        <w:t xml:space="preserve">Study element: Failure</w:t>
      </w:r>
    </w:p>
    <w:p>
      <w:pPr>
        <w:spacing w:before="0" w:after="50" w:line="250" w:lineRule="auto"/>
      </w:pPr>
      <w:r>
        <w:rPr>
          <w:rFonts w:ascii="Calibri" w:hAnsi="Calibri"/>
          <w:color w:val="000000"/>
          <w:sz w:val="20"/>
        </w:rPr>
        <w:t xml:space="preserve">Required statement: Late, unavailable, abstained and incorrect results included in reporting.</w:t>
      </w:r>
    </w:p>
    <w:p>
      <w:pPr>
        <w:pStyle w:val="Heading3"/>
        <w:keepNext/>
        <w:keepLines/>
        <w:spacing w:before="240" w:after="120" w:line="269" w:lineRule="auto"/>
      </w:pPr>
      <w:r>
        <w:rPr>
          <w:color w:val="000000"/>
        </w:rPr>
        <w:t>Preserve the time-to-result distribution</w:t>
      </w:r>
    </w:p>
    <w:p>
      <w:pPr>
        <w:pStyle w:val="Normal"/>
        <w:spacing w:before="0" w:after="50" w:line="250" w:lineRule="auto"/>
        <w:rPr/>
      </w:pPr>
      <w:r>
        <w:rPr>
          <w:rFonts w:ascii="Calibri" w:hAnsi="Calibri"/>
          <w:color w:val="000000"/>
          <w:sz w:val="20"/>
        </w:rPr>
        <w:t>A median below two hours can coexist with many much later cases. Report the fraction meeting the target and the distribution of delays. A model should not be scored at its eventual successful time when the claim concerns an earlier fixed deadline.</w:t>
      </w:r>
    </w:p>
    <w:p>
      <w:pPr>
        <w:pStyle w:val="Normal"/>
        <w:spacing w:before="0" w:after="50" w:line="250" w:lineRule="auto"/>
        <w:rPr/>
      </w:pPr>
      <w:r>
        <w:rPr>
          <w:rFonts w:ascii="Calibri" w:hAnsi="Calibri"/>
          <w:color w:val="000000"/>
          <w:sz w:val="20"/>
        </w:rPr>
        <w:t>The initial programme may focus on selected workflows where sufficient signal is plausible. Expansion to other organisms, drugs or specimens requires new evidence. External studies motivate these investigations, but their analytical speed and performance cannot be imported as an AMReye.AI result.</w:t>
      </w:r>
    </w:p>
    <w:p>
      <w:pPr>
        <w:pStyle w:val="Heading3"/>
        <w:keepNext/>
        <w:keepLines/>
        <w:spacing w:before="240" w:after="120" w:line="269" w:lineRule="auto"/>
      </w:pPr>
      <w:r>
        <w:rPr>
          <w:color w:val="000000"/>
        </w:rPr>
        <w:t>Human review and usability validation</w:t>
      </w:r>
    </w:p>
    <w:p>
      <w:pPr>
        <w:pStyle w:val="Normal"/>
        <w:keepNext/>
        <w:spacing w:before="0" w:after="50" w:line="250" w:lineRule="auto"/>
        <w:rPr/>
      </w:pPr>
      <w:r>
        <w:rPr>
          <w:rFonts w:ascii="Calibri" w:hAnsi="Calibri"/>
          <w:b/>
          <w:color w:val="000000"/>
          <w:sz w:val="20"/>
        </w:rPr>
        <w:t>Human review needs validation as part of the system</w:t>
      </w:r>
    </w:p>
    <w:p>
      <w:pPr>
        <w:pStyle w:val="Normal"/>
        <w:spacing w:before="0" w:after="50" w:line="250" w:lineRule="auto"/>
        <w:rPr/>
      </w:pPr>
      <w:r>
        <w:rPr>
          <w:rFonts w:ascii="Calibri" w:hAnsi="Calibri"/>
          <w:color w:val="000000"/>
          <w:sz w:val="20"/>
        </w:rPr>
        <w:t>The complete product includes the interaction between software and intended users. A correct algorithm can still lead to an incorrect result through confusing presentation, wrong-record selection or ineffective correction controls. Usability evaluation should focus on tasks whose failure could affect safety, data integrity or the laboratory decision.</w:t>
      </w:r>
    </w:p>
    <w:p>
      <w:pPr>
        <w:pStyle w:val="Heading3"/>
        <w:keepNext/>
        <w:keepLines/>
        <w:spacing w:before="240" w:after="120" w:line="269" w:lineRule="auto"/>
      </w:pPr>
      <w:r>
        <w:rPr>
          <w:color w:val="000000"/>
        </w:rPr>
        <w:t>Proposed critical tasks</w:t>
      </w:r>
    </w:p>
    <w:p>
      <w:pPr>
        <w:pStyle w:val="Normal"/>
        <w:spacing w:before="0" w:after="50" w:line="250" w:lineRule="auto"/>
        <w:rPr/>
      </w:pPr>
      <w:r>
        <w:rPr>
          <w:rFonts w:ascii="Calibri" w:hAnsi="Calibri"/>
          <w:color w:val="000000"/>
          <w:sz w:val="20"/>
        </w:rPr>
        <w:t>Users should be able to verify identity, recognize unreadable observations, inspect measurement context, resolve flags, correct a result and understand the consequences of approval. Simulation views add the task of distinguishing measured evidence from predicted continuation.</w:t>
      </w:r>
    </w:p>
    <w:p>
      <w:pPr>
        <w:spacing w:before="0" w:after="50" w:line="250" w:lineRule="auto"/>
      </w:pPr>
      <w:r>
        <w:rPr>
          <w:rFonts w:ascii="Calibri" w:hAnsi="Calibri"/>
          <w:color w:val="000000"/>
          <w:sz w:val="20"/>
        </w:rPr>
        <w:t xml:space="preserve">Scenario: Wrong plate association</w:t>
      </w:r>
    </w:p>
    <w:p>
      <w:pPr>
        <w:spacing w:before="0" w:after="50" w:line="250" w:lineRule="auto"/>
      </w:pPr>
      <w:r>
        <w:rPr>
          <w:rFonts w:ascii="Calibri" w:hAnsi="Calibri"/>
          <w:color w:val="000000"/>
          <w:sz w:val="20"/>
        </w:rPr>
        <w:t xml:space="preserve">Proposed observation: Does the user recognize and resolve the mismatch?</w:t>
      </w:r>
    </w:p>
    <w:p>
      <w:pPr>
        <w:spacing w:before="0" w:after="50" w:line="250" w:lineRule="auto"/>
      </w:pPr>
      <w:r>
        <w:rPr>
          <w:rFonts w:ascii="Calibri" w:hAnsi="Calibri"/>
          <w:color w:val="000000"/>
          <w:sz w:val="20"/>
        </w:rPr>
        <w:t xml:space="preserve">Scenario: Poor-quality image</w:t>
      </w:r>
    </w:p>
    <w:p>
      <w:pPr>
        <w:spacing w:before="0" w:after="50" w:line="250" w:lineRule="auto"/>
      </w:pPr>
      <w:r>
        <w:rPr>
          <w:rFonts w:ascii="Calibri" w:hAnsi="Calibri"/>
          <w:color w:val="000000"/>
          <w:sz w:val="20"/>
        </w:rPr>
        <w:t xml:space="preserve">Proposed observation: Is the case appropriately rejected or repeated?</w:t>
      </w:r>
    </w:p>
    <w:p>
      <w:pPr>
        <w:spacing w:before="0" w:after="50" w:line="250" w:lineRule="auto"/>
      </w:pPr>
      <w:r>
        <w:rPr>
          <w:rFonts w:ascii="Calibri" w:hAnsi="Calibri"/>
          <w:color w:val="000000"/>
          <w:sz w:val="20"/>
        </w:rPr>
        <w:t xml:space="preserve">Scenario: Conflicting sensor evidence</w:t>
      </w:r>
    </w:p>
    <w:p>
      <w:pPr>
        <w:spacing w:before="0" w:after="50" w:line="250" w:lineRule="auto"/>
      </w:pPr>
      <w:r>
        <w:rPr>
          <w:rFonts w:ascii="Calibri" w:hAnsi="Calibri"/>
          <w:color w:val="000000"/>
          <w:sz w:val="20"/>
        </w:rPr>
        <w:t xml:space="preserve">Proposed observation: Does the user understand the unresolved state?</w:t>
      </w:r>
    </w:p>
    <w:p>
      <w:pPr>
        <w:spacing w:before="0" w:after="50" w:line="250" w:lineRule="auto"/>
      </w:pPr>
      <w:r>
        <w:rPr>
          <w:rFonts w:ascii="Calibri" w:hAnsi="Calibri"/>
          <w:color w:val="000000"/>
          <w:sz w:val="20"/>
        </w:rPr>
        <w:t xml:space="preserve">Scenario: Corrected measurement</w:t>
      </w:r>
    </w:p>
    <w:p>
      <w:pPr>
        <w:spacing w:before="0" w:after="50" w:line="250" w:lineRule="auto"/>
      </w:pPr>
      <w:r>
        <w:rPr>
          <w:rFonts w:ascii="Calibri" w:hAnsi="Calibri"/>
          <w:color w:val="000000"/>
          <w:sz w:val="20"/>
        </w:rPr>
        <w:t xml:space="preserve">Proposed observation: Is dependent approval renewed appropriately?</w:t>
      </w:r>
    </w:p>
    <w:p>
      <w:pPr>
        <w:spacing w:before="0" w:after="50" w:line="250" w:lineRule="auto"/>
      </w:pPr>
      <w:r>
        <w:rPr>
          <w:rFonts w:ascii="Calibri" w:hAnsi="Calibri"/>
          <w:color w:val="000000"/>
          <w:sz w:val="20"/>
        </w:rPr>
        <w:t xml:space="preserve">Scenario: Interrupted simulation</w:t>
      </w:r>
    </w:p>
    <w:p>
      <w:pPr>
        <w:spacing w:before="0" w:after="50" w:line="250" w:lineRule="auto"/>
      </w:pPr>
      <w:r>
        <w:rPr>
          <w:rFonts w:ascii="Calibri" w:hAnsi="Calibri"/>
          <w:color w:val="000000"/>
          <w:sz w:val="20"/>
        </w:rPr>
        <w:t xml:space="preserve">Proposed observation: Can the user identify the last real observation?</w:t>
      </w:r>
    </w:p>
    <w:p>
      <w:pPr>
        <w:pStyle w:val="Heading3"/>
        <w:keepNext/>
        <w:keepLines/>
        <w:spacing w:before="240" w:after="120" w:line="269" w:lineRule="auto"/>
      </w:pPr>
      <w:r>
        <w:rPr>
          <w:color w:val="000000"/>
        </w:rPr>
        <w:t>Assess realistic conditions</w:t>
      </w:r>
    </w:p>
    <w:p>
      <w:pPr>
        <w:pStyle w:val="Normal"/>
        <w:spacing w:before="0" w:after="50" w:line="250" w:lineRule="auto"/>
        <w:rPr/>
      </w:pPr>
      <w:r>
        <w:rPr>
          <w:rFonts w:ascii="Calibri" w:hAnsi="Calibri"/>
          <w:color w:val="000000"/>
          <w:sz w:val="20"/>
        </w:rPr>
        <w:t>Participants should represent intended users, and tasks should reflect workload, interruptions and available training. Assistance from the development team during a study can conceal interface weaknesses. Observed difficulties should be analyzed for their causes and addressed through design where feasible.</w:t>
      </w:r>
    </w:p>
    <w:p>
      <w:pPr>
        <w:pStyle w:val="Normal"/>
        <w:spacing w:before="0" w:after="50" w:line="250" w:lineRule="auto"/>
        <w:rPr/>
      </w:pPr>
      <w:r>
        <w:rPr>
          <w:rFonts w:ascii="Calibri" w:hAnsi="Calibri"/>
          <w:color w:val="000000"/>
          <w:sz w:val="20"/>
        </w:rPr>
        <w:t>The evaluation should measure errors, recoveries and understanding as well as task duration. A faster interface that encourages automatic acceptance of uncertain outputs would not satisfy the review objective. The proposed release evidence should show that users can carry out critical tasks reliably within the product's intended context, with remaining limitations reflected in design, training and use restrictions.</w:t>
      </w:r>
    </w:p>
    <w:p>
      <w:pPr>
        <w:pStyle w:val="Heading3"/>
        <w:keepNext/>
        <w:keepLines/>
        <w:spacing w:before="240" w:after="120" w:line="269" w:lineRule="auto"/>
      </w:pPr>
      <w:r>
        <w:rPr>
          <w:color w:val="000000"/>
        </w:rPr>
        <w:t>Software verification and release control</w:t>
      </w:r>
    </w:p>
    <w:p>
      <w:pPr>
        <w:pStyle w:val="Normal"/>
        <w:keepNext/>
        <w:spacing w:before="0" w:after="50" w:line="250" w:lineRule="auto"/>
        <w:rPr/>
      </w:pPr>
      <w:r>
        <w:rPr>
          <w:rFonts w:ascii="Calibri" w:hAnsi="Calibri"/>
          <w:b/>
          <w:color w:val="000000"/>
          <w:sz w:val="20"/>
        </w:rPr>
        <w:t>Software verification should follow the consequences of failure</w:t>
      </w:r>
    </w:p>
    <w:p>
      <w:pPr>
        <w:pStyle w:val="Normal"/>
        <w:spacing w:before="0" w:after="50" w:line="250" w:lineRule="auto"/>
        <w:rPr/>
      </w:pPr>
      <w:r>
        <w:rPr>
          <w:rFonts w:ascii="Calibri" w:hAnsi="Calibri"/>
          <w:color w:val="000000"/>
          <w:sz w:val="20"/>
        </w:rPr>
        <w:t xml:space="preserve">Verification checks that software requirements are implemented correctly and that components interact as specified. The proposed development process should link requirements, risk controls, design and test evidence. Lifecycle standards such as IEC 62304 provide a relevant planning framework; applicability and classification require product-specific assessment. </w:t>
      </w:r>
    </w:p>
    <w:p>
      <w:pPr>
        <w:pStyle w:val="Heading3"/>
        <w:keepNext/>
        <w:keepLines/>
        <w:spacing w:before="240" w:after="120" w:line="269" w:lineRule="auto"/>
      </w:pPr>
      <w:r>
        <w:rPr>
          <w:color w:val="000000"/>
        </w:rPr>
        <w:t>Test the complete result path</w:t>
      </w:r>
    </w:p>
    <w:p>
      <w:pPr>
        <w:pStyle w:val="Normal"/>
        <w:spacing w:before="0" w:after="50" w:line="250" w:lineRule="auto"/>
        <w:rPr/>
      </w:pPr>
      <w:r>
        <w:rPr>
          <w:rFonts w:ascii="Calibri" w:hAnsi="Calibri"/>
          <w:color w:val="000000"/>
          <w:sz w:val="20"/>
        </w:rPr>
        <w:t>Unit checks can validate numerical functions and state transitions. Integration tests should verify identity, calibration, interpretation, review and export together. System tests should include interrupted operations and realistic failure states. Passing isolated algorithm tests does not establish a correct end-to-end record.</w:t>
      </w:r>
    </w:p>
    <w:p>
      <w:pPr>
        <w:pStyle w:val="Caption"/>
        <w:keepNext/>
      </w:pPr>
      <w:bookmarkStart w:id="97011" w:name="figure_11"/>
      <w:r>
        <w:t>Figure 11 Verification across the result path</w:t>
      </w:r>
      <w:bookmarkEnd w:id="97011"/>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1905635"/>
            <wp:effectExtent l="0" t="0" r="0" b="0"/>
            <wp:docPr id="21" name="Picture 21"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1" name="Picture 21" descr="" title=""/>
                    <pic:cNvPicPr>
                      <a:picLocks noChangeAspect="1" noChangeArrowheads="1"/>
                    </pic:cNvPicPr>
                  </pic:nvPicPr>
                  <pic:blipFill>
                    <a:blip r:embed="rId13"/>
                    <a:stretch>
                      <a:fillRect/>
                    </a:stretch>
                  </pic:blipFill>
                  <pic:spPr bwMode="auto">
                    <a:xfrm>
                      <a:off x="0" y="0"/>
                      <a:ext cx="5904230" cy="1905635"/>
                    </a:xfrm>
                    <a:prstGeom prst="rect">
                      <a:avLst/>
                    </a:prstGeom>
                    <a:noFill/>
                  </pic:spPr>
                </pic:pic>
              </a:graphicData>
            </a:graphic>
          </wp:inline>
        </w:drawing>
      </w:r>
    </w:p>
    <w:p>
      <w:pPr>
        <w:pStyle w:val="Heading3"/>
        <w:keepNext/>
        <w:keepLines/>
        <w:spacing w:before="240" w:after="120" w:line="269" w:lineRule="auto"/>
      </w:pPr>
      <w:r>
        <w:rPr>
          <w:color w:val="000000"/>
        </w:rPr>
        <w:t>Control what changes after testing</w:t>
      </w:r>
    </w:p>
    <w:p>
      <w:pPr>
        <w:pStyle w:val="Normal"/>
        <w:spacing w:before="0" w:after="50" w:line="250" w:lineRule="auto"/>
        <w:rPr/>
      </w:pPr>
      <w:r>
        <w:rPr>
          <w:rFonts w:ascii="Calibri" w:hAnsi="Calibri"/>
          <w:color w:val="000000"/>
          <w:sz w:val="20"/>
        </w:rPr>
        <w:t>A release should identify software, models, standards rules and relevant dependencies independently. If one changes, the affected evidence should be reassessed. A signed or integrity-checked package supports distribution control, but it does not establish that the contents are clinically correct.</w:t>
      </w:r>
    </w:p>
    <w:p>
      <w:pPr>
        <w:pStyle w:val="Normal"/>
        <w:spacing w:before="0" w:after="50" w:line="250" w:lineRule="auto"/>
        <w:rPr/>
      </w:pPr>
      <w:r>
        <w:rPr>
          <w:rFonts w:ascii="Calibri" w:hAnsi="Calibri"/>
          <w:color w:val="000000"/>
          <w:sz w:val="20"/>
        </w:rPr>
        <w:t>The proposed release process should retain test failures and their resolution, known limitations and rollback instructions. Unresolved issues need a documented impact assessment. A development build, public demonstration and qualified product release should have distinct identities so that evidence or records from one cannot be mistaken for another.</w:t>
      </w:r>
    </w:p>
    <w:p>
      <w:pPr>
        <w:pStyle w:val="Heading3"/>
        <w:keepNext/>
        <w:keepLines/>
        <w:spacing w:before="240" w:after="120" w:line="269" w:lineRule="auto"/>
      </w:pPr>
      <w:r>
        <w:rPr>
          <w:color w:val="000000"/>
        </w:rPr>
        <w:t>Standards content verification</w:t>
      </w:r>
    </w:p>
    <w:p>
      <w:pPr>
        <w:pStyle w:val="Normal"/>
        <w:keepNext/>
        <w:spacing w:before="0" w:after="50" w:line="250" w:lineRule="auto"/>
        <w:rPr/>
      </w:pPr>
      <w:r>
        <w:rPr>
          <w:rFonts w:ascii="Calibri" w:hAnsi="Calibri"/>
          <w:b/>
          <w:color w:val="000000"/>
          <w:sz w:val="20"/>
        </w:rPr>
        <w:t>Standards content is a separately controlled product dependency</w:t>
      </w:r>
    </w:p>
    <w:p>
      <w:pPr>
        <w:pStyle w:val="Normal"/>
        <w:spacing w:before="0" w:after="50" w:line="250" w:lineRule="auto"/>
        <w:rPr/>
      </w:pPr>
      <w:r>
        <w:rPr>
          <w:rFonts w:ascii="Calibri" w:hAnsi="Calibri"/>
          <w:color w:val="000000"/>
          <w:sz w:val="20"/>
        </w:rPr>
        <w:t xml:space="preserve">The interpretation service should identify the standards body, document version, correction state and applicable method. Measurement algorithms and standards rules need independent version identities. Updating a model should not silently change clinical thresholds, and updating thresholds should not obscure the measurement originally produced.  </w:t>
      </w:r>
    </w:p>
    <w:p>
      <w:pPr>
        <w:pStyle w:val="Heading3"/>
        <w:keepNext/>
        <w:keepLines/>
        <w:spacing w:before="240" w:after="120" w:line="269" w:lineRule="auto"/>
      </w:pPr>
      <w:r>
        <w:rPr>
          <w:color w:val="000000"/>
        </w:rPr>
        <w:t>Proposed content verification</w:t>
      </w:r>
    </w:p>
    <w:p>
      <w:pPr>
        <w:pStyle w:val="Normal"/>
        <w:spacing w:before="0" w:after="50" w:line="250" w:lineRule="auto"/>
        <w:rPr/>
      </w:pPr>
      <w:r>
        <w:rPr>
          <w:rFonts w:ascii="Calibri" w:hAnsi="Calibri"/>
          <w:color w:val="000000"/>
          <w:sz w:val="20"/>
        </w:rPr>
        <w:t>Authorized source material should be mapped into structured rules by a controlled process with expert review. Tests should cover organism and antimicrobial mappings, units, method restrictions, footnotes, unavailable combinations and correction notices. Licensed content should be handled under its applicable terms.</w:t>
      </w:r>
    </w:p>
    <w:p>
      <w:pPr>
        <w:spacing w:before="0" w:after="50" w:line="250" w:lineRule="auto"/>
      </w:pPr>
      <w:r>
        <w:rPr>
          <w:rFonts w:ascii="Calibri" w:hAnsi="Calibri"/>
          <w:color w:val="000000"/>
          <w:sz w:val="20"/>
        </w:rPr>
        <w:t xml:space="preserve">Verification case: Supported complete input</w:t>
      </w:r>
    </w:p>
    <w:p>
      <w:pPr>
        <w:spacing w:before="0" w:after="50" w:line="250" w:lineRule="auto"/>
      </w:pPr>
      <w:r>
        <w:rPr>
          <w:rFonts w:ascii="Calibri" w:hAnsi="Calibri"/>
          <w:color w:val="000000"/>
          <w:sz w:val="20"/>
        </w:rPr>
        <w:t xml:space="preserve">Expected behavior: Apply the exact eligible rule and preserve its identity.</w:t>
      </w:r>
    </w:p>
    <w:p>
      <w:pPr>
        <w:spacing w:before="0" w:after="50" w:line="250" w:lineRule="auto"/>
      </w:pPr>
      <w:r>
        <w:rPr>
          <w:rFonts w:ascii="Calibri" w:hAnsi="Calibri"/>
          <w:color w:val="000000"/>
          <w:sz w:val="20"/>
        </w:rPr>
        <w:t xml:space="preserve">Verification case: Missing organism or method</w:t>
      </w:r>
    </w:p>
    <w:p>
      <w:pPr>
        <w:spacing w:before="0" w:after="50" w:line="250" w:lineRule="auto"/>
      </w:pPr>
      <w:r>
        <w:rPr>
          <w:rFonts w:ascii="Calibri" w:hAnsi="Calibri"/>
          <w:color w:val="000000"/>
          <w:sz w:val="20"/>
        </w:rPr>
        <w:t xml:space="preserve">Expected behavior: Return an unresolved interpretation state.</w:t>
      </w:r>
    </w:p>
    <w:p>
      <w:pPr>
        <w:spacing w:before="0" w:after="50" w:line="250" w:lineRule="auto"/>
      </w:pPr>
      <w:r>
        <w:rPr>
          <w:rFonts w:ascii="Calibri" w:hAnsi="Calibri"/>
          <w:color w:val="000000"/>
          <w:sz w:val="20"/>
        </w:rPr>
        <w:t xml:space="preserve">Verification case: Unsupported combination</w:t>
      </w:r>
    </w:p>
    <w:p>
      <w:pPr>
        <w:spacing w:before="0" w:after="50" w:line="250" w:lineRule="auto"/>
      </w:pPr>
      <w:r>
        <w:rPr>
          <w:rFonts w:ascii="Calibri" w:hAnsi="Calibri"/>
          <w:color w:val="000000"/>
          <w:sz w:val="20"/>
        </w:rPr>
        <w:t xml:space="preserve">Expected behavior: Do not substitute a nearby or remembered rule.</w:t>
      </w:r>
    </w:p>
    <w:p>
      <w:pPr>
        <w:spacing w:before="0" w:after="50" w:line="250" w:lineRule="auto"/>
      </w:pPr>
      <w:r>
        <w:rPr>
          <w:rFonts w:ascii="Calibri" w:hAnsi="Calibri"/>
          <w:color w:val="000000"/>
          <w:sz w:val="20"/>
        </w:rPr>
        <w:t xml:space="preserve">Verification case: Superseded correction</w:t>
      </w:r>
    </w:p>
    <w:p>
      <w:pPr>
        <w:spacing w:before="0" w:after="50" w:line="250" w:lineRule="auto"/>
      </w:pPr>
      <w:r>
        <w:rPr>
          <w:rFonts w:ascii="Calibri" w:hAnsi="Calibri"/>
          <w:color w:val="000000"/>
          <w:sz w:val="20"/>
        </w:rPr>
        <w:t xml:space="preserve">Expected behavior: Identify the affected release and re-review requirement.</w:t>
      </w:r>
    </w:p>
    <w:p>
      <w:pPr>
        <w:spacing w:before="0" w:after="50" w:line="250" w:lineRule="auto"/>
      </w:pPr>
      <w:r>
        <w:rPr>
          <w:rFonts w:ascii="Calibri" w:hAnsi="Calibri"/>
          <w:color w:val="000000"/>
          <w:sz w:val="20"/>
        </w:rPr>
        <w:t xml:space="preserve">Verification case: Historical record</w:t>
      </w:r>
    </w:p>
    <w:p>
      <w:pPr>
        <w:spacing w:before="0" w:after="50" w:line="250" w:lineRule="auto"/>
      </w:pPr>
      <w:r>
        <w:rPr>
          <w:rFonts w:ascii="Calibri" w:hAnsi="Calibri"/>
          <w:color w:val="000000"/>
          <w:sz w:val="20"/>
        </w:rPr>
        <w:t xml:space="preserve">Expected behavior: Retain the interpretation used at release and link later reassessment.</w:t>
      </w:r>
    </w:p>
    <w:p>
      <w:pPr>
        <w:pStyle w:val="Heading3"/>
        <w:keepNext/>
        <w:keepLines/>
        <w:spacing w:before="240" w:after="120" w:line="269" w:lineRule="auto"/>
      </w:pPr>
      <w:r>
        <w:rPr>
          <w:color w:val="000000"/>
        </w:rPr>
        <w:t>Check boundary behavior deliberately</w:t>
      </w:r>
    </w:p>
    <w:p>
      <w:pPr>
        <w:pStyle w:val="Normal"/>
        <w:spacing w:before="0" w:after="50" w:line="250" w:lineRule="auto"/>
        <w:rPr/>
      </w:pPr>
      <w:r>
        <w:rPr>
          <w:rFonts w:ascii="Calibri" w:hAnsi="Calibri"/>
          <w:color w:val="000000"/>
          <w:sz w:val="20"/>
        </w:rPr>
        <w:t>Test values at, immediately below and immediately above relevant thresholds, following the method's rounding and reporting conventions. Character encoding, decimal separators and unit conversion can produce defects even when the source table was read correctly.</w:t>
      </w:r>
    </w:p>
    <w:p>
      <w:pPr>
        <w:pStyle w:val="Normal"/>
        <w:spacing w:before="0" w:after="50" w:line="250" w:lineRule="auto"/>
        <w:rPr/>
      </w:pPr>
      <w:r>
        <w:rPr>
          <w:rFonts w:ascii="Calibri" w:hAnsi="Calibri"/>
          <w:color w:val="000000"/>
          <w:sz w:val="20"/>
        </w:rPr>
        <w:t>The proposed release package should include a standards-content manifest and regression evidence. A language model may assist expert review but should not generate executable breakpoints from memory. Before deployment, the team must verify the current source version and corrections again, because a dated compendium cannot guarantee that its reference snapshot remains the applicable rule set indefinitely.</w:t>
      </w:r>
    </w:p>
    <w:p>
      <w:pPr>
        <w:pStyle w:val="Heading3"/>
        <w:keepNext/>
        <w:keepLines/>
        <w:spacing w:before="240" w:after="120" w:line="269" w:lineRule="auto"/>
      </w:pPr>
      <w:r>
        <w:rPr>
          <w:color w:val="000000"/>
        </w:rPr>
        <w:t>Interoperability verification</w:t>
      </w:r>
    </w:p>
    <w:p>
      <w:pPr>
        <w:pStyle w:val="Normal"/>
        <w:keepNext/>
        <w:spacing w:before="0" w:after="50" w:line="250" w:lineRule="auto"/>
        <w:rPr/>
      </w:pPr>
      <w:r>
        <w:rPr>
          <w:rFonts w:ascii="Calibri" w:hAnsi="Calibri"/>
          <w:b/>
          <w:color w:val="000000"/>
          <w:sz w:val="20"/>
        </w:rPr>
        <w:t>Interoperability is preservation of meaning across a boundary</w:t>
      </w:r>
    </w:p>
    <w:p>
      <w:pPr>
        <w:pStyle w:val="Normal"/>
        <w:spacing w:before="0" w:after="50" w:line="250" w:lineRule="auto"/>
        <w:rPr/>
      </w:pPr>
      <w:r>
        <w:rPr>
          <w:rFonts w:ascii="Calibri" w:hAnsi="Calibri"/>
          <w:color w:val="000000"/>
          <w:sz w:val="20"/>
        </w:rPr>
        <w:t>An interface can transmit data successfully while changing its meaning. A missing value converted to zero, a simulated result treated as measured or a corrected report handled as a duplicate can create serious downstream errors. Verification should test semantics, identity and workflow states as well as network delivery.</w:t>
      </w:r>
    </w:p>
    <w:p>
      <w:pPr>
        <w:pStyle w:val="Heading3"/>
        <w:keepNext/>
        <w:keepLines/>
        <w:spacing w:before="240" w:after="120" w:line="269" w:lineRule="auto"/>
      </w:pPr>
      <w:r>
        <w:rPr>
          <w:color w:val="000000"/>
        </w:rPr>
        <w:t>Proposed interface contract</w:t>
      </w:r>
    </w:p>
    <w:p>
      <w:pPr>
        <w:pStyle w:val="Normal"/>
        <w:spacing w:before="0" w:after="50" w:line="250" w:lineRule="auto"/>
        <w:rPr/>
      </w:pPr>
      <w:r>
        <w:rPr>
          <w:rFonts w:ascii="Calibri" w:hAnsi="Calibri"/>
          <w:color w:val="000000"/>
          <w:sz w:val="20"/>
        </w:rPr>
        <w:t>Each receiving system should have an approved mapping for identifiers, units, terminology, result states, timestamps and amendments. The mapping should state which information is mandatory and what happens when it is absent. A transport acknowledgment should not be mistaken for clinical acceptance or review.</w:t>
      </w:r>
    </w:p>
    <w:p>
      <w:pPr>
        <w:spacing w:before="0" w:after="50" w:line="250" w:lineRule="auto"/>
      </w:pPr>
      <w:r>
        <w:rPr>
          <w:rFonts w:ascii="Calibri" w:hAnsi="Calibri"/>
          <w:color w:val="000000"/>
          <w:sz w:val="20"/>
        </w:rPr>
        <w:t xml:space="preserve">Interface test: Missing or unavailable value</w:t>
      </w:r>
    </w:p>
    <w:p>
      <w:pPr>
        <w:spacing w:before="0" w:after="50" w:line="250" w:lineRule="auto"/>
      </w:pPr>
      <w:r>
        <w:rPr>
          <w:rFonts w:ascii="Calibri" w:hAnsi="Calibri"/>
          <w:color w:val="000000"/>
          <w:sz w:val="20"/>
        </w:rPr>
        <w:t xml:space="preserve">Required outcome: Preserve the reason and avoid numerical substitution.</w:t>
      </w:r>
    </w:p>
    <w:p>
      <w:pPr>
        <w:spacing w:before="0" w:after="50" w:line="250" w:lineRule="auto"/>
      </w:pPr>
      <w:r>
        <w:rPr>
          <w:rFonts w:ascii="Calibri" w:hAnsi="Calibri"/>
          <w:color w:val="000000"/>
          <w:sz w:val="20"/>
        </w:rPr>
        <w:t xml:space="preserve">Interface test: Duplicate transmission</w:t>
      </w:r>
    </w:p>
    <w:p>
      <w:pPr>
        <w:spacing w:before="0" w:after="50" w:line="250" w:lineRule="auto"/>
      </w:pPr>
      <w:r>
        <w:rPr>
          <w:rFonts w:ascii="Calibri" w:hAnsi="Calibri"/>
          <w:color w:val="000000"/>
          <w:sz w:val="20"/>
        </w:rPr>
        <w:t xml:space="preserve">Required outcome: Reconcile safely without creating a second test.</w:t>
      </w:r>
    </w:p>
    <w:p>
      <w:pPr>
        <w:spacing w:before="0" w:after="50" w:line="250" w:lineRule="auto"/>
      </w:pPr>
      <w:r>
        <w:rPr>
          <w:rFonts w:ascii="Calibri" w:hAnsi="Calibri"/>
          <w:color w:val="000000"/>
          <w:sz w:val="20"/>
        </w:rPr>
        <w:t xml:space="preserve">Interface test: Out-of-order amendment</w:t>
      </w:r>
    </w:p>
    <w:p>
      <w:pPr>
        <w:spacing w:before="0" w:after="50" w:line="250" w:lineRule="auto"/>
      </w:pPr>
      <w:r>
        <w:rPr>
          <w:rFonts w:ascii="Calibri" w:hAnsi="Calibri"/>
          <w:color w:val="000000"/>
          <w:sz w:val="20"/>
        </w:rPr>
        <w:t xml:space="preserve">Required outcome: Apply version logic and retain the history.</w:t>
      </w:r>
    </w:p>
    <w:p>
      <w:pPr>
        <w:spacing w:before="0" w:after="50" w:line="250" w:lineRule="auto"/>
      </w:pPr>
      <w:r>
        <w:rPr>
          <w:rFonts w:ascii="Calibri" w:hAnsi="Calibri"/>
          <w:color w:val="000000"/>
          <w:sz w:val="20"/>
        </w:rPr>
        <w:t xml:space="preserve">Interface test: Unit mismatch</w:t>
      </w:r>
    </w:p>
    <w:p>
      <w:pPr>
        <w:spacing w:before="0" w:after="50" w:line="250" w:lineRule="auto"/>
      </w:pPr>
      <w:r>
        <w:rPr>
          <w:rFonts w:ascii="Calibri" w:hAnsi="Calibri"/>
          <w:color w:val="000000"/>
          <w:sz w:val="20"/>
        </w:rPr>
        <w:t xml:space="preserve">Required outcome: Reject or perform an explicitly authorized conversion.</w:t>
      </w:r>
    </w:p>
    <w:p>
      <w:pPr>
        <w:spacing w:before="0" w:after="50" w:line="250" w:lineRule="auto"/>
      </w:pPr>
      <w:r>
        <w:rPr>
          <w:rFonts w:ascii="Calibri" w:hAnsi="Calibri"/>
          <w:color w:val="000000"/>
          <w:sz w:val="20"/>
        </w:rPr>
        <w:t xml:space="preserve">Interface test: Wrong identity</w:t>
      </w:r>
    </w:p>
    <w:p>
      <w:pPr>
        <w:spacing w:before="0" w:after="50" w:line="250" w:lineRule="auto"/>
      </w:pPr>
      <w:r>
        <w:rPr>
          <w:rFonts w:ascii="Calibri" w:hAnsi="Calibri"/>
          <w:color w:val="000000"/>
          <w:sz w:val="20"/>
        </w:rPr>
        <w:t xml:space="preserve">Required outcome: Stop association and expose the conflict.</w:t>
      </w:r>
    </w:p>
    <w:p>
      <w:pPr>
        <w:spacing w:before="0" w:after="50" w:line="250" w:lineRule="auto"/>
      </w:pPr>
      <w:r>
        <w:rPr>
          <w:rFonts w:ascii="Calibri" w:hAnsi="Calibri"/>
          <w:color w:val="000000"/>
          <w:sz w:val="20"/>
        </w:rPr>
        <w:t xml:space="preserve">Interface test: Unauthorized destination</w:t>
      </w:r>
    </w:p>
    <w:p>
      <w:pPr>
        <w:spacing w:before="0" w:after="50" w:line="250" w:lineRule="auto"/>
      </w:pPr>
      <w:r>
        <w:rPr>
          <w:rFonts w:ascii="Calibri" w:hAnsi="Calibri"/>
          <w:color w:val="000000"/>
          <w:sz w:val="20"/>
        </w:rPr>
        <w:t xml:space="preserve">Required outcome: Deny export and record the attempted operation.</w:t>
      </w:r>
    </w:p>
    <w:p>
      <w:pPr>
        <w:pStyle w:val="Heading3"/>
        <w:keepNext/>
        <w:keepLines/>
        <w:spacing w:before="240" w:after="120" w:line="269" w:lineRule="auto"/>
      </w:pPr>
      <w:r>
        <w:rPr>
          <w:color w:val="000000"/>
        </w:rPr>
        <w:t>Test both sides of the exchange</w:t>
      </w:r>
    </w:p>
    <w:p>
      <w:pPr>
        <w:pStyle w:val="Normal"/>
        <w:spacing w:before="0" w:after="50" w:line="250" w:lineRule="auto"/>
        <w:rPr/>
      </w:pPr>
      <w:r>
        <w:rPr>
          <w:rFonts w:ascii="Calibri" w:hAnsi="Calibri"/>
          <w:color w:val="000000"/>
          <w:sz w:val="20"/>
        </w:rPr>
        <w:t>A local export file that looks correct does not establish that the receiving system interpreted it correctly. End-to-end testing should include readback or equivalent confirmation of the stored meaning. The assessment should also cover retries, timeouts and partial failures.</w:t>
      </w:r>
    </w:p>
    <w:p>
      <w:pPr>
        <w:pStyle w:val="Normal"/>
        <w:spacing w:before="0" w:after="50" w:line="250" w:lineRule="auto"/>
        <w:rPr/>
      </w:pPr>
      <w:r>
        <w:rPr>
          <w:rFonts w:ascii="Calibri" w:hAnsi="Calibri"/>
          <w:color w:val="000000"/>
          <w:sz w:val="20"/>
        </w:rPr>
        <w:t>The proposed platform should preserve the original export payload and mapping version where appropriate for audit and privacy requirements. Changes to a laboratory system or interface profile need impact assessment. Interoperability is a maintained service responsibility, not a one-time claim based on the presence of an API endpoint.</w:t>
      </w:r>
    </w:p>
    <w:p>
      <w:pPr>
        <w:pStyle w:val="Heading3"/>
        <w:keepNext/>
        <w:keepLines/>
        <w:spacing w:before="240" w:after="120" w:line="269" w:lineRule="auto"/>
      </w:pPr>
      <w:r>
        <w:rPr>
          <w:color w:val="000000"/>
        </w:rPr>
        <w:t>Traceable audit and correction records</w:t>
      </w:r>
    </w:p>
    <w:p>
      <w:pPr>
        <w:pStyle w:val="Normal"/>
        <w:keepNext/>
        <w:spacing w:before="0" w:after="50" w:line="250" w:lineRule="auto"/>
        <w:rPr/>
      </w:pPr>
      <w:r>
        <w:rPr>
          <w:rFonts w:ascii="Calibri" w:hAnsi="Calibri"/>
          <w:b/>
          <w:color w:val="000000"/>
          <w:sz w:val="20"/>
        </w:rPr>
        <w:t>An audit trail should explain a result's history</w:t>
      </w:r>
    </w:p>
    <w:p>
      <w:pPr>
        <w:pStyle w:val="Normal"/>
        <w:spacing w:before="0" w:after="50" w:line="250" w:lineRule="auto"/>
        <w:rPr/>
      </w:pPr>
      <w:r>
        <w:rPr>
          <w:rFonts w:ascii="Calibri" w:hAnsi="Calibri"/>
          <w:color w:val="000000"/>
          <w:sz w:val="20"/>
        </w:rPr>
        <w:t>The audit record should capture who performed a relevant action, what changed, when it occurred and which record versions were affected. It should distinguish user actions, automated processing and administrative operations. The purpose is to reconstruct the result pathway and investigate discrepancies without relying on recollection.</w:t>
      </w:r>
    </w:p>
    <w:p>
      <w:pPr>
        <w:pStyle w:val="Heading3"/>
        <w:keepNext/>
        <w:keepLines/>
        <w:spacing w:before="240" w:after="120" w:line="269" w:lineRule="auto"/>
      </w:pPr>
      <w:r>
        <w:rPr>
          <w:color w:val="000000"/>
        </w:rPr>
        <w:t>Proposed event model</w:t>
      </w:r>
    </w:p>
    <w:p>
      <w:pPr>
        <w:pStyle w:val="Normal"/>
        <w:spacing w:before="0" w:after="50" w:line="250" w:lineRule="auto"/>
        <w:rPr/>
      </w:pPr>
      <w:r>
        <w:rPr>
          <w:rFonts w:ascii="Calibri" w:hAnsi="Calibri"/>
          <w:color w:val="000000"/>
          <w:sz w:val="20"/>
        </w:rPr>
        <w:t>Events should use stable identifiers and reference the exact input and output versions. Original observations remain preserved. Corrections append a new state and reason, while dependent analyses and approvals are assessed for invalidation. Audit access itself should be controlled and monitored.</w:t>
      </w:r>
    </w:p>
    <w:p>
      <w:pPr>
        <w:keepNext/>
        <w:spacing w:before="0" w:after="50" w:line="250" w:lineRule="auto"/>
      </w:pPr>
      <w:r>
        <w:rPr>
          <w:rFonts w:ascii="Calibri" w:hAnsi="Calibri"/>
          <w:color w:val="000000"/>
          <w:sz w:val="20"/>
        </w:rPr>
        <w:t xml:space="preserve">Event: Capture</w:t>
      </w:r>
    </w:p>
    <w:p>
      <w:pPr>
        <w:spacing w:before="0" w:after="50" w:line="250" w:lineRule="auto"/>
      </w:pPr>
      <w:r>
        <w:rPr>
          <w:rFonts w:ascii="Calibri" w:hAnsi="Calibri"/>
          <w:color w:val="000000"/>
          <w:sz w:val="20"/>
        </w:rPr>
        <w:t xml:space="preserve">Essential relationship: Physical record, device configuration and original observation.</w:t>
      </w:r>
    </w:p>
    <w:p>
      <w:pPr>
        <w:keepNext/>
        <w:spacing w:before="0" w:after="50" w:line="250" w:lineRule="auto"/>
      </w:pPr>
      <w:r>
        <w:rPr>
          <w:rFonts w:ascii="Calibri" w:hAnsi="Calibri"/>
          <w:color w:val="000000"/>
          <w:sz w:val="20"/>
        </w:rPr>
        <w:t xml:space="preserve">Event: Analysis</w:t>
      </w:r>
    </w:p>
    <w:p>
      <w:pPr>
        <w:spacing w:before="0" w:after="50" w:line="250" w:lineRule="auto"/>
      </w:pPr>
      <w:r>
        <w:rPr>
          <w:rFonts w:ascii="Calibri" w:hAnsi="Calibri"/>
          <w:color w:val="000000"/>
          <w:sz w:val="20"/>
        </w:rPr>
        <w:t xml:space="preserve">Essential relationship: Input versions, calibration, algorithm and output.</w:t>
      </w:r>
    </w:p>
    <w:p>
      <w:pPr>
        <w:keepNext/>
        <w:spacing w:before="0" w:after="50" w:line="250" w:lineRule="auto"/>
      </w:pPr>
      <w:r>
        <w:rPr>
          <w:rFonts w:ascii="Calibri" w:hAnsi="Calibri"/>
          <w:color w:val="000000"/>
          <w:sz w:val="20"/>
        </w:rPr>
        <w:t xml:space="preserve">Event: Correction</w:t>
      </w:r>
    </w:p>
    <w:p>
      <w:pPr>
        <w:spacing w:before="0" w:after="50" w:line="250" w:lineRule="auto"/>
      </w:pPr>
      <w:r>
        <w:rPr>
          <w:rFonts w:ascii="Calibri" w:hAnsi="Calibri"/>
          <w:color w:val="000000"/>
          <w:sz w:val="20"/>
        </w:rPr>
        <w:t xml:space="preserve">Essential relationship: Previous state, revised state, author and reason.</w:t>
      </w:r>
    </w:p>
    <w:p>
      <w:pPr>
        <w:keepNext/>
        <w:spacing w:before="0" w:after="50" w:line="250" w:lineRule="auto"/>
      </w:pPr>
      <w:r>
        <w:rPr>
          <w:rFonts w:ascii="Calibri" w:hAnsi="Calibri"/>
          <w:color w:val="000000"/>
          <w:sz w:val="20"/>
        </w:rPr>
        <w:t xml:space="preserve">Event: Approval</w:t>
      </w:r>
    </w:p>
    <w:p>
      <w:pPr>
        <w:spacing w:before="0" w:after="50" w:line="250" w:lineRule="auto"/>
      </w:pPr>
      <w:r>
        <w:rPr>
          <w:rFonts w:ascii="Calibri" w:hAnsi="Calibri"/>
          <w:color w:val="000000"/>
          <w:sz w:val="20"/>
        </w:rPr>
        <w:t xml:space="preserve">Essential relationship: Reviewer and exact record version approved.</w:t>
      </w:r>
    </w:p>
    <w:p>
      <w:pPr>
        <w:keepNext/>
        <w:spacing w:before="0" w:after="50" w:line="250" w:lineRule="auto"/>
      </w:pPr>
      <w:r>
        <w:rPr>
          <w:rFonts w:ascii="Calibri" w:hAnsi="Calibri"/>
          <w:color w:val="000000"/>
          <w:sz w:val="20"/>
        </w:rPr>
        <w:t xml:space="preserve">Event: Export</w:t>
      </w:r>
    </w:p>
    <w:p>
      <w:pPr>
        <w:spacing w:before="0" w:after="50" w:line="250" w:lineRule="auto"/>
      </w:pPr>
      <w:r>
        <w:rPr>
          <w:rFonts w:ascii="Calibri" w:hAnsi="Calibri"/>
          <w:color w:val="000000"/>
          <w:sz w:val="20"/>
        </w:rPr>
        <w:t xml:space="preserve">Essential relationship: Released version, destination and delivery state.</w:t>
      </w:r>
    </w:p>
    <w:p>
      <w:pPr>
        <w:keepNext/>
        <w:spacing w:before="0" w:after="50" w:line="250" w:lineRule="auto"/>
      </w:pPr>
      <w:r>
        <w:rPr>
          <w:rFonts w:ascii="Calibri" w:hAnsi="Calibri"/>
          <w:color w:val="000000"/>
          <w:sz w:val="20"/>
        </w:rPr>
        <w:t xml:space="preserve">Event: Administrative change</w:t>
      </w:r>
    </w:p>
    <w:p>
      <w:pPr>
        <w:spacing w:before="0" w:after="50" w:line="250" w:lineRule="auto"/>
      </w:pPr>
      <w:r>
        <w:rPr>
          <w:rFonts w:ascii="Calibri" w:hAnsi="Calibri"/>
          <w:color w:val="000000"/>
          <w:sz w:val="20"/>
        </w:rPr>
        <w:t xml:space="preserve">Essential relationship: Authorized actor, scope and affected access or configuration.</w:t>
      </w:r>
    </w:p>
    <w:p>
      <w:pPr>
        <w:pStyle w:val="Heading3"/>
        <w:keepNext/>
        <w:keepLines/>
        <w:spacing w:before="240" w:after="120" w:line="269" w:lineRule="auto"/>
      </w:pPr>
      <w:r>
        <w:rPr>
          <w:color w:val="000000"/>
        </w:rPr>
        <w:t>Integrity and completeness are different</w:t>
      </w:r>
    </w:p>
    <w:p>
      <w:pPr>
        <w:pStyle w:val="Normal"/>
        <w:spacing w:before="0" w:after="50" w:line="250" w:lineRule="auto"/>
        <w:rPr/>
      </w:pPr>
      <w:r>
        <w:rPr>
          <w:rFonts w:ascii="Calibri" w:hAnsi="Calibri"/>
          <w:color w:val="000000"/>
          <w:sz w:val="20"/>
        </w:rPr>
        <w:t>A cryptographic integrity check can reveal changed bytes, but it cannot prove that an event was recorded truthfully or that all relevant events exist. The system needs reliable event generation, durable storage, clock context and reconciliation of interrupted operations.</w:t>
      </w:r>
    </w:p>
    <w:p>
      <w:pPr>
        <w:pStyle w:val="Normal"/>
        <w:spacing w:before="0" w:after="50" w:line="250" w:lineRule="auto"/>
        <w:rPr/>
      </w:pPr>
      <w:r>
        <w:rPr>
          <w:rFonts w:ascii="Calibri" w:hAnsi="Calibri"/>
          <w:color w:val="000000"/>
          <w:sz w:val="20"/>
        </w:rPr>
        <w:t>Verification should include attempts to bypass normal editing paths, interrupted writes and corrections after export. The resulting history should remain understandable to an authorized reviewer. Retention and deletion policies must also account for applicable legal and institutional requirements; “immutable” should describe controlled alteration behavior, not an unqualified promise to retain personal data forever.</w:t>
      </w:r>
    </w:p>
    <w:p>
      <w:pPr>
        <w:pStyle w:val="Heading3"/>
        <w:keepNext/>
        <w:keepLines/>
        <w:spacing w:before="240" w:after="120" w:line="269" w:lineRule="auto"/>
      </w:pPr>
      <w:r>
        <w:rPr>
          <w:color w:val="000000"/>
        </w:rPr>
        <w:t>Data minimization and purpose</w:t>
      </w:r>
    </w:p>
    <w:p>
      <w:pPr>
        <w:pStyle w:val="Normal"/>
        <w:keepNext/>
        <w:spacing w:before="0" w:after="50" w:line="250" w:lineRule="auto"/>
        <w:rPr/>
      </w:pPr>
      <w:r>
        <w:rPr>
          <w:rFonts w:ascii="Calibri" w:hAnsi="Calibri"/>
          <w:b/>
          <w:color w:val="000000"/>
          <w:sz w:val="20"/>
        </w:rPr>
        <w:t>Collect data for a defined purpose</w:t>
      </w:r>
    </w:p>
    <w:p>
      <w:pPr>
        <w:pStyle w:val="Normal"/>
        <w:spacing w:before="0" w:after="50" w:line="250" w:lineRule="auto"/>
        <w:rPr/>
      </w:pPr>
      <w:r>
        <w:rPr>
          <w:rFonts w:ascii="Calibri" w:hAnsi="Calibri"/>
          <w:color w:val="000000"/>
          <w:sz w:val="20"/>
        </w:rPr>
        <w:t>Data minimization begins by identifying what each product function needs. A service engineer may require a calibration trend and hardware version without needing patient identifiers. A measurement algorithm may require a plate image whose label region contains information irrelevant to analysis. The design should reduce unnecessary exposure at the point of collection and use.</w:t>
      </w:r>
    </w:p>
    <w:p>
      <w:pPr>
        <w:pStyle w:val="Heading3"/>
        <w:keepNext/>
        <w:keepLines/>
        <w:spacing w:before="240" w:after="120" w:line="269" w:lineRule="auto"/>
      </w:pPr>
      <w:r>
        <w:rPr>
          <w:color w:val="000000"/>
        </w:rPr>
        <w:t>Proposed purpose map</w:t>
      </w:r>
    </w:p>
    <w:p>
      <w:pPr>
        <w:pStyle w:val="Normal"/>
        <w:spacing w:before="0" w:after="50" w:line="250" w:lineRule="auto"/>
        <w:rPr/>
      </w:pPr>
      <w:r>
        <w:rPr>
          <w:rFonts w:ascii="Calibri" w:hAnsi="Calibri"/>
          <w:color w:val="000000"/>
          <w:sz w:val="20"/>
        </w:rPr>
        <w:t>Each data class should have a documented purpose, authorized roles, retention basis and permitted onward use. Clinical operation, service diagnostics, product improvement and research are distinct purposes that may require different permissions and agreements.</w:t>
      </w:r>
    </w:p>
    <w:p>
      <w:pPr>
        <w:spacing w:before="0" w:after="50" w:line="250" w:lineRule="auto"/>
      </w:pPr>
      <w:r>
        <w:rPr>
          <w:rFonts w:ascii="Calibri" w:hAnsi="Calibri"/>
          <w:color w:val="000000"/>
          <w:sz w:val="20"/>
        </w:rPr>
        <w:t xml:space="preserve">Data class: Plate image</w:t>
      </w:r>
    </w:p>
    <w:p>
      <w:pPr>
        <w:spacing w:before="0" w:after="50" w:line="250" w:lineRule="auto"/>
      </w:pPr>
      <w:r>
        <w:rPr>
          <w:rFonts w:ascii="Calibri" w:hAnsi="Calibri"/>
          <w:color w:val="000000"/>
          <w:sz w:val="20"/>
        </w:rPr>
        <w:t xml:space="preserve">Example purpose: Measurement and review</w:t>
      </w:r>
    </w:p>
    <w:p>
      <w:pPr>
        <w:spacing w:before="0" w:after="50" w:line="250" w:lineRule="auto"/>
      </w:pPr>
      <w:r>
        <w:rPr>
          <w:rFonts w:ascii="Calibri" w:hAnsi="Calibri"/>
          <w:color w:val="000000"/>
          <w:sz w:val="20"/>
        </w:rPr>
        <w:t xml:space="preserve">Minimization question: Can irrelevant label information be excluded from a research derivative?</w:t>
      </w:r>
    </w:p>
    <w:p>
      <w:pPr>
        <w:spacing w:before="0" w:after="50" w:line="250" w:lineRule="auto"/>
      </w:pPr>
      <w:r>
        <w:rPr>
          <w:rFonts w:ascii="Calibri" w:hAnsi="Calibri"/>
          <w:color w:val="000000"/>
          <w:sz w:val="20"/>
        </w:rPr>
        <w:t xml:space="preserve">Data class: Clinical identifier</w:t>
      </w:r>
    </w:p>
    <w:p>
      <w:pPr>
        <w:spacing w:before="0" w:after="50" w:line="250" w:lineRule="auto"/>
      </w:pPr>
      <w:r>
        <w:rPr>
          <w:rFonts w:ascii="Calibri" w:hAnsi="Calibri"/>
          <w:color w:val="000000"/>
          <w:sz w:val="20"/>
        </w:rPr>
        <w:t xml:space="preserve">Example purpose: Correct case association</w:t>
      </w:r>
    </w:p>
    <w:p>
      <w:pPr>
        <w:spacing w:before="0" w:after="50" w:line="250" w:lineRule="auto"/>
      </w:pPr>
      <w:r>
        <w:rPr>
          <w:rFonts w:ascii="Calibri" w:hAnsi="Calibri"/>
          <w:color w:val="000000"/>
          <w:sz w:val="20"/>
        </w:rPr>
        <w:t xml:space="preserve">Minimization question: Which roles need direct identification?</w:t>
      </w:r>
    </w:p>
    <w:p>
      <w:pPr>
        <w:spacing w:before="0" w:after="50" w:line="250" w:lineRule="auto"/>
      </w:pPr>
      <w:r>
        <w:rPr>
          <w:rFonts w:ascii="Calibri" w:hAnsi="Calibri"/>
          <w:color w:val="000000"/>
          <w:sz w:val="20"/>
        </w:rPr>
        <w:t xml:space="preserve">Data class: Device telemetry</w:t>
      </w:r>
    </w:p>
    <w:p>
      <w:pPr>
        <w:spacing w:before="0" w:after="50" w:line="250" w:lineRule="auto"/>
      </w:pPr>
      <w:r>
        <w:rPr>
          <w:rFonts w:ascii="Calibri" w:hAnsi="Calibri"/>
          <w:color w:val="000000"/>
          <w:sz w:val="20"/>
        </w:rPr>
        <w:t xml:space="preserve">Example purpose: Maintenance and quality</w:t>
      </w:r>
    </w:p>
    <w:p>
      <w:pPr>
        <w:spacing w:before="0" w:after="50" w:line="250" w:lineRule="auto"/>
      </w:pPr>
      <w:r>
        <w:rPr>
          <w:rFonts w:ascii="Calibri" w:hAnsi="Calibri"/>
          <w:color w:val="000000"/>
          <w:sz w:val="20"/>
        </w:rPr>
        <w:t xml:space="preserve">Minimization question: Can service proceed without biological content?</w:t>
      </w:r>
    </w:p>
    <w:p>
      <w:pPr>
        <w:spacing w:before="0" w:after="50" w:line="250" w:lineRule="auto"/>
      </w:pPr>
      <w:r>
        <w:rPr>
          <w:rFonts w:ascii="Calibri" w:hAnsi="Calibri"/>
          <w:color w:val="000000"/>
          <w:sz w:val="20"/>
        </w:rPr>
        <w:t xml:space="preserve">Data class: Research annotation</w:t>
      </w:r>
    </w:p>
    <w:p>
      <w:pPr>
        <w:spacing w:before="0" w:after="50" w:line="250" w:lineRule="auto"/>
      </w:pPr>
      <w:r>
        <w:rPr>
          <w:rFonts w:ascii="Calibri" w:hAnsi="Calibri"/>
          <w:color w:val="000000"/>
          <w:sz w:val="20"/>
        </w:rPr>
        <w:t xml:space="preserve">Example purpose: Model development</w:t>
      </w:r>
    </w:p>
    <w:p>
      <w:pPr>
        <w:spacing w:before="0" w:after="50" w:line="250" w:lineRule="auto"/>
      </w:pPr>
      <w:r>
        <w:rPr>
          <w:rFonts w:ascii="Calibri" w:hAnsi="Calibri"/>
          <w:color w:val="000000"/>
          <w:sz w:val="20"/>
        </w:rPr>
        <w:t xml:space="preserve">Minimization question: Is the dataset authorized for this specific reuse?</w:t>
      </w:r>
    </w:p>
    <w:p>
      <w:pPr>
        <w:spacing w:before="0" w:after="50" w:line="250" w:lineRule="auto"/>
      </w:pPr>
      <w:r>
        <w:rPr>
          <w:rFonts w:ascii="Calibri" w:hAnsi="Calibri"/>
          <w:color w:val="000000"/>
          <w:sz w:val="20"/>
        </w:rPr>
        <w:t xml:space="preserve">Data class: Audit event</w:t>
      </w:r>
    </w:p>
    <w:p>
      <w:pPr>
        <w:spacing w:before="0" w:after="50" w:line="250" w:lineRule="auto"/>
      </w:pPr>
      <w:r>
        <w:rPr>
          <w:rFonts w:ascii="Calibri" w:hAnsi="Calibri"/>
          <w:color w:val="000000"/>
          <w:sz w:val="20"/>
        </w:rPr>
        <w:t xml:space="preserve">Example purpose: Accountability and investigation</w:t>
      </w:r>
    </w:p>
    <w:p>
      <w:pPr>
        <w:spacing w:before="0" w:after="50" w:line="250" w:lineRule="auto"/>
      </w:pPr>
      <w:r>
        <w:rPr>
          <w:rFonts w:ascii="Calibri" w:hAnsi="Calibri"/>
          <w:color w:val="000000"/>
          <w:sz w:val="20"/>
        </w:rPr>
        <w:t xml:space="preserve">Minimization question: What detail is necessary and how long is it required?</w:t>
      </w:r>
    </w:p>
    <w:p>
      <w:pPr>
        <w:pStyle w:val="Heading3"/>
        <w:keepNext/>
        <w:keepLines/>
        <w:spacing w:before="240" w:after="120" w:line="269" w:lineRule="auto"/>
      </w:pPr>
      <w:r>
        <w:rPr>
          <w:color w:val="000000"/>
        </w:rPr>
        <w:t>Preserve useful lineage without excessive disclosure</w:t>
      </w:r>
    </w:p>
    <w:p>
      <w:pPr>
        <w:pStyle w:val="Normal"/>
        <w:spacing w:before="0" w:after="50" w:line="250" w:lineRule="auto"/>
        <w:rPr/>
      </w:pPr>
      <w:r>
        <w:rPr>
          <w:rFonts w:ascii="Calibri" w:hAnsi="Calibri"/>
          <w:color w:val="000000"/>
          <w:sz w:val="20"/>
        </w:rPr>
        <w:t>Pseudonymous identifiers can support linkage within an authorized workflow while limiting routine access to direct identifiers. The reidentification mapping should have its own access controls. Pseudonymization is not the same as anonymization, because the relationship may still be recoverable.</w:t>
      </w:r>
    </w:p>
    <w:p>
      <w:pPr>
        <w:pStyle w:val="Normal"/>
        <w:spacing w:before="0" w:after="50" w:line="250" w:lineRule="auto"/>
        <w:rPr/>
      </w:pPr>
      <w:r>
        <w:rPr>
          <w:rFonts w:ascii="Calibri" w:hAnsi="Calibri"/>
          <w:color w:val="000000"/>
          <w:sz w:val="20"/>
        </w:rPr>
        <w:t>The proposed platform should make purpose restrictions enforceable through permissions and data flows. A broad statement that all available repositories will train an AI would be inconsistent with this approach. Curated, licensed and purpose-specific access can support useful research while preserving the rights and responsibilities attached to each source.</w:t>
      </w:r>
    </w:p>
    <w:p>
      <w:pPr>
        <w:pStyle w:val="Heading3"/>
        <w:keepNext/>
        <w:keepLines/>
        <w:spacing w:before="240" w:after="120" w:line="269" w:lineRule="auto"/>
      </w:pPr>
      <w:r>
        <w:rPr>
          <w:color w:val="000000"/>
        </w:rPr>
        <w:t>Consent and lawful data use</w:t>
      </w:r>
    </w:p>
    <w:p>
      <w:pPr>
        <w:pStyle w:val="Normal"/>
        <w:keepNext/>
        <w:spacing w:before="0" w:after="50" w:line="250" w:lineRule="auto"/>
        <w:rPr/>
      </w:pPr>
      <w:r>
        <w:rPr>
          <w:rFonts w:ascii="Calibri" w:hAnsi="Calibri"/>
          <w:b/>
          <w:color w:val="000000"/>
          <w:sz w:val="20"/>
        </w:rPr>
        <w:t>Lawful use must be assessed for the actual data flow</w:t>
      </w:r>
    </w:p>
    <w:p>
      <w:pPr>
        <w:pStyle w:val="Normal"/>
        <w:spacing w:before="0" w:after="50" w:line="250" w:lineRule="auto"/>
        <w:rPr/>
      </w:pPr>
      <w:r>
        <w:rPr>
          <w:rFonts w:ascii="Calibri" w:hAnsi="Calibri"/>
          <w:color w:val="000000"/>
          <w:sz w:val="20"/>
        </w:rPr>
        <w:t>The legal and ethical basis for collecting, storing and reusing data depends on jurisdiction, institutional roles, purpose and the nature of the information. A laboratory's permission to process a specimen does not automatically authorize every form of commercial model training or onward sharing. The proposed programme should document these distinctions before data collection.</w:t>
      </w:r>
    </w:p>
    <w:p>
      <w:pPr>
        <w:pStyle w:val="Heading3"/>
        <w:keepNext/>
        <w:keepLines/>
        <w:spacing w:before="240" w:after="120" w:line="269" w:lineRule="auto"/>
      </w:pPr>
      <w:r>
        <w:rPr>
          <w:color w:val="000000"/>
        </w:rPr>
        <w:t>Current Indian planning context</w:t>
      </w:r>
    </w:p>
    <w:p>
      <w:pPr>
        <w:pStyle w:val="Normal"/>
        <w:spacing w:before="0" w:after="50" w:line="250" w:lineRule="auto"/>
        <w:rPr/>
      </w:pPr>
      <w:r>
        <w:rPr>
          <w:rFonts w:ascii="Calibri" w:hAnsi="Calibri"/>
          <w:color w:val="000000"/>
          <w:sz w:val="20"/>
        </w:rPr>
        <w:t xml:space="preserve">India's final Digital Personal Data Protection Rules, 2025 provide phased commencement. The Gazette distinguishes provisions commencing at publication, after one year and after eighteen months. Applicable obligations, corrections and other relevant law must therefore be checked for the deployment date and processing arrangement. This compendium describes design intentions, not a legal compliance determination. </w:t>
      </w:r>
    </w:p>
    <w:p>
      <w:pPr>
        <w:spacing w:before="0" w:after="50" w:line="250" w:lineRule="auto"/>
      </w:pPr>
      <w:r>
        <w:rPr>
          <w:rFonts w:ascii="Calibri" w:hAnsi="Calibri"/>
          <w:color w:val="000000"/>
          <w:sz w:val="20"/>
        </w:rPr>
        <w:t xml:space="preserve">Governance question: Who determines the purpose?</w:t>
      </w:r>
    </w:p>
    <w:p>
      <w:pPr>
        <w:spacing w:before="0" w:after="50" w:line="250" w:lineRule="auto"/>
      </w:pPr>
      <w:r>
        <w:rPr>
          <w:rFonts w:ascii="Calibri" w:hAnsi="Calibri"/>
          <w:color w:val="000000"/>
          <w:sz w:val="20"/>
        </w:rPr>
        <w:t xml:space="preserve">Required project decision: Identify institutional and company responsibilities.</w:t>
      </w:r>
    </w:p>
    <w:p>
      <w:pPr>
        <w:spacing w:before="0" w:after="50" w:line="250" w:lineRule="auto"/>
      </w:pPr>
      <w:r>
        <w:rPr>
          <w:rFonts w:ascii="Calibri" w:hAnsi="Calibri"/>
          <w:color w:val="000000"/>
          <w:sz w:val="20"/>
        </w:rPr>
        <w:t xml:space="preserve">Governance question: What use is authorized?</w:t>
      </w:r>
    </w:p>
    <w:p>
      <w:pPr>
        <w:spacing w:before="0" w:after="50" w:line="250" w:lineRule="auto"/>
      </w:pPr>
      <w:r>
        <w:rPr>
          <w:rFonts w:ascii="Calibri" w:hAnsi="Calibri"/>
          <w:color w:val="000000"/>
          <w:sz w:val="20"/>
        </w:rPr>
        <w:t xml:space="preserve">Required project decision: Separate clinical, service, research and model-development purposes.</w:t>
      </w:r>
    </w:p>
    <w:p>
      <w:pPr>
        <w:spacing w:before="0" w:after="50" w:line="250" w:lineRule="auto"/>
      </w:pPr>
      <w:r>
        <w:rPr>
          <w:rFonts w:ascii="Calibri" w:hAnsi="Calibri"/>
          <w:color w:val="000000"/>
          <w:sz w:val="20"/>
        </w:rPr>
        <w:t xml:space="preserve">Governance question: What information is provided?</w:t>
      </w:r>
    </w:p>
    <w:p>
      <w:pPr>
        <w:spacing w:before="0" w:after="50" w:line="250" w:lineRule="auto"/>
      </w:pPr>
      <w:r>
        <w:rPr>
          <w:rFonts w:ascii="Calibri" w:hAnsi="Calibri"/>
          <w:color w:val="000000"/>
          <w:sz w:val="20"/>
        </w:rPr>
        <w:t xml:space="preserve">Required project decision: Use understandable notices and appropriate consent or other lawful basis.</w:t>
      </w:r>
    </w:p>
    <w:p>
      <w:pPr>
        <w:spacing w:before="0" w:after="50" w:line="250" w:lineRule="auto"/>
      </w:pPr>
      <w:r>
        <w:rPr>
          <w:rFonts w:ascii="Calibri" w:hAnsi="Calibri"/>
          <w:color w:val="000000"/>
          <w:sz w:val="20"/>
        </w:rPr>
        <w:t xml:space="preserve">Governance question: Can data be shared?</w:t>
      </w:r>
    </w:p>
    <w:p>
      <w:pPr>
        <w:spacing w:before="0" w:after="50" w:line="250" w:lineRule="auto"/>
      </w:pPr>
      <w:r>
        <w:rPr>
          <w:rFonts w:ascii="Calibri" w:hAnsi="Calibri"/>
          <w:color w:val="000000"/>
          <w:sz w:val="20"/>
        </w:rPr>
        <w:t xml:space="preserve">Required project decision: Define recipients, locations, restrictions and onward use.</w:t>
      </w:r>
    </w:p>
    <w:p>
      <w:pPr>
        <w:spacing w:before="0" w:after="50" w:line="250" w:lineRule="auto"/>
      </w:pPr>
      <w:r>
        <w:rPr>
          <w:rFonts w:ascii="Calibri" w:hAnsi="Calibri"/>
          <w:color w:val="000000"/>
          <w:sz w:val="20"/>
        </w:rPr>
        <w:t xml:space="preserve">Governance question: What happens later?</w:t>
      </w:r>
    </w:p>
    <w:p>
      <w:pPr>
        <w:spacing w:before="0" w:after="50" w:line="250" w:lineRule="auto"/>
      </w:pPr>
      <w:r>
        <w:rPr>
          <w:rFonts w:ascii="Calibri" w:hAnsi="Calibri"/>
          <w:color w:val="000000"/>
          <w:sz w:val="20"/>
        </w:rPr>
        <w:t xml:space="preserve">Required project decision: Address withdrawal, retention, correction and rights handling as applicable.</w:t>
      </w:r>
    </w:p>
    <w:p>
      <w:pPr>
        <w:pStyle w:val="Heading3"/>
        <w:keepNext/>
        <w:keepLines/>
        <w:spacing w:before="240" w:after="120" w:line="269" w:lineRule="auto"/>
      </w:pPr>
      <w:r>
        <w:rPr>
          <w:color w:val="000000"/>
        </w:rPr>
        <w:t>Build controls that support the decision</w:t>
      </w:r>
    </w:p>
    <w:p>
      <w:pPr>
        <w:pStyle w:val="Normal"/>
        <w:spacing w:before="0" w:after="50" w:line="250" w:lineRule="auto"/>
        <w:rPr/>
      </w:pPr>
      <w:r>
        <w:rPr>
          <w:rFonts w:ascii="Calibri" w:hAnsi="Calibri"/>
          <w:color w:val="000000"/>
          <w:sz w:val="20"/>
        </w:rPr>
        <w:t>The system should retain evidence of the applicable permission or agreement without exposing unnecessary personal information. Research datasets need approval and access records appropriate to the study. A change in purpose should trigger reassessment rather than being treated as covered by a historical generic permission.</w:t>
      </w:r>
    </w:p>
    <w:p>
      <w:pPr>
        <w:pStyle w:val="Normal"/>
        <w:spacing w:before="0" w:after="50" w:line="250" w:lineRule="auto"/>
        <w:rPr/>
      </w:pPr>
      <w:r>
        <w:rPr>
          <w:rFonts w:ascii="Calibri" w:hAnsi="Calibri"/>
          <w:color w:val="000000"/>
          <w:sz w:val="20"/>
        </w:rPr>
        <w:t>The deployment team should obtain qualified legal and institutional review for the specific arrangement. Technical safeguards support lawful processing, but encryption or pseudonymization alone does not establish that a proposed use is authorized.</w:t>
      </w:r>
    </w:p>
    <w:p>
      <w:pPr>
        <w:pStyle w:val="Heading3"/>
        <w:keepNext/>
        <w:keepLines/>
        <w:spacing w:before="240" w:after="120" w:line="269" w:lineRule="auto"/>
      </w:pPr>
      <w:r>
        <w:rPr>
          <w:color w:val="000000"/>
        </w:rPr>
        <w:t>Identity access and authorization</w:t>
      </w:r>
    </w:p>
    <w:p>
      <w:pPr>
        <w:pStyle w:val="Normal"/>
        <w:keepNext/>
        <w:spacing w:before="0" w:after="50" w:line="250" w:lineRule="auto"/>
        <w:rPr/>
      </w:pPr>
      <w:r>
        <w:rPr>
          <w:rFonts w:ascii="Calibri" w:hAnsi="Calibri"/>
          <w:b/>
          <w:color w:val="000000"/>
          <w:sz w:val="20"/>
        </w:rPr>
        <w:t>Authorization should be enforced where the data are accessed</w:t>
      </w:r>
    </w:p>
    <w:p>
      <w:pPr>
        <w:pStyle w:val="Normal"/>
        <w:spacing w:before="0" w:after="50" w:line="250" w:lineRule="auto"/>
        <w:rPr/>
      </w:pPr>
      <w:r>
        <w:rPr>
          <w:rFonts w:ascii="Calibri" w:hAnsi="Calibri"/>
          <w:color w:val="000000"/>
          <w:sz w:val="20"/>
        </w:rPr>
        <w:t>Authentication establishes an identity; authorization determines what that identity may do. The proposed platform should enforce permissions on the server or equivalent trusted boundary, including direct requests for records, images, exports and administrative actions. Hiding a button in the interface is not an access control.</w:t>
      </w:r>
    </w:p>
    <w:p>
      <w:pPr>
        <w:pStyle w:val="Heading3"/>
        <w:keepNext/>
        <w:keepLines/>
        <w:spacing w:before="240" w:after="120" w:line="269" w:lineRule="auto"/>
      </w:pPr>
      <w:r>
        <w:rPr>
          <w:color w:val="000000"/>
        </w:rPr>
        <w:t>Proposed role separation</w:t>
      </w:r>
    </w:p>
    <w:p>
      <w:pPr>
        <w:pStyle w:val="Normal"/>
        <w:spacing w:before="0" w:after="50" w:line="250" w:lineRule="auto"/>
        <w:rPr/>
      </w:pPr>
      <w:r>
        <w:rPr>
          <w:rFonts w:ascii="Calibri" w:hAnsi="Calibri"/>
          <w:color w:val="000000"/>
          <w:sz w:val="20"/>
        </w:rPr>
        <w:t>Laboratory reviewers, operators, service staff, researchers and administrators may need different privileges. Access should follow the minimum scope required for the task and be reviewed when responsibilities change. Shared accounts weaken accountability and should not be the default for consequential actions.</w:t>
      </w:r>
    </w:p>
    <w:p>
      <w:pPr>
        <w:spacing w:before="0" w:after="50" w:line="250" w:lineRule="auto"/>
      </w:pPr>
      <w:r>
        <w:rPr>
          <w:rFonts w:ascii="Calibri" w:hAnsi="Calibri"/>
          <w:color w:val="000000"/>
          <w:sz w:val="20"/>
        </w:rPr>
        <w:t xml:space="preserve">Access area: Clinical records</w:t>
      </w:r>
    </w:p>
    <w:p>
      <w:pPr>
        <w:spacing w:before="0" w:after="50" w:line="250" w:lineRule="auto"/>
      </w:pPr>
      <w:r>
        <w:rPr>
          <w:rFonts w:ascii="Calibri" w:hAnsi="Calibri"/>
          <w:color w:val="000000"/>
          <w:sz w:val="20"/>
        </w:rPr>
        <w:t xml:space="preserve">Proposed control: Organization and role-scoped authorization.</w:t>
      </w:r>
    </w:p>
    <w:p>
      <w:pPr>
        <w:spacing w:before="0" w:after="50" w:line="250" w:lineRule="auto"/>
      </w:pPr>
      <w:r>
        <w:rPr>
          <w:rFonts w:ascii="Calibri" w:hAnsi="Calibri"/>
          <w:color w:val="000000"/>
          <w:sz w:val="20"/>
        </w:rPr>
        <w:t xml:space="preserve">Access area: Review and release</w:t>
      </w:r>
    </w:p>
    <w:p>
      <w:pPr>
        <w:spacing w:before="0" w:after="50" w:line="250" w:lineRule="auto"/>
      </w:pPr>
      <w:r>
        <w:rPr>
          <w:rFonts w:ascii="Calibri" w:hAnsi="Calibri"/>
          <w:color w:val="000000"/>
          <w:sz w:val="20"/>
        </w:rPr>
        <w:t xml:space="preserve">Proposed control: Qualified role with exact-version approval.</w:t>
      </w:r>
    </w:p>
    <w:p>
      <w:pPr>
        <w:spacing w:before="0" w:after="50" w:line="250" w:lineRule="auto"/>
      </w:pPr>
      <w:r>
        <w:rPr>
          <w:rFonts w:ascii="Calibri" w:hAnsi="Calibri"/>
          <w:color w:val="000000"/>
          <w:sz w:val="20"/>
        </w:rPr>
        <w:t xml:space="preserve">Access area: Service diagnostics</w:t>
      </w:r>
    </w:p>
    <w:p>
      <w:pPr>
        <w:spacing w:before="0" w:after="50" w:line="250" w:lineRule="auto"/>
      </w:pPr>
      <w:r>
        <w:rPr>
          <w:rFonts w:ascii="Calibri" w:hAnsi="Calibri"/>
          <w:color w:val="000000"/>
          <w:sz w:val="20"/>
        </w:rPr>
        <w:t xml:space="preserve">Proposed control: Restricted technical data and time-bounded support access.</w:t>
      </w:r>
    </w:p>
    <w:p>
      <w:pPr>
        <w:spacing w:before="0" w:after="50" w:line="250" w:lineRule="auto"/>
      </w:pPr>
      <w:r>
        <w:rPr>
          <w:rFonts w:ascii="Calibri" w:hAnsi="Calibri"/>
          <w:color w:val="000000"/>
          <w:sz w:val="20"/>
        </w:rPr>
        <w:t xml:space="preserve">Access area: Research exports</w:t>
      </w:r>
    </w:p>
    <w:p>
      <w:pPr>
        <w:spacing w:before="0" w:after="50" w:line="250" w:lineRule="auto"/>
      </w:pPr>
      <w:r>
        <w:rPr>
          <w:rFonts w:ascii="Calibri" w:hAnsi="Calibri"/>
          <w:color w:val="000000"/>
          <w:sz w:val="20"/>
        </w:rPr>
        <w:t xml:space="preserve">Proposed control: Purpose-specific approval and dataset scope.</w:t>
      </w:r>
    </w:p>
    <w:p>
      <w:pPr>
        <w:spacing w:before="0" w:after="50" w:line="250" w:lineRule="auto"/>
      </w:pPr>
      <w:r>
        <w:rPr>
          <w:rFonts w:ascii="Calibri" w:hAnsi="Calibri"/>
          <w:color w:val="000000"/>
          <w:sz w:val="20"/>
        </w:rPr>
        <w:t xml:space="preserve">Access area: Administration</w:t>
      </w:r>
    </w:p>
    <w:p>
      <w:pPr>
        <w:spacing w:before="0" w:after="50" w:line="250" w:lineRule="auto"/>
      </w:pPr>
      <w:r>
        <w:rPr>
          <w:rFonts w:ascii="Calibri" w:hAnsi="Calibri"/>
          <w:color w:val="000000"/>
          <w:sz w:val="20"/>
        </w:rPr>
        <w:t xml:space="preserve">Proposed control: Strong authentication and auditable privilege changes.</w:t>
      </w:r>
    </w:p>
    <w:p>
      <w:pPr>
        <w:pStyle w:val="Heading3"/>
        <w:keepNext/>
        <w:keepLines/>
        <w:spacing w:before="240" w:after="120" w:line="269" w:lineRule="auto"/>
      </w:pPr>
      <w:r>
        <w:rPr>
          <w:color w:val="000000"/>
        </w:rPr>
        <w:t>Test the denied paths</w:t>
      </w:r>
    </w:p>
    <w:p>
      <w:pPr>
        <w:pStyle w:val="Normal"/>
        <w:spacing w:before="0" w:after="50" w:line="250" w:lineRule="auto"/>
        <w:rPr/>
      </w:pPr>
      <w:r>
        <w:rPr>
          <w:rFonts w:ascii="Calibri" w:hAnsi="Calibri"/>
          <w:color w:val="000000"/>
          <w:sz w:val="20"/>
        </w:rPr>
        <w:t>Verification should attempt access through direct object identifiers, stale links, alternate routes and lower-privilege sessions. A successful authorized request does not demonstrate that unauthorized requests are rejected. Signed links and cached files need expiry and scope consistent with the intended access policy.</w:t>
      </w:r>
    </w:p>
    <w:p>
      <w:pPr>
        <w:pStyle w:val="Normal"/>
        <w:spacing w:before="0" w:after="50" w:line="250" w:lineRule="auto"/>
        <w:rPr/>
      </w:pPr>
      <w:r>
        <w:rPr>
          <w:rFonts w:ascii="Calibri" w:hAnsi="Calibri"/>
          <w:color w:val="000000"/>
          <w:sz w:val="20"/>
        </w:rPr>
        <w:t>Session revocation, account recovery and emergency access should have defined behavior. The system should preserve essential audit evidence while avoiding disclosure of credentials or secrets in logs. Controlled external review of a product document or research dataset should use an explicit audience and should not accidentally expose the same material through a public route or search index.</w:t>
      </w:r>
    </w:p>
    <w:p>
      <w:pPr>
        <w:pStyle w:val="Heading3"/>
        <w:keepNext/>
        <w:keepLines/>
        <w:spacing w:before="240" w:after="120" w:line="269" w:lineRule="auto"/>
      </w:pPr>
      <w:r>
        <w:rPr>
          <w:color w:val="000000"/>
        </w:rPr>
        <w:t>Encryption and key management</w:t>
      </w:r>
    </w:p>
    <w:p>
      <w:pPr>
        <w:pStyle w:val="Normal"/>
        <w:keepNext/>
        <w:spacing w:before="0" w:after="50" w:line="250" w:lineRule="auto"/>
        <w:rPr/>
      </w:pPr>
      <w:r>
        <w:rPr>
          <w:rFonts w:ascii="Calibri" w:hAnsi="Calibri"/>
          <w:b/>
          <w:color w:val="000000"/>
          <w:sz w:val="20"/>
        </w:rPr>
        <w:t>Encryption depends on key management and endpoint controls</w:t>
      </w:r>
    </w:p>
    <w:p>
      <w:pPr>
        <w:pStyle w:val="Normal"/>
        <w:spacing w:before="0" w:after="50" w:line="250" w:lineRule="auto"/>
        <w:rPr/>
      </w:pPr>
      <w:r>
        <w:rPr>
          <w:rFonts w:ascii="Calibri" w:hAnsi="Calibri"/>
          <w:color w:val="000000"/>
          <w:sz w:val="20"/>
        </w:rPr>
        <w:t>The proposed system should protect sensitive data in transit and at rest using established, appropriately configured cryptographic mechanisms. Encryption is one layer of protection. An authorized application with excessive access, a compromised endpoint or an exposed key can still disclose encrypted information after decryption.</w:t>
      </w:r>
    </w:p>
    <w:p>
      <w:pPr>
        <w:pStyle w:val="Heading3"/>
        <w:keepNext/>
        <w:keepLines/>
        <w:spacing w:before="240" w:after="120" w:line="269" w:lineRule="auto"/>
      </w:pPr>
      <w:r>
        <w:rPr>
          <w:color w:val="000000"/>
        </w:rPr>
        <w:t>Proposed key lifecycle</w:t>
      </w:r>
    </w:p>
    <w:p>
      <w:pPr>
        <w:pStyle w:val="Normal"/>
        <w:spacing w:before="0" w:after="50" w:line="250" w:lineRule="auto"/>
        <w:rPr/>
      </w:pPr>
      <w:r>
        <w:rPr>
          <w:rFonts w:ascii="Calibri" w:hAnsi="Calibri"/>
          <w:color w:val="000000"/>
          <w:sz w:val="20"/>
        </w:rPr>
        <w:t>Keys and credentials should be provisioned through controlled mechanisms, stored outside source code and ordinary logs, rotated where appropriate and revoked when no longer authorized. Recovery arrangements must avoid making a single lost key the cause of permanent loss of required records.</w:t>
      </w:r>
    </w:p>
    <w:p>
      <w:pPr>
        <w:spacing w:before="0" w:after="50" w:line="250" w:lineRule="auto"/>
      </w:pPr>
      <w:r>
        <w:rPr>
          <w:rFonts w:ascii="Calibri" w:hAnsi="Calibri"/>
          <w:color w:val="000000"/>
          <w:sz w:val="20"/>
        </w:rPr>
        <w:t xml:space="preserve">Protection area: Transport</w:t>
      </w:r>
    </w:p>
    <w:p>
      <w:pPr>
        <w:spacing w:before="0" w:after="50" w:line="250" w:lineRule="auto"/>
      </w:pPr>
      <w:r>
        <w:rPr>
          <w:rFonts w:ascii="Calibri" w:hAnsi="Calibri"/>
          <w:color w:val="000000"/>
          <w:sz w:val="20"/>
        </w:rPr>
        <w:t xml:space="preserve">Proposed verification: Correct certificate validation and rejection of insecure connections.</w:t>
      </w:r>
    </w:p>
    <w:p>
      <w:pPr>
        <w:spacing w:before="0" w:after="50" w:line="250" w:lineRule="auto"/>
      </w:pPr>
      <w:r>
        <w:rPr>
          <w:rFonts w:ascii="Calibri" w:hAnsi="Calibri"/>
          <w:color w:val="000000"/>
          <w:sz w:val="20"/>
        </w:rPr>
        <w:t xml:space="preserve">Protection area: Stored data</w:t>
      </w:r>
    </w:p>
    <w:p>
      <w:pPr>
        <w:spacing w:before="0" w:after="50" w:line="250" w:lineRule="auto"/>
      </w:pPr>
      <w:r>
        <w:rPr>
          <w:rFonts w:ascii="Calibri" w:hAnsi="Calibri"/>
          <w:color w:val="000000"/>
          <w:sz w:val="20"/>
        </w:rPr>
        <w:t xml:space="preserve">Proposed verification: Coverage of databases, object storage, backups and local caches.</w:t>
      </w:r>
    </w:p>
    <w:p>
      <w:pPr>
        <w:spacing w:before="0" w:after="50" w:line="250" w:lineRule="auto"/>
      </w:pPr>
      <w:r>
        <w:rPr>
          <w:rFonts w:ascii="Calibri" w:hAnsi="Calibri"/>
          <w:color w:val="000000"/>
          <w:sz w:val="20"/>
        </w:rPr>
        <w:t xml:space="preserve">Protection area: Secrets</w:t>
      </w:r>
    </w:p>
    <w:p>
      <w:pPr>
        <w:spacing w:before="0" w:after="50" w:line="250" w:lineRule="auto"/>
      </w:pPr>
      <w:r>
        <w:rPr>
          <w:rFonts w:ascii="Calibri" w:hAnsi="Calibri"/>
          <w:color w:val="000000"/>
          <w:sz w:val="20"/>
        </w:rPr>
        <w:t xml:space="preserve">Proposed verification: Absence from source, public assets, logs and exports.</w:t>
      </w:r>
    </w:p>
    <w:p>
      <w:pPr>
        <w:spacing w:before="0" w:after="50" w:line="250" w:lineRule="auto"/>
      </w:pPr>
      <w:r>
        <w:rPr>
          <w:rFonts w:ascii="Calibri" w:hAnsi="Calibri"/>
          <w:color w:val="000000"/>
          <w:sz w:val="20"/>
        </w:rPr>
        <w:t xml:space="preserve">Protection area: Key access</w:t>
      </w:r>
    </w:p>
    <w:p>
      <w:pPr>
        <w:spacing w:before="0" w:after="50" w:line="250" w:lineRule="auto"/>
      </w:pPr>
      <w:r>
        <w:rPr>
          <w:rFonts w:ascii="Calibri" w:hAnsi="Calibri"/>
          <w:color w:val="000000"/>
          <w:sz w:val="20"/>
        </w:rPr>
        <w:t xml:space="preserve">Proposed verification: Role separation and audit of sensitive operations.</w:t>
      </w:r>
    </w:p>
    <w:p>
      <w:pPr>
        <w:spacing w:before="0" w:after="50" w:line="250" w:lineRule="auto"/>
      </w:pPr>
      <w:r>
        <w:rPr>
          <w:rFonts w:ascii="Calibri" w:hAnsi="Calibri"/>
          <w:color w:val="000000"/>
          <w:sz w:val="20"/>
        </w:rPr>
        <w:t xml:space="preserve">Protection area: Recovery</w:t>
      </w:r>
    </w:p>
    <w:p>
      <w:pPr>
        <w:spacing w:before="0" w:after="50" w:line="250" w:lineRule="auto"/>
      </w:pPr>
      <w:r>
        <w:rPr>
          <w:rFonts w:ascii="Calibri" w:hAnsi="Calibri"/>
          <w:color w:val="000000"/>
          <w:sz w:val="20"/>
        </w:rPr>
        <w:t xml:space="preserve">Proposed verification: Tested restoration with authorized access to required keys.</w:t>
      </w:r>
    </w:p>
    <w:p>
      <w:pPr>
        <w:pStyle w:val="Heading3"/>
        <w:keepNext/>
        <w:keepLines/>
        <w:spacing w:before="240" w:after="120" w:line="269" w:lineRule="auto"/>
      </w:pPr>
      <w:r>
        <w:rPr>
          <w:color w:val="000000"/>
        </w:rPr>
        <w:t>Include devices and removable media</w:t>
      </w:r>
    </w:p>
    <w:p>
      <w:pPr>
        <w:pStyle w:val="Normal"/>
        <w:spacing w:before="0" w:after="50" w:line="250" w:lineRule="auto"/>
        <w:rPr/>
      </w:pPr>
      <w:r>
        <w:rPr>
          <w:rFonts w:ascii="Calibri" w:hAnsi="Calibri"/>
          <w:color w:val="000000"/>
          <w:sz w:val="20"/>
        </w:rPr>
        <w:t>An instrument may retain images or queued records during offline operation. Its local storage and service access need protection appropriate to the data. Exported files can also leave the application's controls, so the export workflow should identify the recipient, purpose and permitted handling.</w:t>
      </w:r>
    </w:p>
    <w:p>
      <w:pPr>
        <w:pStyle w:val="Normal"/>
        <w:spacing w:before="0" w:after="50" w:line="250" w:lineRule="auto"/>
        <w:rPr/>
      </w:pPr>
      <w:r>
        <w:rPr>
          <w:rFonts w:ascii="Calibri" w:hAnsi="Calibri"/>
          <w:color w:val="000000"/>
          <w:sz w:val="20"/>
        </w:rPr>
        <w:t>The engineering specification should use current supported security mechanisms and independent review rather than inventing a custom encryption scheme. Verification should include configuration and operational procedures, not only the presence of an encryption library. The product claim should describe the implemented protection accurately without suggesting that encryption makes the system immune to compromise.</w:t>
      </w:r>
    </w:p>
    <w:p>
      <w:pPr>
        <w:pStyle w:val="Heading3"/>
        <w:keepNext/>
        <w:keepLines/>
        <w:spacing w:before="240" w:after="120" w:line="269" w:lineRule="auto"/>
      </w:pPr>
      <w:r>
        <w:rPr>
          <w:color w:val="000000"/>
        </w:rPr>
        <w:t>Secure software development</w:t>
      </w:r>
    </w:p>
    <w:p>
      <w:pPr>
        <w:pStyle w:val="Normal"/>
        <w:keepNext/>
        <w:spacing w:before="0" w:after="50" w:line="250" w:lineRule="auto"/>
        <w:rPr/>
      </w:pPr>
      <w:r>
        <w:rPr>
          <w:rFonts w:ascii="Calibri" w:hAnsi="Calibri"/>
          <w:b/>
          <w:color w:val="000000"/>
          <w:sz w:val="20"/>
        </w:rPr>
        <w:t>Security engineering should be part of ordinary development</w:t>
      </w:r>
    </w:p>
    <w:p>
      <w:pPr>
        <w:pStyle w:val="Normal"/>
        <w:spacing w:before="0" w:after="50" w:line="250" w:lineRule="auto"/>
        <w:rPr/>
      </w:pPr>
      <w:r>
        <w:rPr>
          <w:rFonts w:ascii="Calibri" w:hAnsi="Calibri"/>
          <w:color w:val="000000"/>
          <w:sz w:val="20"/>
        </w:rPr>
        <w:t xml:space="preserve">The proposed software lifecycle should include threat modelling, secure design, dependency management, code review, verification and vulnerability response. Security requirements should follow the product's assets and trust boundaries. Medical-device cybersecurity guidance and health-software security standards provide relevant planning references, with applicability assessed for the intended product.  </w:t>
      </w:r>
    </w:p>
    <w:p>
      <w:pPr>
        <w:pStyle w:val="Heading3"/>
        <w:keepNext/>
        <w:keepLines/>
        <w:spacing w:before="240" w:after="120" w:line="269" w:lineRule="auto"/>
      </w:pPr>
      <w:r>
        <w:rPr>
          <w:color w:val="000000"/>
        </w:rPr>
        <w:t>Track the software supply chain</w:t>
      </w:r>
    </w:p>
    <w:p>
      <w:pPr>
        <w:pStyle w:val="Normal"/>
        <w:spacing w:before="0" w:after="50" w:line="250" w:lineRule="auto"/>
        <w:rPr/>
      </w:pPr>
      <w:r>
        <w:rPr>
          <w:rFonts w:ascii="Calibri" w:hAnsi="Calibri"/>
          <w:color w:val="000000"/>
          <w:sz w:val="20"/>
        </w:rPr>
        <w:t>A software bill of materials identifies relevant components and versions. It supports vulnerability assessment and change management but does not itself prove security. The team should determine whether a reported vulnerability is reachable in the product and what mitigation or update is needed.</w:t>
      </w:r>
    </w:p>
    <w:p>
      <w:pPr>
        <w:spacing w:before="0" w:after="50" w:line="250" w:lineRule="auto"/>
      </w:pPr>
      <w:r>
        <w:rPr>
          <w:rFonts w:ascii="Calibri" w:hAnsi="Calibri"/>
          <w:color w:val="000000"/>
          <w:sz w:val="20"/>
        </w:rPr>
        <w:t xml:space="preserve">Development activity: Threat assessment</w:t>
      </w:r>
    </w:p>
    <w:p>
      <w:pPr>
        <w:spacing w:before="0" w:after="50" w:line="250" w:lineRule="auto"/>
      </w:pPr>
      <w:r>
        <w:rPr>
          <w:rFonts w:ascii="Calibri" w:hAnsi="Calibri"/>
          <w:color w:val="000000"/>
          <w:sz w:val="20"/>
        </w:rPr>
        <w:t xml:space="preserve">Proposed evidence: Assets, actors, trust boundaries and misuse scenarios.</w:t>
      </w:r>
    </w:p>
    <w:p>
      <w:pPr>
        <w:spacing w:before="0" w:after="50" w:line="250" w:lineRule="auto"/>
      </w:pPr>
      <w:r>
        <w:rPr>
          <w:rFonts w:ascii="Calibri" w:hAnsi="Calibri"/>
          <w:color w:val="000000"/>
          <w:sz w:val="20"/>
        </w:rPr>
        <w:t xml:space="preserve">Development activity: Dependency review</w:t>
      </w:r>
    </w:p>
    <w:p>
      <w:pPr>
        <w:spacing w:before="0" w:after="50" w:line="250" w:lineRule="auto"/>
      </w:pPr>
      <w:r>
        <w:rPr>
          <w:rFonts w:ascii="Calibri" w:hAnsi="Calibri"/>
          <w:color w:val="000000"/>
          <w:sz w:val="20"/>
        </w:rPr>
        <w:t xml:space="preserve">Proposed evidence: Component inventory, support status and vulnerability disposition.</w:t>
      </w:r>
    </w:p>
    <w:p>
      <w:pPr>
        <w:spacing w:before="0" w:after="50" w:line="250" w:lineRule="auto"/>
      </w:pPr>
      <w:r>
        <w:rPr>
          <w:rFonts w:ascii="Calibri" w:hAnsi="Calibri"/>
          <w:color w:val="000000"/>
          <w:sz w:val="20"/>
        </w:rPr>
        <w:t xml:space="preserve">Development activity: Code review</w:t>
      </w:r>
    </w:p>
    <w:p>
      <w:pPr>
        <w:spacing w:before="0" w:after="50" w:line="250" w:lineRule="auto"/>
      </w:pPr>
      <w:r>
        <w:rPr>
          <w:rFonts w:ascii="Calibri" w:hAnsi="Calibri"/>
          <w:color w:val="000000"/>
          <w:sz w:val="20"/>
        </w:rPr>
        <w:t xml:space="preserve">Proposed evidence: Assessment of critical data, permission and update paths.</w:t>
      </w:r>
    </w:p>
    <w:p>
      <w:pPr>
        <w:spacing w:before="0" w:after="50" w:line="250" w:lineRule="auto"/>
      </w:pPr>
      <w:r>
        <w:rPr>
          <w:rFonts w:ascii="Calibri" w:hAnsi="Calibri"/>
          <w:color w:val="000000"/>
          <w:sz w:val="20"/>
        </w:rPr>
        <w:t xml:space="preserve">Development activity: Security verification</w:t>
      </w:r>
    </w:p>
    <w:p>
      <w:pPr>
        <w:spacing w:before="0" w:after="50" w:line="250" w:lineRule="auto"/>
      </w:pPr>
      <w:r>
        <w:rPr>
          <w:rFonts w:ascii="Calibri" w:hAnsi="Calibri"/>
          <w:color w:val="000000"/>
          <w:sz w:val="20"/>
        </w:rPr>
        <w:t xml:space="preserve">Proposed evidence: Tests of relevant abuse cases and configuration.</w:t>
      </w:r>
    </w:p>
    <w:p>
      <w:pPr>
        <w:spacing w:before="0" w:after="50" w:line="250" w:lineRule="auto"/>
      </w:pPr>
      <w:r>
        <w:rPr>
          <w:rFonts w:ascii="Calibri" w:hAnsi="Calibri"/>
          <w:color w:val="000000"/>
          <w:sz w:val="20"/>
        </w:rPr>
        <w:t xml:space="preserve">Development activity: Release response</w:t>
      </w:r>
    </w:p>
    <w:p>
      <w:pPr>
        <w:spacing w:before="0" w:after="50" w:line="250" w:lineRule="auto"/>
      </w:pPr>
      <w:r>
        <w:rPr>
          <w:rFonts w:ascii="Calibri" w:hAnsi="Calibri"/>
          <w:color w:val="000000"/>
          <w:sz w:val="20"/>
        </w:rPr>
        <w:t xml:space="preserve">Proposed evidence: Supported update, rollback and communication process.</w:t>
      </w:r>
    </w:p>
    <w:p>
      <w:pPr>
        <w:pStyle w:val="Heading3"/>
        <w:keepNext/>
        <w:keepLines/>
        <w:spacing w:before="240" w:after="120" w:line="269" w:lineRule="auto"/>
      </w:pPr>
      <w:r>
        <w:rPr>
          <w:color w:val="000000"/>
        </w:rPr>
        <w:t>Test the AI-specific boundaries</w:t>
      </w:r>
    </w:p>
    <w:p>
      <w:pPr>
        <w:pStyle w:val="Normal"/>
        <w:spacing w:before="0" w:after="50" w:line="250" w:lineRule="auto"/>
        <w:rPr/>
      </w:pPr>
      <w:r>
        <w:rPr>
          <w:rFonts w:ascii="Calibri" w:hAnsi="Calibri"/>
          <w:color w:val="000000"/>
          <w:sz w:val="20"/>
        </w:rPr>
        <w:t>Retrieved documents and user-supplied text should not gain authority to change permissions or execute actions. A language assistant needs constrained tools, source-aware responses and explicit authorization for consequential operations. Training and evaluation should include misleading instructions embedded in otherwise relevant material.</w:t>
      </w:r>
    </w:p>
    <w:p>
      <w:pPr>
        <w:pStyle w:val="Normal"/>
        <w:spacing w:before="0" w:after="50" w:line="250" w:lineRule="auto"/>
        <w:rPr/>
      </w:pPr>
      <w:r>
        <w:rPr>
          <w:rFonts w:ascii="Calibri" w:hAnsi="Calibri"/>
          <w:color w:val="000000"/>
          <w:sz w:val="20"/>
        </w:rPr>
        <w:t>Security findings should enter the same controlled change process as other product defects, with priority based on impact and exposure. The proposed programme should retain unresolved risks and support periods transparently. A clean automated scan is useful evidence for the checks performed, not a guarantee that no exploitable weakness exists.</w:t>
      </w:r>
    </w:p>
    <w:p>
      <w:pPr>
        <w:pStyle w:val="Heading3"/>
        <w:keepNext/>
        <w:keepLines/>
        <w:spacing w:before="240" w:after="120" w:line="269" w:lineRule="auto"/>
      </w:pPr>
      <w:r>
        <w:rPr>
          <w:color w:val="000000"/>
        </w:rPr>
        <w:t>Instrument and network security</w:t>
      </w:r>
    </w:p>
    <w:p>
      <w:pPr>
        <w:pStyle w:val="Normal"/>
        <w:keepNext/>
        <w:spacing w:before="0" w:after="50" w:line="250" w:lineRule="auto"/>
        <w:rPr/>
      </w:pPr>
      <w:r>
        <w:rPr>
          <w:rFonts w:ascii="Calibri" w:hAnsi="Calibri"/>
          <w:b/>
          <w:color w:val="000000"/>
          <w:sz w:val="20"/>
        </w:rPr>
        <w:t>Instrument security includes physical and network boundaries</w:t>
      </w:r>
    </w:p>
    <w:p>
      <w:pPr>
        <w:pStyle w:val="Normal"/>
        <w:spacing w:before="0" w:after="50" w:line="250" w:lineRule="auto"/>
        <w:rPr/>
      </w:pPr>
      <w:r>
        <w:rPr>
          <w:rFonts w:ascii="Calibri" w:hAnsi="Calibri"/>
          <w:color w:val="000000"/>
          <w:sz w:val="20"/>
        </w:rPr>
        <w:t>An instrument connects software to a physical laboratory workflow. Security assessment should consider local storage, service ports, removable media, update mechanisms and network access. A protected cloud service does not compensate for an instrument that exposes records or accepts unauthorized control locally.</w:t>
      </w:r>
    </w:p>
    <w:p>
      <w:pPr>
        <w:pStyle w:val="Heading3"/>
        <w:keepNext/>
        <w:keepLines/>
        <w:spacing w:before="240" w:after="120" w:line="269" w:lineRule="auto"/>
      </w:pPr>
      <w:r>
        <w:rPr>
          <w:color w:val="000000"/>
        </w:rPr>
        <w:t>Proposed deployment boundary</w:t>
      </w:r>
    </w:p>
    <w:p>
      <w:pPr>
        <w:pStyle w:val="Normal"/>
        <w:spacing w:before="0" w:after="50" w:line="250" w:lineRule="auto"/>
        <w:rPr/>
      </w:pPr>
      <w:r>
        <w:rPr>
          <w:rFonts w:ascii="Calibri" w:hAnsi="Calibri"/>
          <w:color w:val="000000"/>
          <w:sz w:val="20"/>
        </w:rPr>
        <w:t>The device should expose only the services needed for its qualified functions. Network segmentation, authenticated communication and controlled administration can limit unnecessary reachability. Remote support should be explicitly authorized, scoped and auditable, with a defined end to the session.</w:t>
      </w:r>
    </w:p>
    <w:p>
      <w:pPr>
        <w:spacing w:before="0" w:after="50" w:line="250" w:lineRule="auto"/>
      </w:pPr>
      <w:r>
        <w:rPr>
          <w:rFonts w:ascii="Calibri" w:hAnsi="Calibri"/>
          <w:color w:val="000000"/>
          <w:sz w:val="20"/>
        </w:rPr>
        <w:t xml:space="preserve">Boundary: Local user access</w:t>
      </w:r>
    </w:p>
    <w:p>
      <w:pPr>
        <w:spacing w:before="0" w:after="50" w:line="250" w:lineRule="auto"/>
      </w:pPr>
      <w:r>
        <w:rPr>
          <w:rFonts w:ascii="Calibri" w:hAnsi="Calibri"/>
          <w:color w:val="000000"/>
          <w:sz w:val="20"/>
        </w:rPr>
        <w:t xml:space="preserve">Proposed control: Role-based operation and protected administrative functions.</w:t>
      </w:r>
    </w:p>
    <w:p>
      <w:pPr>
        <w:spacing w:before="0" w:after="50" w:line="250" w:lineRule="auto"/>
      </w:pPr>
      <w:r>
        <w:rPr>
          <w:rFonts w:ascii="Calibri" w:hAnsi="Calibri"/>
          <w:color w:val="000000"/>
          <w:sz w:val="20"/>
        </w:rPr>
        <w:t xml:space="preserve">Boundary: Service interface</w:t>
      </w:r>
    </w:p>
    <w:p>
      <w:pPr>
        <w:spacing w:before="0" w:after="50" w:line="250" w:lineRule="auto"/>
      </w:pPr>
      <w:r>
        <w:rPr>
          <w:rFonts w:ascii="Calibri" w:hAnsi="Calibri"/>
          <w:color w:val="000000"/>
          <w:sz w:val="20"/>
        </w:rPr>
        <w:t xml:space="preserve">Proposed control: Restricted access with documented maintenance procedures.</w:t>
      </w:r>
    </w:p>
    <w:p>
      <w:pPr>
        <w:spacing w:before="0" w:after="50" w:line="250" w:lineRule="auto"/>
      </w:pPr>
      <w:r>
        <w:rPr>
          <w:rFonts w:ascii="Calibri" w:hAnsi="Calibri"/>
          <w:color w:val="000000"/>
          <w:sz w:val="20"/>
        </w:rPr>
        <w:t xml:space="preserve">Boundary: Network services</w:t>
      </w:r>
    </w:p>
    <w:p>
      <w:pPr>
        <w:spacing w:before="0" w:after="50" w:line="250" w:lineRule="auto"/>
      </w:pPr>
      <w:r>
        <w:rPr>
          <w:rFonts w:ascii="Calibri" w:hAnsi="Calibri"/>
          <w:color w:val="000000"/>
          <w:sz w:val="20"/>
        </w:rPr>
        <w:t xml:space="preserve">Proposed control: Minimal exposure and authenticated, authorized requests.</w:t>
      </w:r>
    </w:p>
    <w:p>
      <w:pPr>
        <w:spacing w:before="0" w:after="50" w:line="250" w:lineRule="auto"/>
      </w:pPr>
      <w:r>
        <w:rPr>
          <w:rFonts w:ascii="Calibri" w:hAnsi="Calibri"/>
          <w:color w:val="000000"/>
          <w:sz w:val="20"/>
        </w:rPr>
        <w:t xml:space="preserve">Boundary: Software update</w:t>
      </w:r>
    </w:p>
    <w:p>
      <w:pPr>
        <w:spacing w:before="0" w:after="50" w:line="250" w:lineRule="auto"/>
      </w:pPr>
      <w:r>
        <w:rPr>
          <w:rFonts w:ascii="Calibri" w:hAnsi="Calibri"/>
          <w:color w:val="000000"/>
          <w:sz w:val="20"/>
        </w:rPr>
        <w:t xml:space="preserve">Proposed control: Verified package identity and safe installation behavior.</w:t>
      </w:r>
    </w:p>
    <w:p>
      <w:pPr>
        <w:spacing w:before="0" w:after="50" w:line="250" w:lineRule="auto"/>
      </w:pPr>
      <w:r>
        <w:rPr>
          <w:rFonts w:ascii="Calibri" w:hAnsi="Calibri"/>
          <w:color w:val="000000"/>
          <w:sz w:val="20"/>
        </w:rPr>
        <w:t xml:space="preserve">Boundary: Removable media</w:t>
      </w:r>
    </w:p>
    <w:p>
      <w:pPr>
        <w:spacing w:before="0" w:after="50" w:line="250" w:lineRule="auto"/>
      </w:pPr>
      <w:r>
        <w:rPr>
          <w:rFonts w:ascii="Calibri" w:hAnsi="Calibri"/>
          <w:color w:val="000000"/>
          <w:sz w:val="20"/>
        </w:rPr>
        <w:t xml:space="preserve">Proposed control: Controlled import and export with malicious-content handling.</w:t>
      </w:r>
    </w:p>
    <w:p>
      <w:pPr>
        <w:spacing w:before="0" w:after="50" w:line="250" w:lineRule="auto"/>
      </w:pPr>
      <w:r>
        <w:rPr>
          <w:rFonts w:ascii="Calibri" w:hAnsi="Calibri"/>
          <w:color w:val="000000"/>
          <w:sz w:val="20"/>
        </w:rPr>
        <w:t xml:space="preserve">Boundary: Physical storage</w:t>
      </w:r>
    </w:p>
    <w:p>
      <w:pPr>
        <w:spacing w:before="0" w:after="50" w:line="250" w:lineRule="auto"/>
      </w:pPr>
      <w:r>
        <w:rPr>
          <w:rFonts w:ascii="Calibri" w:hAnsi="Calibri"/>
          <w:color w:val="000000"/>
          <w:sz w:val="20"/>
        </w:rPr>
        <w:t xml:space="preserve">Proposed control: Protection appropriate to retained data and theft risk.</w:t>
      </w:r>
    </w:p>
    <w:p>
      <w:pPr>
        <w:pStyle w:val="Heading3"/>
        <w:keepNext/>
        <w:keepLines/>
        <w:spacing w:before="240" w:after="120" w:line="269" w:lineRule="auto"/>
      </w:pPr>
      <w:r>
        <w:rPr>
          <w:color w:val="000000"/>
        </w:rPr>
        <w:t>Safe operation during isolation</w:t>
      </w:r>
    </w:p>
    <w:p>
      <w:pPr>
        <w:pStyle w:val="Normal"/>
        <w:spacing w:before="0" w:after="50" w:line="250" w:lineRule="auto"/>
        <w:rPr/>
      </w:pPr>
      <w:r>
        <w:rPr>
          <w:rFonts w:ascii="Calibri" w:hAnsi="Calibri"/>
          <w:color w:val="000000"/>
          <w:sz w:val="20"/>
        </w:rPr>
        <w:t>If a security incident requires network isolation, the instrument should enter a defined operating mode. It may retain eligible local capture and review or suspend functions that depend on trusted external services. The choice must follow the qualified workflow and risk assessment, not an improvised response during an incident.</w:t>
      </w:r>
    </w:p>
    <w:p>
      <w:pPr>
        <w:pStyle w:val="Normal"/>
        <w:spacing w:before="0" w:after="50" w:line="250" w:lineRule="auto"/>
        <w:rPr/>
      </w:pPr>
      <w:r>
        <w:rPr>
          <w:rFonts w:ascii="Calibri" w:hAnsi="Calibri"/>
          <w:color w:val="000000"/>
          <w:sz w:val="20"/>
        </w:rPr>
        <w:t>Verification should include unauthorized control attempts, invalid updates and loss of network trust. The product should preserve record integrity and avoid unsafe physical actions when communication fails. Security and biological reliability interact: an incident that changes timing, calibration or environmental control may require assessment of affected laboratory records as well as restoration of the software.</w:t>
      </w:r>
    </w:p>
    <w:p>
      <w:pPr>
        <w:pStyle w:val="Heading3"/>
        <w:keepNext/>
        <w:keepLines/>
        <w:spacing w:before="240" w:after="120" w:line="269" w:lineRule="auto"/>
      </w:pPr>
      <w:r>
        <w:rPr>
          <w:color w:val="000000"/>
        </w:rPr>
        <w:t>Incident response and recovery</w:t>
      </w:r>
    </w:p>
    <w:p>
      <w:pPr>
        <w:pStyle w:val="Normal"/>
        <w:keepNext/>
        <w:spacing w:before="0" w:after="50" w:line="250" w:lineRule="auto"/>
        <w:rPr/>
      </w:pPr>
      <w:r>
        <w:rPr>
          <w:rFonts w:ascii="Calibri" w:hAnsi="Calibri"/>
          <w:b/>
          <w:color w:val="000000"/>
          <w:sz w:val="20"/>
        </w:rPr>
        <w:t>Incident response should restore trustworthy service</w:t>
      </w:r>
    </w:p>
    <w:p>
      <w:pPr>
        <w:pStyle w:val="Normal"/>
        <w:spacing w:before="0" w:after="50" w:line="250" w:lineRule="auto"/>
        <w:rPr/>
      </w:pPr>
      <w:r>
        <w:rPr>
          <w:rFonts w:ascii="Calibri" w:hAnsi="Calibri"/>
          <w:color w:val="000000"/>
          <w:sz w:val="20"/>
        </w:rPr>
        <w:t>The proposed incident process should identify, contain, investigate and recover from events affecting confidentiality, integrity or availability. Recovery is complete only when the system and relevant records are trustworthy for their intended use. Restarting a service without assessing altered data or configuration can leave the underlying problem unresolved.</w:t>
      </w:r>
    </w:p>
    <w:p>
      <w:pPr>
        <w:pStyle w:val="Heading3"/>
        <w:keepNext/>
        <w:keepLines/>
        <w:spacing w:before="240" w:after="120" w:line="269" w:lineRule="auto"/>
      </w:pPr>
      <w:r>
        <w:rPr>
          <w:color w:val="000000"/>
        </w:rPr>
        <w:t>Proposed response record</w:t>
      </w:r>
    </w:p>
    <w:p>
      <w:pPr>
        <w:pStyle w:val="Normal"/>
        <w:spacing w:before="0" w:after="50" w:line="250" w:lineRule="auto"/>
        <w:rPr/>
      </w:pPr>
      <w:r>
        <w:rPr>
          <w:rFonts w:ascii="Calibri" w:hAnsi="Calibri"/>
          <w:color w:val="000000"/>
          <w:sz w:val="20"/>
        </w:rPr>
        <w:t>The team should preserve the incident timeline, affected systems, observed indicators and actions taken. Access to evidence should be controlled, and sensitive information should not be copied into broad support channels. Notification obligations depend on the applicable law, agreement and incident context.</w:t>
      </w:r>
    </w:p>
    <w:p>
      <w:pPr>
        <w:spacing w:before="0" w:after="50" w:line="250" w:lineRule="auto"/>
      </w:pPr>
      <w:r>
        <w:rPr>
          <w:rFonts w:ascii="Calibri" w:hAnsi="Calibri"/>
          <w:color w:val="000000"/>
          <w:sz w:val="20"/>
        </w:rPr>
        <w:t xml:space="preserve">Response stage: Detection</w:t>
      </w:r>
    </w:p>
    <w:p>
      <w:pPr>
        <w:spacing w:before="0" w:after="50" w:line="250" w:lineRule="auto"/>
      </w:pPr>
      <w:r>
        <w:rPr>
          <w:rFonts w:ascii="Calibri" w:hAnsi="Calibri"/>
          <w:color w:val="000000"/>
          <w:sz w:val="20"/>
        </w:rPr>
        <w:t xml:space="preserve">Required decision: Is the event a security, reliability or combined incident?</w:t>
      </w:r>
    </w:p>
    <w:p>
      <w:pPr>
        <w:spacing w:before="0" w:after="50" w:line="250" w:lineRule="auto"/>
      </w:pPr>
      <w:r>
        <w:rPr>
          <w:rFonts w:ascii="Calibri" w:hAnsi="Calibri"/>
          <w:color w:val="000000"/>
          <w:sz w:val="20"/>
        </w:rPr>
        <w:t xml:space="preserve">Response stage: Containment</w:t>
      </w:r>
    </w:p>
    <w:p>
      <w:pPr>
        <w:spacing w:before="0" w:after="50" w:line="250" w:lineRule="auto"/>
      </w:pPr>
      <w:r>
        <w:rPr>
          <w:rFonts w:ascii="Calibri" w:hAnsi="Calibri"/>
          <w:color w:val="000000"/>
          <w:sz w:val="20"/>
        </w:rPr>
        <w:t xml:space="preserve">Required decision: Which functions or connections must be restricted?</w:t>
      </w:r>
    </w:p>
    <w:p>
      <w:pPr>
        <w:spacing w:before="0" w:after="50" w:line="250" w:lineRule="auto"/>
      </w:pPr>
      <w:r>
        <w:rPr>
          <w:rFonts w:ascii="Calibri" w:hAnsi="Calibri"/>
          <w:color w:val="000000"/>
          <w:sz w:val="20"/>
        </w:rPr>
        <w:t xml:space="preserve">Response stage: Assessment</w:t>
      </w:r>
    </w:p>
    <w:p>
      <w:pPr>
        <w:spacing w:before="0" w:after="50" w:line="250" w:lineRule="auto"/>
      </w:pPr>
      <w:r>
        <w:rPr>
          <w:rFonts w:ascii="Calibri" w:hAnsi="Calibri"/>
          <w:color w:val="000000"/>
          <w:sz w:val="20"/>
        </w:rPr>
        <w:t xml:space="preserve">Required decision: Which records, versions and physical workflows may be affected?</w:t>
      </w:r>
    </w:p>
    <w:p>
      <w:pPr>
        <w:spacing w:before="0" w:after="50" w:line="250" w:lineRule="auto"/>
      </w:pPr>
      <w:r>
        <w:rPr>
          <w:rFonts w:ascii="Calibri" w:hAnsi="Calibri"/>
          <w:color w:val="000000"/>
          <w:sz w:val="20"/>
        </w:rPr>
        <w:t xml:space="preserve">Response stage: Recovery</w:t>
      </w:r>
    </w:p>
    <w:p>
      <w:pPr>
        <w:spacing w:before="0" w:after="50" w:line="250" w:lineRule="auto"/>
      </w:pPr>
      <w:r>
        <w:rPr>
          <w:rFonts w:ascii="Calibri" w:hAnsi="Calibri"/>
          <w:color w:val="000000"/>
          <w:sz w:val="20"/>
        </w:rPr>
        <w:t xml:space="preserve">Required decision: What evidence supports safe restoration?</w:t>
      </w:r>
    </w:p>
    <w:p>
      <w:pPr>
        <w:spacing w:before="0" w:after="50" w:line="250" w:lineRule="auto"/>
      </w:pPr>
      <w:r>
        <w:rPr>
          <w:rFonts w:ascii="Calibri" w:hAnsi="Calibri"/>
          <w:color w:val="000000"/>
          <w:sz w:val="20"/>
        </w:rPr>
        <w:t xml:space="preserve">Response stage: Communication</w:t>
      </w:r>
    </w:p>
    <w:p>
      <w:pPr>
        <w:spacing w:before="0" w:after="50" w:line="250" w:lineRule="auto"/>
      </w:pPr>
      <w:r>
        <w:rPr>
          <w:rFonts w:ascii="Calibri" w:hAnsi="Calibri"/>
          <w:color w:val="000000"/>
          <w:sz w:val="20"/>
        </w:rPr>
        <w:t xml:space="preserve">Required decision: Who must be informed through authorized channels?</w:t>
      </w:r>
    </w:p>
    <w:p>
      <w:pPr>
        <w:spacing w:before="0" w:after="50" w:line="250" w:lineRule="auto"/>
      </w:pPr>
      <w:r>
        <w:rPr>
          <w:rFonts w:ascii="Calibri" w:hAnsi="Calibri"/>
          <w:color w:val="000000"/>
          <w:sz w:val="20"/>
        </w:rPr>
        <w:t xml:space="preserve">Response stage: Improvement</w:t>
      </w:r>
    </w:p>
    <w:p>
      <w:pPr>
        <w:spacing w:before="0" w:after="50" w:line="250" w:lineRule="auto"/>
      </w:pPr>
      <w:r>
        <w:rPr>
          <w:rFonts w:ascii="Calibri" w:hAnsi="Calibri"/>
          <w:color w:val="000000"/>
          <w:sz w:val="20"/>
        </w:rPr>
        <w:t xml:space="preserve">Required decision: Which corrective actions prevent recurrence or improve detection?</w:t>
      </w:r>
    </w:p>
    <w:p>
      <w:pPr>
        <w:pStyle w:val="Heading3"/>
        <w:keepNext/>
        <w:keepLines/>
        <w:spacing w:before="240" w:after="120" w:line="269" w:lineRule="auto"/>
      </w:pPr>
      <w:r>
        <w:rPr>
          <w:color w:val="000000"/>
        </w:rPr>
        <w:t>Test restoration before it is needed</w:t>
      </w:r>
    </w:p>
    <w:p>
      <w:pPr>
        <w:pStyle w:val="Normal"/>
        <w:spacing w:before="0" w:after="50" w:line="250" w:lineRule="auto"/>
        <w:rPr/>
      </w:pPr>
      <w:r>
        <w:rPr>
          <w:rFonts w:ascii="Calibri" w:hAnsi="Calibri"/>
          <w:color w:val="000000"/>
          <w:sz w:val="20"/>
        </w:rPr>
        <w:t>Backups should be tested for completeness, integrity and usability, including required keys and configuration. Recovery objectives should reflect the laboratory workflow and retention requirements. A backup that exists but cannot be restored within the needed context is not an effective continuity measure.</w:t>
      </w:r>
    </w:p>
    <w:p>
      <w:pPr>
        <w:pStyle w:val="Normal"/>
        <w:spacing w:before="0" w:after="50" w:line="250" w:lineRule="auto"/>
        <w:rPr/>
      </w:pPr>
      <w:r>
        <w:rPr>
          <w:rFonts w:ascii="Calibri" w:hAnsi="Calibri"/>
          <w:color w:val="000000"/>
          <w:sz w:val="20"/>
        </w:rPr>
        <w:t>Exercises should include corrupted records, lost credentials, unavailable cloud services and instrument replacement. After restoration, the system should reconcile queued events and identify uncertain intervals. Affected approvals or interpretations may require review if their inputs or integrity cannot be established. Incident closure should retain the evidence and residual limitations rather than merely marking the service online.</w:t>
      </w:r>
    </w:p>
    <w:p>
      <w:pPr>
        <w:pStyle w:val="Heading3"/>
        <w:keepNext/>
        <w:keepLines/>
        <w:spacing w:before="240" w:after="120" w:line="269" w:lineRule="auto"/>
      </w:pPr>
      <w:r>
        <w:rPr>
          <w:color w:val="000000"/>
        </w:rPr>
        <w:t>Privacy in shared research datasets</w:t>
      </w:r>
    </w:p>
    <w:p>
      <w:pPr>
        <w:pStyle w:val="Normal"/>
        <w:keepNext/>
        <w:spacing w:before="0" w:after="50" w:line="250" w:lineRule="auto"/>
        <w:rPr/>
      </w:pPr>
      <w:r>
        <w:rPr>
          <w:rFonts w:ascii="Calibri" w:hAnsi="Calibri"/>
          <w:b/>
          <w:color w:val="000000"/>
          <w:sz w:val="20"/>
        </w:rPr>
        <w:t>Research sharing should preserve utility while limiting disclosure</w:t>
      </w:r>
    </w:p>
    <w:p>
      <w:pPr>
        <w:pStyle w:val="Normal"/>
        <w:spacing w:before="0" w:after="50" w:line="250" w:lineRule="auto"/>
        <w:rPr/>
      </w:pPr>
      <w:r>
        <w:rPr>
          <w:rFonts w:ascii="Calibri" w:hAnsi="Calibri"/>
          <w:color w:val="000000"/>
          <w:sz w:val="20"/>
        </w:rPr>
        <w:t>A research dataset may contain direct identifiers, indirect identifiers, labels embedded in images and sensitive institutional information. Removing a name field is not sufficient to establish anonymity. The proposed sharing process should assess what can be inferred from the combination of fields and the recipient's access to other information.</w:t>
      </w:r>
    </w:p>
    <w:p>
      <w:pPr>
        <w:pStyle w:val="Heading3"/>
        <w:keepNext/>
        <w:keepLines/>
        <w:spacing w:before="240" w:after="120" w:line="269" w:lineRule="auto"/>
      </w:pPr>
      <w:r>
        <w:rPr>
          <w:color w:val="000000"/>
        </w:rPr>
        <w:t>Proposed dataset release process</w:t>
      </w:r>
    </w:p>
    <w:p>
      <w:pPr>
        <w:pStyle w:val="Normal"/>
        <w:spacing w:before="0" w:after="50" w:line="250" w:lineRule="auto"/>
        <w:rPr/>
      </w:pPr>
      <w:r>
        <w:rPr>
          <w:rFonts w:ascii="Calibri" w:hAnsi="Calibri"/>
          <w:color w:val="000000"/>
          <w:sz w:val="20"/>
        </w:rPr>
        <w:t>The release should have a defined purpose, authorized recipients, permitted analyses and retention conditions. Data minimization should be applied to images, metadata and free text. The team should verify that transformation has preserved the scientific variables required for the study.</w:t>
      </w:r>
    </w:p>
    <w:p>
      <w:pPr>
        <w:spacing w:before="0" w:after="50" w:line="250" w:lineRule="auto"/>
      </w:pPr>
      <w:r>
        <w:rPr>
          <w:rFonts w:ascii="Calibri" w:hAnsi="Calibri"/>
          <w:color w:val="000000"/>
          <w:sz w:val="20"/>
        </w:rPr>
        <w:t xml:space="preserve">Dataset element: Images</w:t>
      </w:r>
    </w:p>
    <w:p>
      <w:pPr>
        <w:spacing w:before="0" w:after="50" w:line="250" w:lineRule="auto"/>
      </w:pPr>
      <w:r>
        <w:rPr>
          <w:rFonts w:ascii="Calibri" w:hAnsi="Calibri"/>
          <w:color w:val="000000"/>
          <w:sz w:val="20"/>
        </w:rPr>
        <w:t xml:space="preserve">Proposed review: Inspect labels, overlays and metadata for unnecessary identifiers.</w:t>
      </w:r>
    </w:p>
    <w:p>
      <w:pPr>
        <w:spacing w:before="0" w:after="50" w:line="250" w:lineRule="auto"/>
      </w:pPr>
      <w:r>
        <w:rPr>
          <w:rFonts w:ascii="Calibri" w:hAnsi="Calibri"/>
          <w:color w:val="000000"/>
          <w:sz w:val="20"/>
        </w:rPr>
        <w:t xml:space="preserve">Dataset element: Dates and locations</w:t>
      </w:r>
    </w:p>
    <w:p>
      <w:pPr>
        <w:spacing w:before="0" w:after="50" w:line="250" w:lineRule="auto"/>
      </w:pPr>
      <w:r>
        <w:rPr>
          <w:rFonts w:ascii="Calibri" w:hAnsi="Calibri"/>
          <w:color w:val="000000"/>
          <w:sz w:val="20"/>
        </w:rPr>
        <w:t xml:space="preserve">Proposed review: Use only the resolution needed for the research question.</w:t>
      </w:r>
    </w:p>
    <w:p>
      <w:pPr>
        <w:spacing w:before="0" w:after="50" w:line="250" w:lineRule="auto"/>
      </w:pPr>
      <w:r>
        <w:rPr>
          <w:rFonts w:ascii="Calibri" w:hAnsi="Calibri"/>
          <w:color w:val="000000"/>
          <w:sz w:val="20"/>
        </w:rPr>
        <w:t xml:space="preserve">Dataset element: Rare combinations</w:t>
      </w:r>
    </w:p>
    <w:p>
      <w:pPr>
        <w:spacing w:before="0" w:after="50" w:line="250" w:lineRule="auto"/>
      </w:pPr>
      <w:r>
        <w:rPr>
          <w:rFonts w:ascii="Calibri" w:hAnsi="Calibri"/>
          <w:color w:val="000000"/>
          <w:sz w:val="20"/>
        </w:rPr>
        <w:t xml:space="preserve">Proposed review: Assess potential identification from unusual linked attributes.</w:t>
      </w:r>
    </w:p>
    <w:p>
      <w:pPr>
        <w:spacing w:before="0" w:after="50" w:line="250" w:lineRule="auto"/>
      </w:pPr>
      <w:r>
        <w:rPr>
          <w:rFonts w:ascii="Calibri" w:hAnsi="Calibri"/>
          <w:color w:val="000000"/>
          <w:sz w:val="20"/>
        </w:rPr>
        <w:t xml:space="preserve">Dataset element: Genomic material</w:t>
      </w:r>
    </w:p>
    <w:p>
      <w:pPr>
        <w:spacing w:before="0" w:after="50" w:line="250" w:lineRule="auto"/>
      </w:pPr>
      <w:r>
        <w:rPr>
          <w:rFonts w:ascii="Calibri" w:hAnsi="Calibri"/>
          <w:color w:val="000000"/>
          <w:sz w:val="20"/>
        </w:rPr>
        <w:t xml:space="preserve">Proposed review: Review source permissions, sensitive content and intended sharing scope.</w:t>
      </w:r>
    </w:p>
    <w:p>
      <w:pPr>
        <w:spacing w:before="0" w:after="50" w:line="250" w:lineRule="auto"/>
      </w:pPr>
      <w:r>
        <w:rPr>
          <w:rFonts w:ascii="Calibri" w:hAnsi="Calibri"/>
          <w:color w:val="000000"/>
          <w:sz w:val="20"/>
        </w:rPr>
        <w:t xml:space="preserve">Dataset element: Free-text annotations</w:t>
      </w:r>
    </w:p>
    <w:p>
      <w:pPr>
        <w:spacing w:before="0" w:after="50" w:line="250" w:lineRule="auto"/>
      </w:pPr>
      <w:r>
        <w:rPr>
          <w:rFonts w:ascii="Calibri" w:hAnsi="Calibri"/>
          <w:color w:val="000000"/>
          <w:sz w:val="20"/>
        </w:rPr>
        <w:t xml:space="preserve">Proposed review: Remove unrelated personal or institutional information.</w:t>
      </w:r>
    </w:p>
    <w:p>
      <w:pPr>
        <w:spacing w:before="0" w:after="50" w:line="250" w:lineRule="auto"/>
      </w:pPr>
      <w:r>
        <w:rPr>
          <w:rFonts w:ascii="Calibri" w:hAnsi="Calibri"/>
          <w:color w:val="000000"/>
          <w:sz w:val="20"/>
        </w:rPr>
        <w:t xml:space="preserve">Dataset element: Linkage keys</w:t>
      </w:r>
    </w:p>
    <w:p>
      <w:pPr>
        <w:spacing w:before="0" w:after="50" w:line="250" w:lineRule="auto"/>
      </w:pPr>
      <w:r>
        <w:rPr>
          <w:rFonts w:ascii="Calibri" w:hAnsi="Calibri"/>
          <w:color w:val="000000"/>
          <w:sz w:val="20"/>
        </w:rPr>
        <w:t xml:space="preserve">Proposed review: Restrict access and separate from the research release.</w:t>
      </w:r>
    </w:p>
    <w:p>
      <w:pPr>
        <w:pStyle w:val="Heading3"/>
        <w:keepNext/>
        <w:keepLines/>
        <w:spacing w:before="240" w:after="120" w:line="269" w:lineRule="auto"/>
      </w:pPr>
      <w:r>
        <w:rPr>
          <w:color w:val="000000"/>
        </w:rPr>
        <w:t>Treat transformed data as a new release</w:t>
      </w:r>
    </w:p>
    <w:p>
      <w:pPr>
        <w:pStyle w:val="Normal"/>
        <w:spacing w:before="0" w:after="50" w:line="250" w:lineRule="auto"/>
        <w:rPr/>
      </w:pPr>
      <w:r>
        <w:rPr>
          <w:rFonts w:ascii="Calibri" w:hAnsi="Calibri"/>
          <w:color w:val="000000"/>
          <w:sz w:val="20"/>
        </w:rPr>
        <w:t>The dataset should retain a version, transformation description and relationship to the authorized source. Researchers need to know whether values were removed, generalized, imputed or simulated. Privacy transformations can affect analytical validity and should be considered in interpretation.</w:t>
      </w:r>
    </w:p>
    <w:p>
      <w:pPr>
        <w:pStyle w:val="Normal"/>
        <w:spacing w:before="0" w:after="50" w:line="250" w:lineRule="auto"/>
        <w:rPr/>
      </w:pPr>
      <w:r>
        <w:rPr>
          <w:rFonts w:ascii="Calibri" w:hAnsi="Calibri"/>
          <w:color w:val="000000"/>
          <w:sz w:val="20"/>
        </w:rPr>
        <w:t>The proposed programme should use institutional and legal review appropriate to the data and jurisdiction. A public repository's availability does not automatically authorize every reuse or combination. Shared research should return useful scientific value while respecting the original permissions and avoiding claims that a technical de-identification step guarantees zero reidentification risk.</w:t>
      </w:r>
    </w:p>
    <w:p>
      <w:pPr>
        <w:pStyle w:val="Heading3"/>
        <w:keepNext/>
        <w:keepLines/>
        <w:spacing w:before="240" w:after="120" w:line="269" w:lineRule="auto"/>
      </w:pPr>
      <w:r>
        <w:rPr>
          <w:color w:val="000000"/>
        </w:rPr>
        <w:t>AI assurance and change management</w:t>
      </w:r>
    </w:p>
    <w:p>
      <w:pPr>
        <w:pStyle w:val="Normal"/>
        <w:keepNext/>
        <w:spacing w:before="0" w:after="50" w:line="250" w:lineRule="auto"/>
        <w:rPr/>
      </w:pPr>
      <w:r>
        <w:rPr>
          <w:rFonts w:ascii="Calibri" w:hAnsi="Calibri"/>
          <w:b/>
          <w:color w:val="000000"/>
          <w:sz w:val="20"/>
        </w:rPr>
        <w:t>AI assurance continues after the first evaluation</w:t>
      </w:r>
    </w:p>
    <w:p>
      <w:pPr>
        <w:pStyle w:val="Normal"/>
        <w:spacing w:before="0" w:after="50" w:line="250" w:lineRule="auto"/>
        <w:rPr/>
      </w:pPr>
      <w:r>
        <w:rPr>
          <w:rFonts w:ascii="Calibri" w:hAnsi="Calibri"/>
          <w:color w:val="000000"/>
          <w:sz w:val="20"/>
        </w:rPr>
        <w:t xml:space="preserve">An AI capability needs a defined intended use, data lineage, performance assessment and change process. Assurance also includes behavior under uncertainty, shift and misuse. General AI risk-management and good machine-learning-practice resources provide useful principles, but they do not certify a particular model or replace product-specific evidence.  </w:t>
      </w:r>
    </w:p>
    <w:p>
      <w:pPr>
        <w:pStyle w:val="Heading3"/>
        <w:keepNext/>
        <w:keepLines/>
        <w:spacing w:before="240" w:after="120" w:line="269" w:lineRule="auto"/>
      </w:pPr>
      <w:r>
        <w:rPr>
          <w:color w:val="000000"/>
        </w:rPr>
        <w:t>Proposed model release record</w:t>
      </w:r>
    </w:p>
    <w:p>
      <w:pPr>
        <w:pStyle w:val="Normal"/>
        <w:spacing w:before="0" w:after="50" w:line="250" w:lineRule="auto"/>
        <w:rPr/>
      </w:pPr>
      <w:r>
        <w:rPr>
          <w:rFonts w:ascii="Calibri" w:hAnsi="Calibri"/>
          <w:color w:val="000000"/>
          <w:sz w:val="20"/>
        </w:rPr>
        <w:t>The record should identify the model, training data release, preprocessing, decision thresholds and evaluated domain. It should retain conventional baselines and known limitations. The interface and downstream rules that use the model are part of the evaluated system configuration.</w:t>
      </w:r>
    </w:p>
    <w:p>
      <w:pPr>
        <w:spacing w:before="0" w:after="50" w:line="250" w:lineRule="auto"/>
      </w:pPr>
      <w:r>
        <w:rPr>
          <w:rFonts w:ascii="Calibri" w:hAnsi="Calibri"/>
          <w:color w:val="000000"/>
          <w:sz w:val="20"/>
        </w:rPr>
        <w:t xml:space="preserve">Change: New training data</w:t>
      </w:r>
    </w:p>
    <w:p>
      <w:pPr>
        <w:spacing w:before="0" w:after="50" w:line="250" w:lineRule="auto"/>
      </w:pPr>
      <w:r>
        <w:rPr>
          <w:rFonts w:ascii="Calibri" w:hAnsi="Calibri"/>
          <w:color w:val="000000"/>
          <w:sz w:val="20"/>
        </w:rPr>
        <w:t xml:space="preserve">Proposed impact assessment: Population coverage, label quality and evaluation independence.</w:t>
      </w:r>
    </w:p>
    <w:p>
      <w:pPr>
        <w:spacing w:before="0" w:after="50" w:line="250" w:lineRule="auto"/>
      </w:pPr>
      <w:r>
        <w:rPr>
          <w:rFonts w:ascii="Calibri" w:hAnsi="Calibri"/>
          <w:color w:val="000000"/>
          <w:sz w:val="20"/>
        </w:rPr>
        <w:t xml:space="preserve">Change: New model structure</w:t>
      </w:r>
    </w:p>
    <w:p>
      <w:pPr>
        <w:spacing w:before="0" w:after="50" w:line="250" w:lineRule="auto"/>
      </w:pPr>
      <w:r>
        <w:rPr>
          <w:rFonts w:ascii="Calibri" w:hAnsi="Calibri"/>
          <w:color w:val="000000"/>
          <w:sz w:val="20"/>
        </w:rPr>
        <w:t xml:space="preserve">Proposed impact assessment: Performance, uncertainty and computational behavior.</w:t>
      </w:r>
    </w:p>
    <w:p>
      <w:pPr>
        <w:spacing w:before="0" w:after="50" w:line="250" w:lineRule="auto"/>
      </w:pPr>
      <w:r>
        <w:rPr>
          <w:rFonts w:ascii="Calibri" w:hAnsi="Calibri"/>
          <w:color w:val="000000"/>
          <w:sz w:val="20"/>
        </w:rPr>
        <w:t xml:space="preserve">Change: Changed threshold</w:t>
      </w:r>
    </w:p>
    <w:p>
      <w:pPr>
        <w:spacing w:before="0" w:after="50" w:line="250" w:lineRule="auto"/>
      </w:pPr>
      <w:r>
        <w:rPr>
          <w:rFonts w:ascii="Calibri" w:hAnsi="Calibri"/>
          <w:color w:val="000000"/>
          <w:sz w:val="20"/>
        </w:rPr>
        <w:t xml:space="preserve">Proposed impact assessment: Error-coverage tradeoff and workflow burden.</w:t>
      </w:r>
    </w:p>
    <w:p>
      <w:pPr>
        <w:spacing w:before="0" w:after="50" w:line="250" w:lineRule="auto"/>
      </w:pPr>
      <w:r>
        <w:rPr>
          <w:rFonts w:ascii="Calibri" w:hAnsi="Calibri"/>
          <w:color w:val="000000"/>
          <w:sz w:val="20"/>
        </w:rPr>
        <w:t xml:space="preserve">Change: New preprocessing</w:t>
      </w:r>
    </w:p>
    <w:p>
      <w:pPr>
        <w:spacing w:before="0" w:after="50" w:line="250" w:lineRule="auto"/>
      </w:pPr>
      <w:r>
        <w:rPr>
          <w:rFonts w:ascii="Calibri" w:hAnsi="Calibri"/>
          <w:color w:val="000000"/>
          <w:sz w:val="20"/>
        </w:rPr>
        <w:t xml:space="preserve">Proposed impact assessment: Measurement meaning and compatibility with prior calibration.</w:t>
      </w:r>
    </w:p>
    <w:p>
      <w:pPr>
        <w:spacing w:before="0" w:after="50" w:line="250" w:lineRule="auto"/>
      </w:pPr>
      <w:r>
        <w:rPr>
          <w:rFonts w:ascii="Calibri" w:hAnsi="Calibri"/>
          <w:color w:val="000000"/>
          <w:sz w:val="20"/>
        </w:rPr>
        <w:t xml:space="preserve">Change: New deployment domain</w:t>
      </w:r>
    </w:p>
    <w:p>
      <w:pPr>
        <w:spacing w:before="0" w:after="50" w:line="250" w:lineRule="auto"/>
      </w:pPr>
      <w:r>
        <w:rPr>
          <w:rFonts w:ascii="Calibri" w:hAnsi="Calibri"/>
          <w:color w:val="000000"/>
          <w:sz w:val="20"/>
        </w:rPr>
        <w:t xml:space="preserve">Proposed impact assessment: Transfer evidence and revised eligibility.</w:t>
      </w:r>
    </w:p>
    <w:p>
      <w:pPr>
        <w:pStyle w:val="Heading3"/>
        <w:keepNext/>
        <w:keepLines/>
        <w:spacing w:before="240" w:after="120" w:line="269" w:lineRule="auto"/>
      </w:pPr>
      <w:r>
        <w:rPr>
          <w:color w:val="000000"/>
        </w:rPr>
        <w:t>Monitor without uncontrolled learning</w:t>
      </w:r>
    </w:p>
    <w:p>
      <w:pPr>
        <w:pStyle w:val="Normal"/>
        <w:spacing w:before="0" w:after="50" w:line="250" w:lineRule="auto"/>
        <w:rPr/>
      </w:pPr>
      <w:r>
        <w:rPr>
          <w:rFonts w:ascii="Calibri" w:hAnsi="Calibri"/>
          <w:color w:val="000000"/>
          <w:sz w:val="20"/>
        </w:rPr>
        <w:t>Field monitoring can identify drift, unexpected failures and review patterns. It should not automatically convert every user correction into a training label or update the deployed model continuously. Candidate changes need curation, evaluation and controlled release.</w:t>
      </w:r>
    </w:p>
    <w:p>
      <w:pPr>
        <w:pStyle w:val="Normal"/>
        <w:spacing w:before="0" w:after="50" w:line="250" w:lineRule="auto"/>
        <w:rPr/>
      </w:pPr>
      <w:r>
        <w:rPr>
          <w:rFonts w:ascii="Calibri" w:hAnsi="Calibri"/>
          <w:color w:val="000000"/>
          <w:sz w:val="20"/>
        </w:rPr>
        <w:t>The proposed system should support rollback to a qualified version while preserving which version produced each historical output. Monitoring should include accepted-case errors, abstention, data quality and important subgroups. A stable average score can conceal changing case mix or a local failure. Assurance therefore requires interpretable evidence and accountable decisions throughout the model's service life.</w:t>
      </w:r>
    </w:p>
    <w:p>
      <w:pPr>
        <w:pStyle w:val="Heading3"/>
        <w:keepNext/>
        <w:keepLines/>
        <w:spacing w:before="240" w:after="120" w:line="269" w:lineRule="auto"/>
      </w:pPr>
      <w:r>
        <w:rPr>
          <w:color w:val="000000"/>
        </w:rPr>
        <w:t>Clinical study preparation</w:t>
      </w:r>
    </w:p>
    <w:p>
      <w:pPr>
        <w:pStyle w:val="Normal"/>
        <w:keepNext/>
        <w:spacing w:before="0" w:after="50" w:line="250" w:lineRule="auto"/>
        <w:rPr/>
      </w:pPr>
      <w:r>
        <w:rPr>
          <w:rFonts w:ascii="Calibri" w:hAnsi="Calibri"/>
          <w:b/>
          <w:color w:val="000000"/>
          <w:sz w:val="20"/>
        </w:rPr>
        <w:t>Clinical study preparation starts before data collection</w:t>
      </w:r>
    </w:p>
    <w:p>
      <w:pPr>
        <w:pStyle w:val="Normal"/>
        <w:spacing w:before="0" w:after="50" w:line="250" w:lineRule="auto"/>
        <w:rPr/>
      </w:pPr>
      <w:r>
        <w:rPr>
          <w:rFonts w:ascii="Calibri" w:hAnsi="Calibri"/>
          <w:color w:val="000000"/>
          <w:sz w:val="20"/>
        </w:rPr>
        <w:t xml:space="preserve">A clinical performance investigation should be designed around the intended product claim and conducted through the applicable ethical, institutional and regulatory processes. The protocol should define responsibilities, material handling, reference methods, data governance and analysis. A retrospective convenience collection may answer an exploratory question while remaining insufficient for a broader product claim. </w:t>
      </w:r>
    </w:p>
    <w:p>
      <w:pPr>
        <w:pStyle w:val="Heading3"/>
        <w:keepNext/>
        <w:keepLines/>
        <w:spacing w:before="240" w:after="120" w:line="269" w:lineRule="auto"/>
      </w:pPr>
      <w:r>
        <w:rPr>
          <w:color w:val="000000"/>
        </w:rPr>
        <w:t>Proposed preparation package</w:t>
      </w:r>
    </w:p>
    <w:p>
      <w:pPr>
        <w:pStyle w:val="Normal"/>
        <w:spacing w:before="0" w:after="50" w:line="250" w:lineRule="auto"/>
        <w:rPr/>
      </w:pPr>
      <w:r>
        <w:rPr>
          <w:rFonts w:ascii="Calibri" w:hAnsi="Calibri"/>
          <w:color w:val="000000"/>
          <w:sz w:val="20"/>
        </w:rPr>
        <w:t>The study team should specify eligibility, recruitment or specimen-selection methods, endpoints, sample-size rationale and handling of missing or indeterminate results. Training and instrument configuration should be controlled. The investigational output's role in clinical care must be explicitly determined and authorized.</w:t>
      </w:r>
    </w:p>
    <w:p>
      <w:pPr>
        <w:spacing w:before="0" w:after="50" w:line="250" w:lineRule="auto"/>
      </w:pPr>
      <w:r>
        <w:rPr>
          <w:rFonts w:ascii="Calibri" w:hAnsi="Calibri"/>
          <w:color w:val="000000"/>
          <w:sz w:val="20"/>
        </w:rPr>
        <w:t xml:space="preserve">Preparation element: Protocol</w:t>
      </w:r>
    </w:p>
    <w:p>
      <w:pPr>
        <w:spacing w:before="0" w:after="50" w:line="250" w:lineRule="auto"/>
      </w:pPr>
      <w:r>
        <w:rPr>
          <w:rFonts w:ascii="Calibri" w:hAnsi="Calibri"/>
          <w:color w:val="000000"/>
          <w:sz w:val="20"/>
        </w:rPr>
        <w:t xml:space="preserve">Required outcome: Clear question, population, method and prespecified analysis.</w:t>
      </w:r>
    </w:p>
    <w:p>
      <w:pPr>
        <w:spacing w:before="0" w:after="50" w:line="250" w:lineRule="auto"/>
      </w:pPr>
      <w:r>
        <w:rPr>
          <w:rFonts w:ascii="Calibri" w:hAnsi="Calibri"/>
          <w:color w:val="000000"/>
          <w:sz w:val="20"/>
        </w:rPr>
        <w:t xml:space="preserve">Preparation element: Approvals</w:t>
      </w:r>
    </w:p>
    <w:p>
      <w:pPr>
        <w:spacing w:before="0" w:after="50" w:line="250" w:lineRule="auto"/>
      </w:pPr>
      <w:r>
        <w:rPr>
          <w:rFonts w:ascii="Calibri" w:hAnsi="Calibri"/>
          <w:color w:val="000000"/>
          <w:sz w:val="20"/>
        </w:rPr>
        <w:t xml:space="preserve">Required outcome: Applicable institutional, ethical and regulatory permissions.</w:t>
      </w:r>
    </w:p>
    <w:p>
      <w:pPr>
        <w:spacing w:before="0" w:after="50" w:line="250" w:lineRule="auto"/>
      </w:pPr>
      <w:r>
        <w:rPr>
          <w:rFonts w:ascii="Calibri" w:hAnsi="Calibri"/>
          <w:color w:val="000000"/>
          <w:sz w:val="20"/>
        </w:rPr>
        <w:t xml:space="preserve">Preparation element: Reference process</w:t>
      </w:r>
    </w:p>
    <w:p>
      <w:pPr>
        <w:spacing w:before="0" w:after="50" w:line="250" w:lineRule="auto"/>
      </w:pPr>
      <w:r>
        <w:rPr>
          <w:rFonts w:ascii="Calibri" w:hAnsi="Calibri"/>
          <w:color w:val="000000"/>
          <w:sz w:val="20"/>
        </w:rPr>
        <w:t xml:space="preserve">Required outcome: Independent assessment and adjudication rules.</w:t>
      </w:r>
    </w:p>
    <w:p>
      <w:pPr>
        <w:spacing w:before="0" w:after="50" w:line="250" w:lineRule="auto"/>
      </w:pPr>
      <w:r>
        <w:rPr>
          <w:rFonts w:ascii="Calibri" w:hAnsi="Calibri"/>
          <w:color w:val="000000"/>
          <w:sz w:val="20"/>
        </w:rPr>
        <w:t xml:space="preserve">Preparation element: Data plan</w:t>
      </w:r>
    </w:p>
    <w:p>
      <w:pPr>
        <w:spacing w:before="0" w:after="50" w:line="250" w:lineRule="auto"/>
      </w:pPr>
      <w:r>
        <w:rPr>
          <w:rFonts w:ascii="Calibri" w:hAnsi="Calibri"/>
          <w:color w:val="000000"/>
          <w:sz w:val="20"/>
        </w:rPr>
        <w:t xml:space="preserve">Required outcome: Purpose, access, retention and quality checks.</w:t>
      </w:r>
    </w:p>
    <w:p>
      <w:pPr>
        <w:spacing w:before="0" w:after="50" w:line="250" w:lineRule="auto"/>
      </w:pPr>
      <w:r>
        <w:rPr>
          <w:rFonts w:ascii="Calibri" w:hAnsi="Calibri"/>
          <w:color w:val="000000"/>
          <w:sz w:val="20"/>
        </w:rPr>
        <w:t xml:space="preserve">Preparation element: Operational plan</w:t>
      </w:r>
    </w:p>
    <w:p>
      <w:pPr>
        <w:spacing w:before="0" w:after="50" w:line="250" w:lineRule="auto"/>
      </w:pPr>
      <w:r>
        <w:rPr>
          <w:rFonts w:ascii="Calibri" w:hAnsi="Calibri"/>
          <w:color w:val="000000"/>
          <w:sz w:val="20"/>
        </w:rPr>
        <w:t xml:space="preserve">Required outcome: Training, calibration, monitoring and deviation handling.</w:t>
      </w:r>
    </w:p>
    <w:p>
      <w:pPr>
        <w:spacing w:before="0" w:after="50" w:line="250" w:lineRule="auto"/>
      </w:pPr>
      <w:r>
        <w:rPr>
          <w:rFonts w:ascii="Calibri" w:hAnsi="Calibri"/>
          <w:color w:val="000000"/>
          <w:sz w:val="20"/>
        </w:rPr>
        <w:t xml:space="preserve">Preparation element: Reporting plan</w:t>
      </w:r>
    </w:p>
    <w:p>
      <w:pPr>
        <w:spacing w:before="0" w:after="50" w:line="250" w:lineRule="auto"/>
      </w:pPr>
      <w:r>
        <w:rPr>
          <w:rFonts w:ascii="Calibri" w:hAnsi="Calibri"/>
          <w:color w:val="000000"/>
          <w:sz w:val="20"/>
        </w:rPr>
        <w:t xml:space="preserve">Required outcome: Complete accounting of outcomes and limitations.</w:t>
      </w:r>
    </w:p>
    <w:p>
      <w:pPr>
        <w:pStyle w:val="Heading3"/>
        <w:keepNext/>
        <w:keepLines/>
        <w:spacing w:before="240" w:after="120" w:line="269" w:lineRule="auto"/>
      </w:pPr>
      <w:r>
        <w:rPr>
          <w:color w:val="000000"/>
        </w:rPr>
        <w:t>Preserve deviations and unsuccessful cases</w:t>
      </w:r>
    </w:p>
    <w:p>
      <w:pPr>
        <w:pStyle w:val="Normal"/>
        <w:spacing w:before="0" w:after="50" w:line="250" w:lineRule="auto"/>
        <w:rPr/>
      </w:pPr>
      <w:r>
        <w:rPr>
          <w:rFonts w:ascii="Calibri" w:hAnsi="Calibri"/>
          <w:color w:val="000000"/>
          <w:sz w:val="20"/>
        </w:rPr>
        <w:t>Protocol deviations should be recorded with their effect on interpretation. Exclusions should follow prespecified rules and be reported transparently. A study should not remove difficult cases merely because they reduce apparent performance.</w:t>
      </w:r>
    </w:p>
    <w:p>
      <w:pPr>
        <w:pStyle w:val="Normal"/>
        <w:spacing w:before="0" w:after="50" w:line="250" w:lineRule="auto"/>
        <w:rPr/>
      </w:pPr>
      <w:r>
        <w:rPr>
          <w:rFonts w:ascii="Calibri" w:hAnsi="Calibri"/>
          <w:color w:val="000000"/>
          <w:sz w:val="20"/>
        </w:rPr>
        <w:t>The proposed programme should involve appropriate microbiology, clinical, statistical, engineering and governance expertise. No clinical study completion, recruitment, approval or patient benefit is claimed here. The product's next evidence step should be selected from the actual maturity of its measurement and software functions, with exploratory work separated from evidence intended to support release or clinical claims.</w:t>
      </w:r>
    </w:p>
    <w:p>
      <w:pPr>
        <w:pStyle w:val="Heading3"/>
        <w:keepNext/>
        <w:keepLines/>
        <w:spacing w:before="240" w:after="120" w:line="269" w:lineRule="auto"/>
      </w:pPr>
      <w:r>
        <w:rPr>
          <w:color w:val="000000"/>
        </w:rPr>
        <w:t>India regulatory assessment</w:t>
      </w:r>
    </w:p>
    <w:p>
      <w:pPr>
        <w:pStyle w:val="Normal"/>
        <w:keepNext/>
        <w:spacing w:before="0" w:after="50" w:line="250" w:lineRule="auto"/>
        <w:rPr/>
      </w:pPr>
      <w:r>
        <w:rPr>
          <w:rFonts w:ascii="Calibri" w:hAnsi="Calibri"/>
          <w:b/>
          <w:color w:val="000000"/>
          <w:sz w:val="20"/>
        </w:rPr>
        <w:t>India regulatory assessment follows intended use and product function</w:t>
      </w:r>
    </w:p>
    <w:p>
      <w:pPr>
        <w:pStyle w:val="Normal"/>
        <w:spacing w:before="0" w:after="50" w:line="250" w:lineRule="auto"/>
        <w:rPr/>
      </w:pPr>
      <w:r>
        <w:rPr>
          <w:rFonts w:ascii="Calibri" w:hAnsi="Calibri"/>
          <w:color w:val="000000"/>
          <w:sz w:val="20"/>
        </w:rPr>
        <w:t>The proposed reader, interpretation software, integrated instrument and predictive research functions may raise different regulatory questions. Assessment should begin with what each function does, the material it processes and the medical decision it supports. Calling software an assistant or labelling a device research-only does not by itself resolve its regulatory status.</w:t>
      </w:r>
    </w:p>
    <w:p>
      <w:pPr>
        <w:pStyle w:val="Heading3"/>
        <w:keepNext/>
        <w:keepLines/>
        <w:spacing w:before="240" w:after="120" w:line="269" w:lineRule="auto"/>
      </w:pPr>
      <w:r>
        <w:rPr>
          <w:color w:val="000000"/>
        </w:rPr>
        <w:t>Current reference and its limits</w:t>
      </w:r>
    </w:p>
    <w:p>
      <w:pPr>
        <w:pStyle w:val="Normal"/>
        <w:spacing w:before="0" w:after="50" w:line="250" w:lineRule="auto"/>
        <w:rPr/>
      </w:pPr>
      <w:r>
        <w:rPr>
          <w:rFonts w:ascii="Calibri" w:hAnsi="Calibri"/>
          <w:color w:val="000000"/>
          <w:sz w:val="20"/>
        </w:rPr>
        <w:t xml:space="preserve">CDSCO's 2026 medical-device software guidance discusses intended use, risk classification, quality systems and regulatory pathways under the Medical Devices Rules, 2017. The document states that it is an awareness resource and directs professional use to the statutory provisions and applicable clarifications. It is a planning reference here, not a product-specific legal determination. </w:t>
      </w:r>
    </w:p>
    <w:p>
      <w:pPr>
        <w:spacing w:before="0" w:after="50" w:line="250" w:lineRule="auto"/>
      </w:pPr>
      <w:r>
        <w:rPr>
          <w:rFonts w:ascii="Calibri" w:hAnsi="Calibri"/>
          <w:color w:val="000000"/>
          <w:sz w:val="20"/>
        </w:rPr>
        <w:t xml:space="preserve">Assessment topic: Device boundary</w:t>
      </w:r>
    </w:p>
    <w:p>
      <w:pPr>
        <w:spacing w:before="0" w:after="50" w:line="250" w:lineRule="auto"/>
      </w:pPr>
      <w:r>
        <w:rPr>
          <w:rFonts w:ascii="Calibri" w:hAnsi="Calibri"/>
          <w:color w:val="000000"/>
          <w:sz w:val="20"/>
        </w:rPr>
        <w:t xml:space="preserve">Required product-specific work: Identify hardware, software, accessories and connected functions.</w:t>
      </w:r>
    </w:p>
    <w:p>
      <w:pPr>
        <w:spacing w:before="0" w:after="50" w:line="250" w:lineRule="auto"/>
      </w:pPr>
      <w:r>
        <w:rPr>
          <w:rFonts w:ascii="Calibri" w:hAnsi="Calibri"/>
          <w:color w:val="000000"/>
          <w:sz w:val="20"/>
        </w:rPr>
        <w:t xml:space="preserve">Assessment topic: Intended use</w:t>
      </w:r>
    </w:p>
    <w:p>
      <w:pPr>
        <w:spacing w:before="0" w:after="50" w:line="250" w:lineRule="auto"/>
      </w:pPr>
      <w:r>
        <w:rPr>
          <w:rFonts w:ascii="Calibri" w:hAnsi="Calibri"/>
          <w:color w:val="000000"/>
          <w:sz w:val="20"/>
        </w:rPr>
        <w:t xml:space="preserve">Required product-specific work: Define users, specimens, outputs and decision significance.</w:t>
      </w:r>
    </w:p>
    <w:p>
      <w:pPr>
        <w:spacing w:before="0" w:after="50" w:line="250" w:lineRule="auto"/>
      </w:pPr>
      <w:r>
        <w:rPr>
          <w:rFonts w:ascii="Calibri" w:hAnsi="Calibri"/>
          <w:color w:val="000000"/>
          <w:sz w:val="20"/>
        </w:rPr>
        <w:t xml:space="preserve">Assessment topic: Classification</w:t>
      </w:r>
    </w:p>
    <w:p>
      <w:pPr>
        <w:spacing w:before="0" w:after="50" w:line="250" w:lineRule="auto"/>
      </w:pPr>
      <w:r>
        <w:rPr>
          <w:rFonts w:ascii="Calibri" w:hAnsi="Calibri"/>
          <w:color w:val="000000"/>
          <w:sz w:val="20"/>
        </w:rPr>
        <w:t xml:space="preserve">Required product-specific work: Determine applicable rules and competent authority interpretation.</w:t>
      </w:r>
    </w:p>
    <w:p>
      <w:pPr>
        <w:spacing w:before="0" w:after="50" w:line="250" w:lineRule="auto"/>
      </w:pPr>
      <w:r>
        <w:rPr>
          <w:rFonts w:ascii="Calibri" w:hAnsi="Calibri"/>
          <w:color w:val="000000"/>
          <w:sz w:val="20"/>
        </w:rPr>
        <w:t xml:space="preserve">Assessment topic: Evidence pathway</w:t>
      </w:r>
    </w:p>
    <w:p>
      <w:pPr>
        <w:spacing w:before="0" w:after="50" w:line="250" w:lineRule="auto"/>
      </w:pPr>
      <w:r>
        <w:rPr>
          <w:rFonts w:ascii="Calibri" w:hAnsi="Calibri"/>
          <w:color w:val="000000"/>
          <w:sz w:val="20"/>
        </w:rPr>
        <w:t xml:space="preserve">Required product-specific work: Establish required evaluation, permissions and submission material.</w:t>
      </w:r>
    </w:p>
    <w:p>
      <w:pPr>
        <w:spacing w:before="0" w:after="50" w:line="250" w:lineRule="auto"/>
      </w:pPr>
      <w:r>
        <w:rPr>
          <w:rFonts w:ascii="Calibri" w:hAnsi="Calibri"/>
          <w:color w:val="000000"/>
          <w:sz w:val="20"/>
        </w:rPr>
        <w:t xml:space="preserve">Assessment topic: Lifecycle duties</w:t>
      </w:r>
    </w:p>
    <w:p>
      <w:pPr>
        <w:spacing w:before="0" w:after="50" w:line="250" w:lineRule="auto"/>
      </w:pPr>
      <w:r>
        <w:rPr>
          <w:rFonts w:ascii="Calibri" w:hAnsi="Calibri"/>
          <w:color w:val="000000"/>
          <w:sz w:val="20"/>
        </w:rPr>
        <w:t xml:space="preserve">Required product-specific work: Plan quality, change, vigilance and post-market responsibilities.</w:t>
      </w:r>
    </w:p>
    <w:p>
      <w:pPr>
        <w:pStyle w:val="Heading3"/>
        <w:keepNext/>
        <w:keepLines/>
        <w:spacing w:before="240" w:after="120" w:line="269" w:lineRule="auto"/>
      </w:pPr>
      <w:r>
        <w:rPr>
          <w:color w:val="000000"/>
        </w:rPr>
        <w:t>Keep endpoint and predictive functions separate</w:t>
      </w:r>
    </w:p>
    <w:p>
      <w:pPr>
        <w:pStyle w:val="Normal"/>
        <w:spacing w:before="0" w:after="50" w:line="250" w:lineRule="auto"/>
        <w:rPr/>
      </w:pPr>
      <w:r>
        <w:rPr>
          <w:rFonts w:ascii="Calibri" w:hAnsi="Calibri"/>
          <w:color w:val="000000"/>
          <w:sz w:val="20"/>
        </w:rPr>
        <w:t>A qualified endpoint measurement function should not be used as evidence that a rapid classification or simulated biological result is authorized. Each extension needs an assessment of its intended use and evidence consequences. Public copy, demonstrations and instructions should remain consistent with that scope.</w:t>
      </w:r>
    </w:p>
    <w:p>
      <w:pPr>
        <w:pStyle w:val="Normal"/>
        <w:spacing w:before="0" w:after="50" w:line="250" w:lineRule="auto"/>
        <w:rPr/>
      </w:pPr>
      <w:r>
        <w:rPr>
          <w:rFonts w:ascii="Calibri" w:hAnsi="Calibri"/>
          <w:color w:val="000000"/>
          <w:sz w:val="20"/>
        </w:rPr>
        <w:t>Before regulated evaluation or commercialization, the programme should obtain appropriate specialist review and verify current statutory requirements. No device classification, licence, clearance or certification is asserted by this compendium. The immediate deliverable is a coherent technical and evidence plan from which that assessment can proceed.</w:t>
      </w:r>
    </w:p>
    <w:p>
      <w:pPr>
        <w:pStyle w:val="Heading3"/>
        <w:keepNext/>
        <w:keepLines/>
        <w:spacing w:before="240" w:after="120" w:line="269" w:lineRule="auto"/>
      </w:pPr>
      <w:r>
        <w:rPr>
          <w:color w:val="000000"/>
        </w:rPr>
        <w:t>Quality management and standards planning</w:t>
      </w:r>
    </w:p>
    <w:p>
      <w:pPr>
        <w:pStyle w:val="Normal"/>
        <w:keepNext/>
        <w:spacing w:before="0" w:after="50" w:line="250" w:lineRule="auto"/>
        <w:rPr/>
      </w:pPr>
      <w:r>
        <w:rPr>
          <w:rFonts w:ascii="Calibri" w:hAnsi="Calibri"/>
          <w:b/>
          <w:color w:val="000000"/>
          <w:sz w:val="20"/>
        </w:rPr>
        <w:t>Quality management connects design, evidence and delivered units</w:t>
      </w:r>
    </w:p>
    <w:p>
      <w:pPr>
        <w:pStyle w:val="Normal"/>
        <w:spacing w:before="0" w:after="50" w:line="250" w:lineRule="auto"/>
        <w:rPr/>
      </w:pPr>
      <w:r>
        <w:rPr>
          <w:rFonts w:ascii="Calibri" w:hAnsi="Calibri"/>
          <w:color w:val="000000"/>
          <w:sz w:val="20"/>
        </w:rPr>
        <w:t xml:space="preserve">The proposed quality system should ensure that requirements, risk controls, design decisions, suppliers, production and service remain traceable. ISO 13485 is a relevant medical-device quality-management reference; ISO 14971 addresses risk management. Their applicability and implementation should be assessed for the product and organization, with no certification implied.  </w:t>
      </w:r>
    </w:p>
    <w:p>
      <w:pPr>
        <w:pStyle w:val="Heading3"/>
        <w:keepNext/>
        <w:keepLines/>
        <w:spacing w:before="240" w:after="120" w:line="269" w:lineRule="auto"/>
      </w:pPr>
      <w:r>
        <w:rPr>
          <w:color w:val="000000"/>
        </w:rPr>
        <w:t>Select standards by function</w:t>
      </w:r>
    </w:p>
    <w:p>
      <w:pPr>
        <w:pStyle w:val="Normal"/>
        <w:spacing w:before="0" w:after="50" w:line="250" w:lineRule="auto"/>
        <w:rPr/>
      </w:pPr>
      <w:r>
        <w:rPr>
          <w:rFonts w:ascii="Calibri" w:hAnsi="Calibri"/>
          <w:color w:val="000000"/>
          <w:sz w:val="20"/>
        </w:rPr>
        <w:t>Software lifecycle, health-software security, laboratory competence and instrument safety address different aspects of the programme. The standards plan should identify the exact edition, applicable scope and required evidence. A list of standards is not evidence that the product complies with them.</w:t>
      </w:r>
    </w:p>
    <w:p>
      <w:pPr>
        <w:spacing w:before="0" w:after="50" w:line="250" w:lineRule="auto"/>
      </w:pPr>
      <w:r>
        <w:rPr>
          <w:rFonts w:ascii="Calibri" w:hAnsi="Calibri"/>
          <w:color w:val="000000"/>
          <w:sz w:val="20"/>
        </w:rPr>
        <w:t xml:space="preserve">Quality activity: Design and development</w:t>
      </w:r>
    </w:p>
    <w:p>
      <w:pPr>
        <w:spacing w:before="0" w:after="50" w:line="250" w:lineRule="auto"/>
      </w:pPr>
      <w:r>
        <w:rPr>
          <w:rFonts w:ascii="Calibri" w:hAnsi="Calibri"/>
          <w:color w:val="000000"/>
          <w:sz w:val="20"/>
        </w:rPr>
        <w:t xml:space="preserve">Proposed controlled output: Requirements, reviews, verification and validation records.</w:t>
      </w:r>
    </w:p>
    <w:p>
      <w:pPr>
        <w:spacing w:before="0" w:after="50" w:line="250" w:lineRule="auto"/>
      </w:pPr>
      <w:r>
        <w:rPr>
          <w:rFonts w:ascii="Calibri" w:hAnsi="Calibri"/>
          <w:color w:val="000000"/>
          <w:sz w:val="20"/>
        </w:rPr>
        <w:t xml:space="preserve">Quality activity: Supplier management</w:t>
      </w:r>
    </w:p>
    <w:p>
      <w:pPr>
        <w:spacing w:before="0" w:after="50" w:line="250" w:lineRule="auto"/>
      </w:pPr>
      <w:r>
        <w:rPr>
          <w:rFonts w:ascii="Calibri" w:hAnsi="Calibri"/>
          <w:color w:val="000000"/>
          <w:sz w:val="20"/>
        </w:rPr>
        <w:t xml:space="preserve">Proposed controlled output: Qualification, incoming criteria and substitution assessment.</w:t>
      </w:r>
    </w:p>
    <w:p>
      <w:pPr>
        <w:spacing w:before="0" w:after="50" w:line="250" w:lineRule="auto"/>
      </w:pPr>
      <w:r>
        <w:rPr>
          <w:rFonts w:ascii="Calibri" w:hAnsi="Calibri"/>
          <w:color w:val="000000"/>
          <w:sz w:val="20"/>
        </w:rPr>
        <w:t xml:space="preserve">Quality activity: Production</w:t>
      </w:r>
    </w:p>
    <w:p>
      <w:pPr>
        <w:spacing w:before="0" w:after="50" w:line="250" w:lineRule="auto"/>
      </w:pPr>
      <w:r>
        <w:rPr>
          <w:rFonts w:ascii="Calibri" w:hAnsi="Calibri"/>
          <w:color w:val="000000"/>
          <w:sz w:val="20"/>
        </w:rPr>
        <w:t xml:space="preserve">Proposed controlled output: Assembly instructions, acceptance checks and unit configuration.</w:t>
      </w:r>
    </w:p>
    <w:p>
      <w:pPr>
        <w:spacing w:before="0" w:after="50" w:line="250" w:lineRule="auto"/>
      </w:pPr>
      <w:r>
        <w:rPr>
          <w:rFonts w:ascii="Calibri" w:hAnsi="Calibri"/>
          <w:color w:val="000000"/>
          <w:sz w:val="20"/>
        </w:rPr>
        <w:t xml:space="preserve">Quality activity: Calibration</w:t>
      </w:r>
    </w:p>
    <w:p>
      <w:pPr>
        <w:spacing w:before="0" w:after="50" w:line="250" w:lineRule="auto"/>
      </w:pPr>
      <w:r>
        <w:rPr>
          <w:rFonts w:ascii="Calibri" w:hAnsi="Calibri"/>
          <w:color w:val="000000"/>
          <w:sz w:val="20"/>
        </w:rPr>
        <w:t xml:space="preserve">Proposed controlled output: Traceability, intervals and response to out-of-tolerance findings.</w:t>
      </w:r>
    </w:p>
    <w:p>
      <w:pPr>
        <w:spacing w:before="0" w:after="50" w:line="250" w:lineRule="auto"/>
      </w:pPr>
      <w:r>
        <w:rPr>
          <w:rFonts w:ascii="Calibri" w:hAnsi="Calibri"/>
          <w:color w:val="000000"/>
          <w:sz w:val="20"/>
        </w:rPr>
        <w:t xml:space="preserve">Quality activity: Service</w:t>
      </w:r>
    </w:p>
    <w:p>
      <w:pPr>
        <w:spacing w:before="0" w:after="50" w:line="250" w:lineRule="auto"/>
      </w:pPr>
      <w:r>
        <w:rPr>
          <w:rFonts w:ascii="Calibri" w:hAnsi="Calibri"/>
          <w:color w:val="000000"/>
          <w:sz w:val="20"/>
        </w:rPr>
        <w:t xml:space="preserve">Proposed controlled output: Fault investigation, repair verification and field feedback.</w:t>
      </w:r>
    </w:p>
    <w:p>
      <w:pPr>
        <w:spacing w:before="0" w:after="50" w:line="250" w:lineRule="auto"/>
      </w:pPr>
      <w:r>
        <w:rPr>
          <w:rFonts w:ascii="Calibri" w:hAnsi="Calibri"/>
          <w:color w:val="000000"/>
          <w:sz w:val="20"/>
        </w:rPr>
        <w:t xml:space="preserve">Quality activity: Corrective action</w:t>
      </w:r>
    </w:p>
    <w:p>
      <w:pPr>
        <w:spacing w:before="0" w:after="50" w:line="250" w:lineRule="auto"/>
      </w:pPr>
      <w:r>
        <w:rPr>
          <w:rFonts w:ascii="Calibri" w:hAnsi="Calibri"/>
          <w:color w:val="000000"/>
          <w:sz w:val="20"/>
        </w:rPr>
        <w:t xml:space="preserve">Proposed controlled output: Root-cause assessment and evidence of effective resolution.</w:t>
      </w:r>
    </w:p>
    <w:p>
      <w:pPr>
        <w:pStyle w:val="Heading3"/>
        <w:keepNext/>
        <w:keepLines/>
        <w:spacing w:before="240" w:after="120" w:line="269" w:lineRule="auto"/>
      </w:pPr>
      <w:r>
        <w:rPr>
          <w:color w:val="000000"/>
        </w:rPr>
        <w:t>Laboratory competence is a separate consideration</w:t>
      </w:r>
    </w:p>
    <w:p>
      <w:pPr>
        <w:pStyle w:val="Normal"/>
        <w:spacing w:before="0" w:after="50" w:line="250" w:lineRule="auto"/>
        <w:rPr/>
      </w:pPr>
      <w:r>
        <w:rPr>
          <w:rFonts w:ascii="Calibri" w:hAnsi="Calibri"/>
          <w:color w:val="000000"/>
          <w:sz w:val="20"/>
        </w:rPr>
        <w:t xml:space="preserve">Testing and calibration services may require competence arrangements appropriate to their work. ISO/IEC 17025 provides a relevant framework for testing and calibration laboratories, but it does not replace medical-device product requirements or establish an accreditation for AMReye.AI. </w:t>
      </w:r>
    </w:p>
    <w:p>
      <w:pPr>
        <w:pStyle w:val="Normal"/>
        <w:spacing w:before="0" w:after="50" w:line="250" w:lineRule="auto"/>
        <w:rPr/>
      </w:pPr>
      <w:r>
        <w:rPr>
          <w:rFonts w:ascii="Calibri" w:hAnsi="Calibri"/>
          <w:color w:val="000000"/>
          <w:sz w:val="20"/>
        </w:rPr>
        <w:t>The quality system should scale with development maturity while preserving the evidence needed for later decisions. Early prototypes can be flexible, but their configurations and test conditions must still be recorded if the findings are to inform subsequent engineering or external claims.</w:t>
      </w:r>
    </w:p>
    <w:p>
      <w:pPr>
        <w:pStyle w:val="Heading3"/>
        <w:keepNext/>
        <w:keepLines/>
        <w:spacing w:before="240" w:after="120" w:line="269" w:lineRule="auto"/>
      </w:pPr>
      <w:r>
        <w:rPr>
          <w:color w:val="000000"/>
        </w:rPr>
        <w:t>Release gates and residual risk review</w:t>
      </w:r>
    </w:p>
    <w:p>
      <w:pPr>
        <w:pStyle w:val="Normal"/>
        <w:keepNext/>
        <w:spacing w:before="0" w:after="50" w:line="250" w:lineRule="auto"/>
        <w:rPr/>
      </w:pPr>
      <w:r>
        <w:rPr>
          <w:rFonts w:ascii="Calibri" w:hAnsi="Calibri"/>
          <w:b/>
          <w:color w:val="000000"/>
          <w:sz w:val="20"/>
        </w:rPr>
        <w:t>Release requires a defined decision on the remaining risk</w:t>
      </w:r>
    </w:p>
    <w:p>
      <w:pPr>
        <w:pStyle w:val="Normal"/>
        <w:spacing w:before="0" w:after="50" w:line="250" w:lineRule="auto"/>
        <w:rPr/>
      </w:pPr>
      <w:r>
        <w:rPr>
          <w:rFonts w:ascii="Calibri" w:hAnsi="Calibri"/>
          <w:color w:val="000000"/>
          <w:sz w:val="20"/>
        </w:rPr>
        <w:t>A release gate should assess the complete configuration intended for use: instrument, software, model, calibration, standards content, interfaces, instructions and service arrangements. Each component may pass its own tests while their combination remains inadequately evaluated. The release decision should therefore review the integrated evidence and unresolved limitations.</w:t>
      </w:r>
    </w:p>
    <w:p>
      <w:pPr>
        <w:spacing w:before="0" w:after="50" w:line="250" w:lineRule="auto"/>
      </w:pPr>
      <w:r>
        <w:rPr>
          <w:rFonts w:ascii="Calibri" w:hAnsi="Calibri"/>
          <w:color w:val="000000"/>
          <w:sz w:val="20"/>
        </w:rPr>
        <w:t xml:space="preserve">Gate question: Is the intended use stable?</w:t>
      </w:r>
    </w:p>
    <w:p>
      <w:pPr>
        <w:spacing w:before="0" w:after="50" w:line="250" w:lineRule="auto"/>
      </w:pPr>
      <w:r>
        <w:rPr>
          <w:rFonts w:ascii="Calibri" w:hAnsi="Calibri"/>
          <w:color w:val="000000"/>
          <w:sz w:val="20"/>
        </w:rPr>
        <w:t xml:space="preserve">Required evidence: Approved scope and consistent product description.</w:t>
      </w:r>
    </w:p>
    <w:p>
      <w:pPr>
        <w:spacing w:before="0" w:after="50" w:line="250" w:lineRule="auto"/>
      </w:pPr>
      <w:r>
        <w:rPr>
          <w:rFonts w:ascii="Calibri" w:hAnsi="Calibri"/>
          <w:color w:val="000000"/>
          <w:sz w:val="20"/>
        </w:rPr>
        <w:t xml:space="preserve">Gate question: Are measurements qualified?</w:t>
      </w:r>
    </w:p>
    <w:p>
      <w:pPr>
        <w:spacing w:before="0" w:after="50" w:line="250" w:lineRule="auto"/>
      </w:pPr>
      <w:r>
        <w:rPr>
          <w:rFonts w:ascii="Calibri" w:hAnsi="Calibri"/>
          <w:color w:val="000000"/>
          <w:sz w:val="20"/>
        </w:rPr>
        <w:t xml:space="preserve">Required evidence: Relevant analytical and robustness results.</w:t>
      </w:r>
    </w:p>
    <w:p>
      <w:pPr>
        <w:spacing w:before="0" w:after="50" w:line="250" w:lineRule="auto"/>
      </w:pPr>
      <w:r>
        <w:rPr>
          <w:rFonts w:ascii="Calibri" w:hAnsi="Calibri"/>
          <w:color w:val="000000"/>
          <w:sz w:val="20"/>
        </w:rPr>
        <w:t xml:space="preserve">Gate question: Are critical workflows reliable?</w:t>
      </w:r>
    </w:p>
    <w:p>
      <w:pPr>
        <w:spacing w:before="0" w:after="50" w:line="250" w:lineRule="auto"/>
      </w:pPr>
      <w:r>
        <w:rPr>
          <w:rFonts w:ascii="Calibri" w:hAnsi="Calibri"/>
          <w:color w:val="000000"/>
          <w:sz w:val="20"/>
        </w:rPr>
        <w:t xml:space="preserve">Required evidence: Identity, review, correction, export and recovery verification.</w:t>
      </w:r>
    </w:p>
    <w:p>
      <w:pPr>
        <w:spacing w:before="0" w:after="50" w:line="250" w:lineRule="auto"/>
      </w:pPr>
      <w:r>
        <w:rPr>
          <w:rFonts w:ascii="Calibri" w:hAnsi="Calibri"/>
          <w:color w:val="000000"/>
          <w:sz w:val="20"/>
        </w:rPr>
        <w:t xml:space="preserve">Gate question: Are users prepared?</w:t>
      </w:r>
    </w:p>
    <w:p>
      <w:pPr>
        <w:spacing w:before="0" w:after="50" w:line="250" w:lineRule="auto"/>
      </w:pPr>
      <w:r>
        <w:rPr>
          <w:rFonts w:ascii="Calibri" w:hAnsi="Calibri"/>
          <w:color w:val="000000"/>
          <w:sz w:val="20"/>
        </w:rPr>
        <w:t xml:space="preserve">Required evidence: Usability evidence and appropriate training.</w:t>
      </w:r>
    </w:p>
    <w:p>
      <w:pPr>
        <w:spacing w:before="0" w:after="50" w:line="250" w:lineRule="auto"/>
      </w:pPr>
      <w:r>
        <w:rPr>
          <w:rFonts w:ascii="Calibri" w:hAnsi="Calibri"/>
          <w:color w:val="000000"/>
          <w:sz w:val="20"/>
        </w:rPr>
        <w:t xml:space="preserve">Gate question: Are security and privacy addressed?</w:t>
      </w:r>
    </w:p>
    <w:p>
      <w:pPr>
        <w:spacing w:before="0" w:after="50" w:line="250" w:lineRule="auto"/>
      </w:pPr>
      <w:r>
        <w:rPr>
          <w:rFonts w:ascii="Calibri" w:hAnsi="Calibri"/>
          <w:color w:val="000000"/>
          <w:sz w:val="20"/>
        </w:rPr>
        <w:t xml:space="preserve">Required evidence: Implemented controls and assessed residual risks.</w:t>
      </w:r>
    </w:p>
    <w:p>
      <w:pPr>
        <w:spacing w:before="0" w:after="50" w:line="250" w:lineRule="auto"/>
      </w:pPr>
      <w:r>
        <w:rPr>
          <w:rFonts w:ascii="Calibri" w:hAnsi="Calibri"/>
          <w:color w:val="000000"/>
          <w:sz w:val="20"/>
        </w:rPr>
        <w:t xml:space="preserve">Gate question: Can the product be supported?</w:t>
      </w:r>
    </w:p>
    <w:p>
      <w:pPr>
        <w:spacing w:before="0" w:after="50" w:line="250" w:lineRule="auto"/>
      </w:pPr>
      <w:r>
        <w:rPr>
          <w:rFonts w:ascii="Calibri" w:hAnsi="Calibri"/>
          <w:color w:val="000000"/>
          <w:sz w:val="20"/>
        </w:rPr>
        <w:t xml:space="preserve">Required evidence: Installation, calibration, service and update arrangements.</w:t>
      </w:r>
    </w:p>
    <w:p>
      <w:pPr>
        <w:pStyle w:val="Heading3"/>
        <w:keepNext/>
        <w:keepLines/>
        <w:spacing w:before="240" w:after="120" w:line="269" w:lineRule="auto"/>
      </w:pPr>
      <w:r>
        <w:rPr>
          <w:color w:val="000000"/>
        </w:rPr>
        <w:t>Make unresolved matters explicit</w:t>
      </w:r>
    </w:p>
    <w:p>
      <w:pPr>
        <w:pStyle w:val="Normal"/>
        <w:spacing w:before="0" w:after="50" w:line="250" w:lineRule="auto"/>
        <w:rPr/>
      </w:pPr>
      <w:r>
        <w:rPr>
          <w:rFonts w:ascii="Calibri" w:hAnsi="Calibri"/>
          <w:color w:val="000000"/>
          <w:sz w:val="20"/>
        </w:rPr>
        <w:t>Known issues should identify affected conditions, consequences and controls. A limitation should not be hidden in a technical file while marketing implies unrestricted capability. Where evidence is insufficient, the release may be restricted, deferred or retained for a defined research purpose.</w:t>
      </w:r>
    </w:p>
    <w:p>
      <w:pPr>
        <w:pStyle w:val="Normal"/>
        <w:spacing w:before="0" w:after="50" w:line="250" w:lineRule="auto"/>
        <w:rPr/>
      </w:pPr>
      <w:r>
        <w:rPr>
          <w:rFonts w:ascii="Calibri" w:hAnsi="Calibri"/>
          <w:color w:val="000000"/>
          <w:sz w:val="20"/>
        </w:rPr>
        <w:t>The zero-error aspiration informs this process through prevention, detection, abstention and recovery. It is not a release criterion that can be proven universally. The responsible decision is whether the evidence and residual risks support the exact intended use under the applicable requirements.</w:t>
      </w:r>
    </w:p>
    <w:p>
      <w:pPr>
        <w:pStyle w:val="Normal"/>
        <w:spacing w:before="0" w:after="50" w:line="250" w:lineRule="auto"/>
        <w:rPr/>
      </w:pPr>
      <w:r>
        <w:rPr>
          <w:rFonts w:ascii="Calibri" w:hAnsi="Calibri"/>
          <w:color w:val="000000"/>
          <w:sz w:val="20"/>
        </w:rPr>
        <w:t>AMReye.AI remains at research and prototype stage in this compendium. The proposed gates provide a route toward a dependable product and a basis for partner review. Future claims should be revised only when the corresponding engineering, analytical, clinical or operational evidence has actually been obtained and assessed.</w:t>
      </w:r>
    </w:p>
    <w:p>
      <w:pPr>
        <w:pStyle w:val="Caption"/>
        <w:keepNext/>
      </w:pPr>
      <w:bookmarkStart w:id="97012" w:name="figure_12"/>
      <w:r>
        <w:t>Figure 12 Validation ladder and evidence gates</w:t>
      </w:r>
      <w:bookmarkEnd w:id="97012"/>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42965" cy="3390900"/>
            <wp:effectExtent l="0" t="0" r="0" b="0"/>
            <wp:docPr id="8"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8" name="Picture 8" descr="" title=""/>
                    <pic:cNvPicPr>
                      <a:picLocks noChangeAspect="1" noChangeArrowheads="1"/>
                    </pic:cNvPicPr>
                  </pic:nvPicPr>
                  <pic:blipFill>
                    <a:blip r:embed="rId14"/>
                    <a:stretch>
                      <a:fillRect/>
                    </a:stretch>
                  </pic:blipFill>
                  <pic:spPr bwMode="auto">
                    <a:xfrm>
                      <a:off x="0" y="0"/>
                      <a:ext cx="5942965" cy="3390900"/>
                    </a:xfrm>
                    <a:prstGeom prst="rect">
                      <a:avLst/>
                    </a:prstGeom>
                    <a:noFill/>
                  </pic:spPr>
                </pic:pic>
              </a:graphicData>
            </a:graphic>
          </wp:inline>
        </w:drawing>
      </w:r>
    </w:p>
    <w:p>
      <w:pPr>
        <w:pStyle w:val="Heading2"/>
        <w:keepNext/>
        <w:keepLines/>
      </w:pPr>
      <w:r>
        <w:rPr>
          <w:color w:val="000000"/>
        </w:rPr>
        <w:t>Claim specific requirements and permitted interpretation</w:t>
      </w:r>
    </w:p>
    <w:p>
      <w:pPr>
        <w:pStyle w:val="Heading3"/>
        <w:keepNext/>
        <w:keepLines/>
        <w:spacing w:before="240" w:after="120" w:line="269" w:lineRule="auto"/>
      </w:pPr>
      <w:r>
        <w:rPr>
          <w:color w:val="000000"/>
        </w:rPr>
        <w:t>CORE PRODUCT POSITIONING</w:t>
      </w:r>
    </w:p>
    <w:p>
      <w:pPr>
        <w:pStyle w:val="Normal"/>
        <w:keepNext/>
        <w:spacing w:before="0" w:after="50" w:line="250" w:lineRule="auto"/>
        <w:rPr/>
      </w:pPr>
      <w:r>
        <w:rPr>
          <w:rFonts w:ascii="Calibri" w:hAnsi="Calibri"/>
          <w:color w:val="000000"/>
          <w:sz w:val="20"/>
        </w:rPr>
        <w:t>Safe current claim:</w:t>
      </w:r>
    </w:p>
    <w:p>
      <w:pPr>
        <w:pStyle w:val="Normal"/>
        <w:spacing w:before="0" w:after="50" w:line="250" w:lineRule="auto"/>
        <w:rPr/>
      </w:pPr>
      <w:r>
        <w:rPr>
          <w:rFonts w:ascii="Calibri" w:hAnsi="Calibri"/>
          <w:color w:val="000000"/>
          <w:sz w:val="20"/>
        </w:rPr>
        <w:t>AMR-Eye.AI is a research/prototype-stage, AI-assisted antimicrobial susceptibility testing and bio-automation platform intended to digitize plate imaging, zone measurement, standards-based interpretation, human review and laboratory workflow.</w:t>
      </w:r>
    </w:p>
    <w:p>
      <w:pPr>
        <w:pStyle w:val="Normal"/>
        <w:spacing w:before="0" w:after="50" w:line="250" w:lineRule="auto"/>
        <w:rPr/>
      </w:pPr>
      <w:r>
        <w:rPr>
          <w:rFonts w:ascii="Calibri" w:hAnsi="Calibri"/>
          <w:color w:val="000000"/>
          <w:sz w:val="20"/>
        </w:rPr>
        <w:t>Status: PROPOSED / PARTIALLY DEMONSTRATED depending on the specific interface/hardware feature shown.</w:t>
      </w:r>
    </w:p>
    <w:p>
      <w:pPr>
        <w:pStyle w:val="Normal"/>
        <w:keepNext/>
        <w:spacing w:before="0" w:after="50" w:line="250" w:lineRule="auto"/>
        <w:rPr/>
      </w:pPr>
      <w:r>
        <w:rPr>
          <w:rFonts w:ascii="Calibri" w:hAnsi="Calibri"/>
          <w:color w:val="000000"/>
          <w:sz w:val="20"/>
        </w:rPr>
        <w:t>Unsafe historical wording:</w:t>
      </w:r>
    </w:p>
    <w:p>
      <w:pPr>
        <w:pStyle w:val="Normal"/>
        <w:spacing w:before="0" w:after="50" w:line="250" w:lineRule="auto"/>
        <w:rPr/>
      </w:pPr>
      <w:r>
        <w:rPr>
          <w:rFonts w:ascii="Calibri" w:hAnsi="Calibri"/>
          <w:color w:val="000000"/>
          <w:sz w:val="20"/>
        </w:rPr>
        <w:t>• “</w:t>
      </w:r>
      <w:r>
        <w:rPr>
          <w:rFonts w:ascii="Calibri" w:hAnsi="Calibri"/>
          <w:color w:val="000000"/>
          <w:sz w:val="20"/>
        </w:rPr>
        <w:t>fully automated diagnosis”</w:t>
      </w:r>
    </w:p>
    <w:p>
      <w:pPr>
        <w:pStyle w:val="Normal"/>
        <w:spacing w:before="0" w:after="50" w:line="250" w:lineRule="auto"/>
        <w:rPr/>
      </w:pPr>
      <w:r>
        <w:rPr>
          <w:rFonts w:ascii="Calibri" w:hAnsi="Calibri"/>
          <w:color w:val="000000"/>
          <w:sz w:val="20"/>
        </w:rPr>
        <w:t>• “</w:t>
      </w:r>
      <w:r>
        <w:rPr>
          <w:rFonts w:ascii="Calibri" w:hAnsi="Calibri"/>
          <w:color w:val="000000"/>
          <w:sz w:val="20"/>
        </w:rPr>
        <w:t>universal digital supervisor”</w:t>
      </w:r>
    </w:p>
    <w:p>
      <w:pPr>
        <w:pStyle w:val="Normal"/>
        <w:spacing w:before="0" w:after="50" w:line="250" w:lineRule="auto"/>
        <w:rPr/>
      </w:pPr>
      <w:r>
        <w:rPr>
          <w:rFonts w:ascii="Calibri" w:hAnsi="Calibri"/>
          <w:color w:val="000000"/>
          <w:sz w:val="20"/>
        </w:rPr>
        <w:t>• “</w:t>
      </w:r>
      <w:r>
        <w:rPr>
          <w:rFonts w:ascii="Calibri" w:hAnsi="Calibri"/>
          <w:color w:val="000000"/>
          <w:sz w:val="20"/>
        </w:rPr>
        <w:t>replaces five laboratory instruments”</w:t>
      </w:r>
    </w:p>
    <w:p>
      <w:pPr>
        <w:pStyle w:val="Normal"/>
        <w:spacing w:before="0" w:after="50" w:line="250" w:lineRule="auto"/>
        <w:rPr/>
      </w:pPr>
      <w:r>
        <w:rPr>
          <w:rFonts w:ascii="Calibri" w:hAnsi="Calibri"/>
          <w:color w:val="000000"/>
          <w:sz w:val="20"/>
        </w:rPr>
        <w:t>• “</w:t>
      </w:r>
      <w:r>
        <w:rPr>
          <w:rFonts w:ascii="Calibri" w:hAnsi="Calibri"/>
          <w:color w:val="000000"/>
          <w:sz w:val="20"/>
        </w:rPr>
        <w:t>accurate diagnostics” without validation data</w:t>
      </w:r>
    </w:p>
    <w:p>
      <w:pPr>
        <w:pStyle w:val="Normal"/>
        <w:spacing w:before="0" w:after="50" w:line="250" w:lineRule="auto"/>
        <w:rPr/>
      </w:pPr>
      <w:r>
        <w:rPr>
          <w:rFonts w:ascii="Calibri" w:hAnsi="Calibri"/>
          <w:color w:val="000000"/>
          <w:sz w:val="20"/>
        </w:rPr>
        <w:t>• “</w:t>
      </w:r>
      <w:r>
        <w:rPr>
          <w:rFonts w:ascii="Calibri" w:hAnsi="Calibri"/>
          <w:color w:val="000000"/>
          <w:sz w:val="20"/>
        </w:rPr>
        <w:t>clinical-ready” or equivalent</w:t>
      </w:r>
    </w:p>
    <w:p>
      <w:pPr>
        <w:pStyle w:val="Normal"/>
        <w:spacing w:before="0" w:after="50" w:line="250" w:lineRule="auto"/>
        <w:rPr/>
      </w:pPr>
      <w:r>
        <w:rPr>
          <w:rFonts w:ascii="Calibri" w:hAnsi="Calibri"/>
          <w:color w:val="000000"/>
          <w:sz w:val="20"/>
        </w:rPr>
        <w:t>Status: NOT ESTABLISHED.</w:t>
      </w:r>
    </w:p>
    <w:p>
      <w:pPr>
        <w:pStyle w:val="Normal"/>
        <w:keepNext/>
        <w:spacing w:before="0" w:after="50" w:line="250" w:lineRule="auto"/>
        <w:rPr/>
      </w:pPr>
      <w:r>
        <w:rPr>
          <w:rFonts w:ascii="Calibri" w:hAnsi="Calibri"/>
          <w:color w:val="000000"/>
          <w:sz w:val="20"/>
        </w:rPr>
        <w:t>Required public disclaimer where appropriate:</w:t>
      </w:r>
    </w:p>
    <w:p>
      <w:pPr>
        <w:pStyle w:val="Normal"/>
        <w:spacing w:before="0" w:after="50" w:line="250" w:lineRule="auto"/>
        <w:rPr/>
      </w:pPr>
      <w:r>
        <w:rPr>
          <w:rFonts w:ascii="Calibri" w:hAnsi="Calibri"/>
          <w:color w:val="000000"/>
          <w:sz w:val="20"/>
        </w:rPr>
        <w:t>“</w:t>
      </w:r>
      <w:r>
        <w:rPr>
          <w:rFonts w:ascii="Calibri" w:hAnsi="Calibri"/>
          <w:color w:val="000000"/>
          <w:sz w:val="20"/>
        </w:rPr>
        <w:t>Research / Prototype Demonstration ;  Not for Clinical Use.”</w:t>
      </w:r>
    </w:p>
    <w:p>
      <w:pPr>
        <w:pStyle w:val="Heading3"/>
        <w:keepNext/>
        <w:keepLines/>
        <w:spacing w:before="240" w:after="120" w:line="269" w:lineRule="auto"/>
      </w:pPr>
      <w:r>
        <w:rPr>
          <w:color w:val="000000"/>
        </w:rPr>
        <w:t>TIME-TO-RESULT</w:t>
      </w:r>
    </w:p>
    <w:p>
      <w:pPr>
        <w:pStyle w:val="Normal"/>
        <w:spacing w:before="0" w:after="50" w:line="250" w:lineRule="auto"/>
        <w:rPr/>
      </w:pPr>
      <w:r>
        <w:rPr>
          <w:rFonts w:ascii="Calibri" w:hAnsi="Calibri"/>
          <w:color w:val="000000"/>
          <w:sz w:val="20"/>
        </w:rPr>
        <w:t>Historical claim: AMR-Eye reduces AST from 48-72 hours to approximately 6 hours.</w:t>
      </w:r>
    </w:p>
    <w:p>
      <w:pPr>
        <w:pStyle w:val="Normal"/>
        <w:spacing w:before="0" w:after="50" w:line="250" w:lineRule="auto"/>
        <w:rPr/>
      </w:pPr>
      <w:r>
        <w:rPr>
          <w:rFonts w:ascii="Calibri" w:hAnsi="Calibri"/>
          <w:color w:val="000000"/>
          <w:sz w:val="20"/>
        </w:rPr>
        <w:t>Status: RESEARCH TARGET, NOT CLINICALLY VALIDATED.</w:t>
      </w:r>
    </w:p>
    <w:p>
      <w:pPr>
        <w:pStyle w:val="Normal"/>
        <w:keepNext/>
        <w:spacing w:before="0" w:after="50" w:line="250" w:lineRule="auto"/>
        <w:rPr/>
      </w:pPr>
      <w:r>
        <w:rPr>
          <w:rFonts w:ascii="Calibri" w:hAnsi="Calibri"/>
          <w:color w:val="000000"/>
          <w:sz w:val="20"/>
        </w:rPr>
        <w:t>Current rule:</w:t>
      </w:r>
    </w:p>
    <w:p>
      <w:pPr>
        <w:pStyle w:val="Normal"/>
        <w:spacing w:before="0" w:after="50" w:line="250" w:lineRule="auto"/>
        <w:rPr/>
      </w:pPr>
      <w:r>
        <w:rPr>
          <w:rFonts w:ascii="Calibri" w:hAnsi="Calibri"/>
          <w:color w:val="000000"/>
          <w:sz w:val="20"/>
        </w:rPr>
        <w:t>A ~6-hour endpoint may be investigated using early growth/optical kinetics, but time-to-result must be defined by organism, inoculum, antibiotic, specimen/workflow, reference method, endpoint and agreement criteria. Do not imply all conventional disk-diffusion AST universally takes 48-72 hours or that AMR-Eye already achieves a validated 6-hour result.</w:t>
      </w:r>
    </w:p>
    <w:p>
      <w:pPr>
        <w:pStyle w:val="Normal"/>
        <w:keepNext/>
        <w:spacing w:before="0" w:after="50" w:line="250" w:lineRule="auto"/>
        <w:rPr/>
      </w:pPr>
      <w:r>
        <w:rPr>
          <w:rFonts w:ascii="Calibri" w:hAnsi="Calibri"/>
          <w:color w:val="000000"/>
          <w:sz w:val="20"/>
        </w:rPr>
        <w:t>Evidence needed:</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organism/antibiotic matrix</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replicate count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reference AST method</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categorical agreement / essential agreement as applicable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very major / major / minor error analysis as applicable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time-to-result definition</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blinded external validation</w:t>
      </w:r>
    </w:p>
    <w:p>
      <w:pPr>
        <w:pStyle w:val="Heading3"/>
        <w:keepNext/>
        <w:keepLines/>
        <w:spacing w:before="240" w:after="120" w:line="269" w:lineRule="auto"/>
      </w:pPr>
      <w:r>
        <w:rPr>
          <w:color w:val="000000"/>
        </w:rPr>
        <w:t>AMR MORTALITY / GLOBAL BURDEN</w:t>
      </w:r>
    </w:p>
    <w:p>
      <w:pPr>
        <w:pStyle w:val="Normal"/>
        <w:spacing w:before="0" w:after="50" w:line="250" w:lineRule="auto"/>
        <w:rPr/>
      </w:pPr>
      <w:r>
        <w:rPr>
          <w:rFonts w:ascii="Calibri" w:hAnsi="Calibri"/>
          <w:color w:val="000000"/>
          <w:sz w:val="20"/>
        </w:rPr>
        <w:t>Historical claim: WHO projects 10 million AMR deaths annually by 2050.</w:t>
      </w:r>
    </w:p>
    <w:p>
      <w:pPr>
        <w:pStyle w:val="Normal"/>
        <w:spacing w:before="0" w:after="50" w:line="250" w:lineRule="auto"/>
        <w:rPr/>
      </w:pPr>
      <w:r>
        <w:rPr>
          <w:rFonts w:ascii="Calibri" w:hAnsi="Calibri"/>
          <w:color w:val="000000"/>
          <w:sz w:val="20"/>
        </w:rPr>
        <w:t>Status: DO NOT ATTRIBUTE TO WHO AS A CURRENT WHO PROJECTION WITHOUT A VERIFIED SOURCE.</w:t>
      </w:r>
    </w:p>
    <w:p>
      <w:pPr>
        <w:pStyle w:val="Normal"/>
        <w:spacing w:before="0" w:after="50" w:line="250" w:lineRule="auto"/>
        <w:rPr/>
      </w:pPr>
      <w:r>
        <w:rPr>
          <w:rFonts w:ascii="Calibri" w:hAnsi="Calibri"/>
          <w:color w:val="000000"/>
          <w:sz w:val="20"/>
        </w:rPr>
        <w:t>Historical claim: every hour of delayed targeted therapy increases sepsis mortality by 7.6%.</w:t>
      </w:r>
    </w:p>
    <w:p>
      <w:pPr>
        <w:pStyle w:val="Normal"/>
        <w:spacing w:before="0" w:after="50" w:line="250" w:lineRule="auto"/>
        <w:rPr/>
      </w:pPr>
      <w:r>
        <w:rPr>
          <w:rFonts w:ascii="Calibri" w:hAnsi="Calibri"/>
          <w:color w:val="000000"/>
          <w:sz w:val="20"/>
        </w:rPr>
        <w:t>Status: CONTEXT-SPECIFIC / REQUIRES SOURCE AND PRECISE CLINICAL FRAMING.</w:t>
      </w:r>
    </w:p>
    <w:p>
      <w:pPr>
        <w:pStyle w:val="Normal"/>
        <w:keepNext/>
        <w:spacing w:before="0" w:after="50" w:line="250" w:lineRule="auto"/>
        <w:rPr/>
      </w:pPr>
      <w:r>
        <w:rPr>
          <w:rFonts w:ascii="Calibri" w:hAnsi="Calibri"/>
          <w:color w:val="000000"/>
          <w:sz w:val="20"/>
        </w:rPr>
        <w:t>Rule:</w:t>
      </w:r>
    </w:p>
    <w:p>
      <w:pPr>
        <w:pStyle w:val="Normal"/>
        <w:spacing w:before="0" w:after="50" w:line="250" w:lineRule="auto"/>
        <w:rPr/>
      </w:pPr>
      <w:r>
        <w:rPr>
          <w:rFonts w:ascii="Calibri" w:hAnsi="Calibri"/>
          <w:color w:val="000000"/>
          <w:sz w:val="20"/>
        </w:rPr>
        <w:t>Use current primary or high-quality epidemiological sources and reproduce the source’s population, endpoint and causal limitations accurately.</w:t>
      </w:r>
    </w:p>
    <w:p>
      <w:pPr>
        <w:pStyle w:val="Heading3"/>
        <w:keepNext/>
        <w:keepLines/>
        <w:spacing w:before="240" w:after="120" w:line="269" w:lineRule="auto"/>
      </w:pPr>
      <w:r>
        <w:rPr>
          <w:color w:val="000000"/>
        </w:rPr>
        <w:t>MANUAL AST / MALDI-TOF COMPARISON</w:t>
      </w:r>
    </w:p>
    <w:p>
      <w:pPr>
        <w:pStyle w:val="Normal"/>
        <w:keepNext/>
        <w:spacing w:before="0" w:after="50" w:line="250" w:lineRule="auto"/>
        <w:rPr/>
      </w:pPr>
      <w:r>
        <w:rPr>
          <w:rFonts w:ascii="Calibri" w:hAnsi="Calibri"/>
          <w:color w:val="000000"/>
          <w:sz w:val="20"/>
        </w:rPr>
        <w:t>Safe claim:</w:t>
      </w:r>
    </w:p>
    <w:p>
      <w:pPr>
        <w:pStyle w:val="Normal"/>
        <w:spacing w:before="0" w:after="50" w:line="250" w:lineRule="auto"/>
        <w:rPr/>
      </w:pPr>
      <w:r>
        <w:rPr>
          <w:rFonts w:ascii="Calibri" w:hAnsi="Calibri"/>
          <w:color w:val="000000"/>
          <w:sz w:val="20"/>
        </w:rPr>
        <w:t>Manual disk-diffusion workflows require incubation and human interpretation; automation may improve standardization, traceability and workflow efficiency.</w:t>
      </w:r>
    </w:p>
    <w:p>
      <w:pPr>
        <w:pStyle w:val="Normal"/>
        <w:keepNext/>
        <w:spacing w:before="0" w:after="50" w:line="250" w:lineRule="auto"/>
        <w:rPr/>
      </w:pPr>
      <w:r>
        <w:rPr>
          <w:rFonts w:ascii="Calibri" w:hAnsi="Calibri"/>
          <w:color w:val="000000"/>
          <w:sz w:val="20"/>
        </w:rPr>
        <w:t>Historical comparison:</w:t>
      </w:r>
    </w:p>
    <w:p>
      <w:pPr>
        <w:pStyle w:val="Normal"/>
        <w:spacing w:before="0" w:after="50" w:line="250" w:lineRule="auto"/>
        <w:rPr/>
      </w:pPr>
      <w:r>
        <w:rPr>
          <w:rFonts w:ascii="Calibri" w:hAnsi="Calibri"/>
          <w:color w:val="000000"/>
          <w:sz w:val="20"/>
        </w:rPr>
        <w:t>MALDI-TOF is presented as the expensive fast alternative to Kirby-Bauer AST.</w:t>
      </w:r>
    </w:p>
    <w:p>
      <w:pPr>
        <w:pStyle w:val="Normal"/>
        <w:spacing w:before="0" w:after="50" w:line="250" w:lineRule="auto"/>
        <w:rPr/>
      </w:pPr>
      <w:r>
        <w:rPr>
          <w:rFonts w:ascii="Calibri" w:hAnsi="Calibri"/>
          <w:color w:val="000000"/>
          <w:sz w:val="20"/>
        </w:rPr>
        <w:t>Status: MISLEADING IF USED AS A DIRECT AST SUBSTITUTE COMPARISON.</w:t>
      </w:r>
    </w:p>
    <w:p>
      <w:pPr>
        <w:pStyle w:val="Normal"/>
        <w:keepNext/>
        <w:spacing w:before="0" w:after="50" w:line="250" w:lineRule="auto"/>
        <w:rPr/>
      </w:pPr>
      <w:r>
        <w:rPr>
          <w:rFonts w:ascii="Calibri" w:hAnsi="Calibri"/>
          <w:color w:val="000000"/>
          <w:sz w:val="20"/>
        </w:rPr>
        <w:t>Rule:</w:t>
      </w:r>
    </w:p>
    <w:p>
      <w:pPr>
        <w:pStyle w:val="Normal"/>
        <w:spacing w:before="0" w:after="50" w:line="250" w:lineRule="auto"/>
        <w:rPr/>
      </w:pPr>
      <w:r>
        <w:rPr>
          <w:rFonts w:ascii="Calibri" w:hAnsi="Calibri"/>
          <w:color w:val="000000"/>
          <w:sz w:val="20"/>
        </w:rPr>
        <w:t>MALDI-TOF is primarily an identification platform. Compare AMR-Eye AST functions with relevant AST workflows/platforms, and discuss microbial identification separately.</w:t>
      </w:r>
    </w:p>
    <w:p>
      <w:pPr>
        <w:pStyle w:val="Heading3"/>
        <w:keepNext/>
        <w:keepLines/>
        <w:spacing w:before="240" w:after="120" w:line="269" w:lineRule="auto"/>
      </w:pPr>
      <w:r>
        <w:rPr>
          <w:color w:val="000000"/>
        </w:rPr>
        <w:t>TELECENTRIC METROLOGY</w:t>
      </w:r>
    </w:p>
    <w:p>
      <w:pPr>
        <w:pStyle w:val="Normal"/>
        <w:keepNext/>
        <w:spacing w:before="0" w:after="50" w:line="250" w:lineRule="auto"/>
        <w:rPr/>
      </w:pPr>
      <w:r>
        <w:rPr>
          <w:rFonts w:ascii="Calibri" w:hAnsi="Calibri"/>
          <w:color w:val="000000"/>
          <w:sz w:val="20"/>
        </w:rPr>
        <w:t>Historical claims:</w:t>
      </w:r>
    </w:p>
    <w:p>
      <w:pPr>
        <w:pStyle w:val="Normal"/>
        <w:spacing w:before="0" w:after="50" w:line="250" w:lineRule="auto"/>
        <w:rPr/>
      </w:pPr>
      <w:r>
        <w:rPr>
          <w:rFonts w:ascii="Calibri" w:hAnsi="Calibri"/>
          <w:color w:val="000000"/>
          <w:sz w:val="20"/>
        </w:rPr>
        <w:t>• “</w:t>
      </w:r>
      <w:r>
        <w:rPr>
          <w:rFonts w:ascii="Calibri" w:hAnsi="Calibri"/>
          <w:color w:val="000000"/>
          <w:sz w:val="20"/>
        </w:rPr>
        <w:t>&lt;1 micron accuracy”</w:t>
      </w:r>
    </w:p>
    <w:p>
      <w:pPr>
        <w:pStyle w:val="Normal"/>
        <w:spacing w:before="0" w:after="50" w:line="250" w:lineRule="auto"/>
        <w:rPr/>
      </w:pPr>
      <w:r>
        <w:rPr>
          <w:rFonts w:ascii="Calibri" w:hAnsi="Calibri"/>
          <w:color w:val="000000"/>
          <w:sz w:val="20"/>
        </w:rPr>
        <w:t>• “</w:t>
      </w:r>
      <w:r>
        <w:rPr>
          <w:rFonts w:ascii="Calibri" w:hAnsi="Calibri"/>
          <w:color w:val="000000"/>
          <w:sz w:val="20"/>
        </w:rPr>
        <w:t>a 10 mm zone measures exactly 10 mm anywhere on the plate”</w:t>
      </w:r>
    </w:p>
    <w:p>
      <w:pPr>
        <w:pStyle w:val="Normal"/>
        <w:spacing w:before="0" w:after="50" w:line="250" w:lineRule="auto"/>
        <w:rPr/>
      </w:pPr>
      <w:r>
        <w:rPr>
          <w:rFonts w:ascii="Calibri" w:hAnsi="Calibri"/>
          <w:color w:val="000000"/>
          <w:sz w:val="20"/>
        </w:rPr>
        <w:t>• “</w:t>
      </w:r>
      <w:r>
        <w:rPr>
          <w:rFonts w:ascii="Calibri" w:hAnsi="Calibri"/>
          <w:color w:val="000000"/>
          <w:sz w:val="20"/>
        </w:rPr>
        <w:t>legally defensible” because of telecentric optics</w:t>
      </w:r>
    </w:p>
    <w:p>
      <w:pPr>
        <w:pStyle w:val="Normal"/>
        <w:spacing w:before="0" w:after="50" w:line="250" w:lineRule="auto"/>
        <w:rPr/>
      </w:pPr>
      <w:r>
        <w:rPr>
          <w:rFonts w:ascii="Calibri" w:hAnsi="Calibri"/>
          <w:color w:val="000000"/>
          <w:sz w:val="20"/>
        </w:rPr>
        <w:t>Status: RESEARCH TARGET / OVERSTATED.</w:t>
      </w:r>
    </w:p>
    <w:p>
      <w:pPr>
        <w:pStyle w:val="Normal"/>
        <w:keepNext/>
        <w:spacing w:before="0" w:after="50" w:line="250" w:lineRule="auto"/>
        <w:rPr/>
      </w:pPr>
      <w:r>
        <w:rPr>
          <w:rFonts w:ascii="Calibri" w:hAnsi="Calibri"/>
          <w:color w:val="000000"/>
          <w:sz w:val="20"/>
        </w:rPr>
        <w:t>Safe current claim:</w:t>
      </w:r>
    </w:p>
    <w:p>
      <w:pPr>
        <w:pStyle w:val="Normal"/>
        <w:spacing w:before="0" w:after="50" w:line="250" w:lineRule="auto"/>
        <w:rPr/>
      </w:pPr>
      <w:r>
        <w:rPr>
          <w:rFonts w:ascii="Calibri" w:hAnsi="Calibri"/>
          <w:color w:val="000000"/>
          <w:sz w:val="20"/>
        </w:rPr>
        <w:t>Telecentric optics are proposed to reduce perspective/magnification variation and improve calibrated measurement consistency.</w:t>
      </w:r>
    </w:p>
    <w:p>
      <w:pPr>
        <w:pStyle w:val="Normal"/>
        <w:keepNext/>
        <w:spacing w:before="0" w:after="50" w:line="250" w:lineRule="auto"/>
        <w:rPr/>
      </w:pPr>
      <w:r>
        <w:rPr>
          <w:rFonts w:ascii="Calibri" w:hAnsi="Calibri"/>
          <w:color w:val="000000"/>
          <w:sz w:val="20"/>
        </w:rPr>
        <w:t>Evidence needed:</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calibrated dimensional target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field-position error map</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repeatability/reproducibility</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lens/camera working distance and depth-of-field characterization</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pixel-to-mm calibration uncertainty</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comparison against manual/reference measurement</w:t>
      </w:r>
    </w:p>
    <w:p>
      <w:pPr>
        <w:pStyle w:val="Heading3"/>
        <w:keepNext/>
        <w:keepLines/>
        <w:spacing w:before="240" w:after="120" w:line="269" w:lineRule="auto"/>
      </w:pPr>
      <w:r>
        <w:rPr>
          <w:color w:val="000000"/>
        </w:rPr>
        <w:t>FOG VISION / 940 NM NIR</w:t>
      </w:r>
    </w:p>
    <w:p>
      <w:pPr>
        <w:pStyle w:val="Normal"/>
        <w:spacing w:before="0" w:after="50" w:line="250" w:lineRule="auto"/>
        <w:rPr/>
      </w:pPr>
      <w:r>
        <w:rPr>
          <w:rFonts w:ascii="Calibri" w:hAnsi="Calibri"/>
          <w:color w:val="000000"/>
          <w:sz w:val="20"/>
        </w:rPr>
        <w:t>Historical claim: 940 nm illumination makes condensation/fog transparent and guarantees uninterrupted imaging.</w:t>
      </w:r>
    </w:p>
    <w:p>
      <w:pPr>
        <w:pStyle w:val="Normal"/>
        <w:spacing w:before="0" w:after="50" w:line="250" w:lineRule="auto"/>
        <w:rPr/>
      </w:pPr>
      <w:r>
        <w:rPr>
          <w:rFonts w:ascii="Calibri" w:hAnsi="Calibri"/>
          <w:color w:val="000000"/>
          <w:sz w:val="20"/>
        </w:rPr>
        <w:t>Status: FUTURE R&amp;D / OVERSTATED.</w:t>
      </w:r>
    </w:p>
    <w:p>
      <w:pPr>
        <w:pStyle w:val="Normal"/>
        <w:keepNext/>
        <w:spacing w:before="0" w:after="50" w:line="250" w:lineRule="auto"/>
        <w:rPr/>
      </w:pPr>
      <w:r>
        <w:rPr>
          <w:rFonts w:ascii="Calibri" w:hAnsi="Calibri"/>
          <w:color w:val="000000"/>
          <w:sz w:val="20"/>
        </w:rPr>
        <w:t>Safe current claim:</w:t>
      </w:r>
    </w:p>
    <w:p>
      <w:pPr>
        <w:pStyle w:val="Normal"/>
        <w:spacing w:before="0" w:after="50" w:line="250" w:lineRule="auto"/>
        <w:rPr/>
      </w:pPr>
      <w:r>
        <w:rPr>
          <w:rFonts w:ascii="Calibri" w:hAnsi="Calibri"/>
          <w:color w:val="000000"/>
          <w:sz w:val="20"/>
        </w:rPr>
        <w:t>940 nm NIR is an experimental imaging mode that may alter contrast/scattering under some condensation conditions. Performance must be benchmarked across lid materials, droplet sizes, plate geometries, organisms and visible-light controls.</w:t>
      </w:r>
    </w:p>
    <w:p>
      <w:pPr>
        <w:pStyle w:val="Heading3"/>
        <w:keepNext/>
        <w:keepLines/>
        <w:spacing w:before="240" w:after="120" w:line="269" w:lineRule="auto"/>
      </w:pPr>
      <w:r>
        <w:rPr>
          <w:color w:val="000000"/>
        </w:rPr>
        <w:t>VOC / “AI NOSE”</w:t>
      </w:r>
    </w:p>
    <w:p>
      <w:pPr>
        <w:pStyle w:val="Normal"/>
        <w:spacing w:before="0" w:after="50" w:line="250" w:lineRule="auto"/>
        <w:rPr/>
      </w:pPr>
      <w:r>
        <w:rPr>
          <w:rFonts w:ascii="Calibri" w:hAnsi="Calibri"/>
          <w:color w:val="000000"/>
          <w:sz w:val="20"/>
        </w:rPr>
        <w:t>Historical claim: BME688 detects E. coli via indole and Proteus via ammonia and confirms species identity.</w:t>
      </w:r>
    </w:p>
    <w:p>
      <w:pPr>
        <w:pStyle w:val="Normal"/>
        <w:spacing w:before="0" w:after="50" w:line="250" w:lineRule="auto"/>
        <w:rPr/>
      </w:pPr>
      <w:r>
        <w:rPr>
          <w:rFonts w:ascii="Calibri" w:hAnsi="Calibri"/>
          <w:color w:val="000000"/>
          <w:sz w:val="20"/>
        </w:rPr>
        <w:t>Status: FUTURE R&amp;D.</w:t>
      </w:r>
    </w:p>
    <w:p>
      <w:pPr>
        <w:pStyle w:val="Normal"/>
        <w:keepNext/>
        <w:spacing w:before="0" w:after="50" w:line="250" w:lineRule="auto"/>
        <w:rPr/>
      </w:pPr>
      <w:r>
        <w:rPr>
          <w:rFonts w:ascii="Calibri" w:hAnsi="Calibri"/>
          <w:color w:val="000000"/>
          <w:sz w:val="20"/>
        </w:rPr>
        <w:t>Safe current claim:</w:t>
      </w:r>
    </w:p>
    <w:p>
      <w:pPr>
        <w:pStyle w:val="Normal"/>
        <w:spacing w:before="0" w:after="50" w:line="250" w:lineRule="auto"/>
        <w:rPr/>
      </w:pPr>
      <w:r>
        <w:rPr>
          <w:rFonts w:ascii="Calibri" w:hAnsi="Calibri"/>
          <w:color w:val="000000"/>
          <w:sz w:val="20"/>
        </w:rPr>
        <w:t>BME688 is an exploratory gas/VOC sensing channel that may contribute headspace-pattern features. Species identification from mixed VOC signatures requires controlled datasets, confounder testing and independent validation.</w:t>
      </w:r>
    </w:p>
    <w:p>
      <w:pPr>
        <w:pStyle w:val="Normal"/>
        <w:spacing w:before="0" w:after="50" w:line="250" w:lineRule="auto"/>
        <w:rPr/>
      </w:pPr>
      <w:r>
        <w:rPr>
          <w:rFonts w:ascii="Calibri" w:hAnsi="Calibri"/>
          <w:color w:val="000000"/>
          <w:sz w:val="20"/>
        </w:rPr>
        <w:t>Do not claim biochemical confirmation of species from this sensor alone.</w:t>
      </w:r>
    </w:p>
    <w:p>
      <w:pPr>
        <w:pStyle w:val="Heading3"/>
        <w:keepNext/>
        <w:keepLines/>
        <w:spacing w:before="240" w:after="120" w:line="269" w:lineRule="auto"/>
      </w:pPr>
      <w:r>
        <w:rPr>
          <w:color w:val="000000"/>
        </w:rPr>
        <w:t>VL53L8CX / “2.5D LIDAR”</w:t>
      </w:r>
    </w:p>
    <w:p>
      <w:pPr>
        <w:pStyle w:val="Normal"/>
        <w:spacing w:before="0" w:after="50" w:line="250" w:lineRule="auto"/>
        <w:rPr/>
      </w:pPr>
      <w:r>
        <w:rPr>
          <w:rFonts w:ascii="Calibri" w:hAnsi="Calibri"/>
          <w:color w:val="000000"/>
          <w:sz w:val="20"/>
        </w:rPr>
        <w:t>Historical claim: 8×8 ToF sensing creates colony-height maps that distinguish species such as E. coli and Klebsiella.</w:t>
      </w:r>
    </w:p>
    <w:p>
      <w:pPr>
        <w:pStyle w:val="Normal"/>
        <w:spacing w:before="0" w:after="50" w:line="250" w:lineRule="auto"/>
        <w:rPr/>
      </w:pPr>
      <w:r>
        <w:rPr>
          <w:rFonts w:ascii="Calibri" w:hAnsi="Calibri"/>
          <w:color w:val="000000"/>
          <w:sz w:val="20"/>
        </w:rPr>
        <w:t>Status: FUTURE R&amp;D / LIKELY RESOLUTION-LIMITED.</w:t>
      </w:r>
    </w:p>
    <w:p>
      <w:pPr>
        <w:pStyle w:val="Normal"/>
        <w:keepNext/>
        <w:spacing w:before="0" w:after="50" w:line="250" w:lineRule="auto"/>
        <w:rPr/>
      </w:pPr>
      <w:r>
        <w:rPr>
          <w:rFonts w:ascii="Calibri" w:hAnsi="Calibri"/>
          <w:color w:val="000000"/>
          <w:sz w:val="20"/>
        </w:rPr>
        <w:t>Safe current claim:</w:t>
      </w:r>
    </w:p>
    <w:p>
      <w:pPr>
        <w:pStyle w:val="Normal"/>
        <w:spacing w:before="0" w:after="50" w:line="250" w:lineRule="auto"/>
        <w:rPr/>
      </w:pPr>
      <w:r>
        <w:rPr>
          <w:rFonts w:ascii="Calibri" w:hAnsi="Calibri"/>
          <w:color w:val="000000"/>
          <w:sz w:val="20"/>
        </w:rPr>
        <w:t>VL53L8CX may be explored for coarse distance/chamber/gesture sensing. Fine colony morphology/topography discrimination is not established.</w:t>
      </w:r>
    </w:p>
    <w:p>
      <w:pPr>
        <w:pStyle w:val="Heading3"/>
        <w:keepNext/>
        <w:keepLines/>
        <w:spacing w:before="240" w:after="120" w:line="269" w:lineRule="auto"/>
      </w:pPr>
      <w:r>
        <w:rPr>
          <w:color w:val="000000"/>
        </w:rPr>
        <w:t>LOAD CELL / BIOMASS</w:t>
      </w:r>
    </w:p>
    <w:p>
      <w:pPr>
        <w:pStyle w:val="Normal"/>
        <w:spacing w:before="0" w:after="50" w:line="250" w:lineRule="auto"/>
        <w:rPr/>
      </w:pPr>
      <w:r>
        <w:rPr>
          <w:rFonts w:ascii="Calibri" w:hAnsi="Calibri"/>
          <w:color w:val="000000"/>
          <w:sz w:val="20"/>
        </w:rPr>
        <w:t>Historical claim: a 1 kg load cell + HX711 measures plate mass with microgram precision and detects bacterial biomass accumulation.</w:t>
      </w:r>
    </w:p>
    <w:p>
      <w:pPr>
        <w:pStyle w:val="Normal"/>
        <w:spacing w:before="0" w:after="50" w:line="250" w:lineRule="auto"/>
        <w:rPr/>
      </w:pPr>
      <w:r>
        <w:rPr>
          <w:rFonts w:ascii="Calibri" w:hAnsi="Calibri"/>
          <w:color w:val="000000"/>
          <w:sz w:val="20"/>
        </w:rPr>
        <w:t>Status: NOT ESTABLISHED.</w:t>
      </w:r>
    </w:p>
    <w:p>
      <w:pPr>
        <w:pStyle w:val="Normal"/>
        <w:keepNext/>
        <w:spacing w:before="0" w:after="50" w:line="250" w:lineRule="auto"/>
        <w:rPr/>
      </w:pPr>
      <w:r>
        <w:rPr>
          <w:rFonts w:ascii="Calibri" w:hAnsi="Calibri"/>
          <w:color w:val="000000"/>
          <w:sz w:val="20"/>
        </w:rPr>
        <w:t>Safe current claim:</w:t>
      </w:r>
    </w:p>
    <w:p>
      <w:pPr>
        <w:pStyle w:val="Normal"/>
        <w:spacing w:before="0" w:after="50" w:line="250" w:lineRule="auto"/>
        <w:rPr/>
      </w:pPr>
      <w:r>
        <w:rPr>
          <w:rFonts w:ascii="Calibri" w:hAnsi="Calibri"/>
          <w:color w:val="000000"/>
          <w:sz w:val="20"/>
        </w:rPr>
        <w:t>A load-cell channel may be explored for gross mass/desiccation monitoring. Early microbial biomass detection requires demonstrated resolution, stability, environmental compensation and signal-to-noise.</w:t>
      </w:r>
    </w:p>
    <w:p>
      <w:pPr>
        <w:pStyle w:val="Heading3"/>
        <w:keepNext/>
        <w:keepLines/>
        <w:spacing w:before="240" w:after="120" w:line="269" w:lineRule="auto"/>
      </w:pPr>
      <w:r>
        <w:rPr>
          <w:color w:val="000000"/>
        </w:rPr>
        <w:t>BIO-VAULT THERMAL / HUMIDITY CONTROL</w:t>
      </w:r>
    </w:p>
    <w:p>
      <w:pPr>
        <w:pStyle w:val="Normal"/>
        <w:keepNext/>
        <w:spacing w:before="0" w:after="50" w:line="250" w:lineRule="auto"/>
        <w:rPr/>
      </w:pPr>
      <w:r>
        <w:rPr>
          <w:rFonts w:ascii="Calibri" w:hAnsi="Calibri"/>
          <w:color w:val="000000"/>
          <w:sz w:val="20"/>
        </w:rPr>
        <w:t>Historical claims: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maintained at 37.00°C ±0.05°C</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90% RH precisely maintained</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direct PT100 contact provides “medical-grade accuracy”</w:t>
      </w:r>
    </w:p>
    <w:p>
      <w:pPr>
        <w:pStyle w:val="Normal"/>
        <w:spacing w:before="0" w:after="50" w:line="250" w:lineRule="auto"/>
        <w:rPr/>
      </w:pPr>
      <w:r>
        <w:rPr>
          <w:rFonts w:ascii="Calibri" w:hAnsi="Calibri"/>
          <w:color w:val="000000"/>
          <w:sz w:val="20"/>
        </w:rPr>
        <w:t>Status: DESIGN TARGET unless measured on a completed chamber.</w:t>
      </w:r>
    </w:p>
    <w:p>
      <w:pPr>
        <w:pStyle w:val="Normal"/>
        <w:keepNext/>
        <w:spacing w:before="0" w:after="50" w:line="250" w:lineRule="auto"/>
        <w:rPr/>
      </w:pPr>
      <w:r>
        <w:rPr>
          <w:rFonts w:ascii="Calibri" w:hAnsi="Calibri"/>
          <w:color w:val="000000"/>
          <w:sz w:val="20"/>
        </w:rPr>
        <w:t>Rule:</w:t>
      </w:r>
    </w:p>
    <w:p>
      <w:pPr>
        <w:pStyle w:val="Normal"/>
        <w:spacing w:before="0" w:after="50" w:line="250" w:lineRule="auto"/>
        <w:rPr/>
      </w:pPr>
      <w:r>
        <w:rPr>
          <w:rFonts w:ascii="Calibri" w:hAnsi="Calibri"/>
          <w:color w:val="000000"/>
          <w:sz w:val="20"/>
        </w:rPr>
        <w:t>Write “target” or “proposed control specification” until chamber mapping demonstrates stability/uniformity over time, positions, loads, door cycles and ambient conditions.</w:t>
      </w:r>
    </w:p>
    <w:p>
      <w:pPr>
        <w:pStyle w:val="Normal"/>
        <w:keepNext/>
        <w:spacing w:before="0" w:after="50" w:line="250" w:lineRule="auto"/>
        <w:rPr/>
      </w:pPr>
      <w:r>
        <w:rPr>
          <w:rFonts w:ascii="Calibri" w:hAnsi="Calibri"/>
          <w:color w:val="000000"/>
          <w:sz w:val="20"/>
        </w:rPr>
        <w:t>Validation needed:</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calibrated reference thermometer</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spatial chamber mapping</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steady-state error</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overshoot/settling</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ambient stress testing</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humidity calibration and condensation effects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electrical/safety assessment</w:t>
      </w:r>
    </w:p>
    <w:p>
      <w:pPr>
        <w:pStyle w:val="Heading3"/>
        <w:keepNext/>
        <w:keepLines/>
        <w:spacing w:before="240" w:after="120" w:line="269" w:lineRule="auto"/>
      </w:pPr>
      <w:r>
        <w:rPr>
          <w:color w:val="000000"/>
        </w:rPr>
        <w:t>COMPUTE STACK</w:t>
      </w:r>
    </w:p>
    <w:p>
      <w:pPr>
        <w:pStyle w:val="Normal"/>
        <w:spacing w:before="0" w:after="50" w:line="250" w:lineRule="auto"/>
        <w:rPr/>
      </w:pPr>
      <w:r>
        <w:rPr>
          <w:rFonts w:ascii="Calibri" w:hAnsi="Calibri"/>
          <w:color w:val="000000"/>
          <w:sz w:val="20"/>
        </w:rPr>
        <w:t>Jetson Orin NX, Raspberry Pi 5, STM32/FreeRTOS, NVMe and AWS/cloud components are architecture choices, not proof of final integrated operation.</w:t>
      </w:r>
    </w:p>
    <w:p>
      <w:pPr>
        <w:pStyle w:val="Normal"/>
        <w:spacing w:before="0" w:after="50" w:line="250" w:lineRule="auto"/>
        <w:rPr/>
      </w:pPr>
      <w:r>
        <w:rPr>
          <w:rFonts w:ascii="Calibri" w:hAnsi="Calibri"/>
          <w:color w:val="000000"/>
          <w:sz w:val="20"/>
        </w:rPr>
        <w:t>Status: PROPOSED unless demonstrated in the physical prototype.</w:t>
      </w:r>
    </w:p>
    <w:p>
      <w:pPr>
        <w:pStyle w:val="Normal"/>
        <w:spacing w:before="0" w:after="50" w:line="250" w:lineRule="auto"/>
        <w:rPr/>
      </w:pPr>
      <w:r>
        <w:rPr>
          <w:rFonts w:ascii="Calibri" w:hAnsi="Calibri"/>
          <w:color w:val="000000"/>
          <w:sz w:val="20"/>
        </w:rPr>
        <w:t>Any TOPS figure must match the exact module/power mode/current manufacturer specification used in the BOM.</w:t>
      </w:r>
    </w:p>
    <w:p>
      <w:pPr>
        <w:pStyle w:val="Normal"/>
        <w:spacing w:before="0" w:after="50" w:line="250" w:lineRule="auto"/>
        <w:rPr/>
      </w:pPr>
      <w:r>
        <w:rPr>
          <w:rFonts w:ascii="Calibri" w:hAnsi="Calibri"/>
          <w:color w:val="000000"/>
          <w:sz w:val="20"/>
        </w:rPr>
        <w:t>Do not imply cloud/RAG/MoE components are clinically validated decision engines merely because they are architecturally planned.</w:t>
      </w:r>
    </w:p>
    <w:p>
      <w:pPr>
        <w:pStyle w:val="Heading3"/>
        <w:keepNext/>
        <w:keepLines/>
        <w:spacing w:before="240" w:after="120" w:line="269" w:lineRule="auto"/>
      </w:pPr>
      <w:r>
        <w:rPr>
          <w:color w:val="000000"/>
        </w:rPr>
        <w:t>PHENO-TO-GENO</w:t>
      </w:r>
    </w:p>
    <w:p>
      <w:pPr>
        <w:pStyle w:val="Normal"/>
        <w:spacing w:before="0" w:after="50" w:line="250" w:lineRule="auto"/>
        <w:rPr/>
      </w:pPr>
      <w:r>
        <w:rPr>
          <w:rFonts w:ascii="Calibri" w:hAnsi="Calibri"/>
          <w:color w:val="000000"/>
          <w:sz w:val="20"/>
        </w:rPr>
        <w:t>Historical claim: AMR-Eye predicts resistance genes such as mecA/vanA from phenotype and lets clinicians treat the “gene” without PCR.</w:t>
      </w:r>
    </w:p>
    <w:p>
      <w:pPr>
        <w:pStyle w:val="Normal"/>
        <w:spacing w:before="0" w:after="50" w:line="250" w:lineRule="auto"/>
        <w:rPr/>
      </w:pPr>
      <w:r>
        <w:rPr>
          <w:rFonts w:ascii="Calibri" w:hAnsi="Calibri"/>
          <w:color w:val="000000"/>
          <w:sz w:val="20"/>
        </w:rPr>
        <w:t>Status: FUTURE R&amp;D ;  NOT A CURRENT CAPABILITY.</w:t>
      </w:r>
    </w:p>
    <w:p>
      <w:pPr>
        <w:pStyle w:val="Normal"/>
        <w:keepNext/>
        <w:spacing w:before="0" w:after="50" w:line="250" w:lineRule="auto"/>
        <w:rPr/>
      </w:pPr>
      <w:r>
        <w:rPr>
          <w:rFonts w:ascii="Calibri" w:hAnsi="Calibri"/>
          <w:color w:val="000000"/>
          <w:sz w:val="20"/>
        </w:rPr>
        <w:t>Evidence required before any strong claim:</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paired genotype/phenotype dataset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independent external validation</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organism-specific and resistance-mechanism-specific analysis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calibration / discrimination metrics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confounder and prevalence analysis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comparison with molecular reference methods</w:t>
      </w:r>
    </w:p>
    <w:p>
      <w:pPr>
        <w:pStyle w:val="Heading3"/>
        <w:keepNext/>
        <w:keepLines/>
        <w:spacing w:before="240" w:after="120" w:line="269" w:lineRule="auto"/>
      </w:pPr>
      <w:r>
        <w:rPr>
          <w:color w:val="000000"/>
        </w:rPr>
        <w:t>MIC PREDICTION</w:t>
      </w:r>
    </w:p>
    <w:p>
      <w:pPr>
        <w:pStyle w:val="Normal"/>
        <w:spacing w:before="0" w:after="50" w:line="250" w:lineRule="auto"/>
        <w:rPr/>
      </w:pPr>
      <w:r>
        <w:rPr>
          <w:rFonts w:ascii="Calibri" w:hAnsi="Calibri"/>
          <w:color w:val="000000"/>
          <w:sz w:val="20"/>
        </w:rPr>
        <w:t>Historical claim: regression from ordinary disk-zone diameter predicts exact MIC and replaces E-test strips, saving ₹300-500/test.</w:t>
      </w:r>
    </w:p>
    <w:p>
      <w:pPr>
        <w:pStyle w:val="Normal"/>
        <w:spacing w:before="0" w:after="50" w:line="250" w:lineRule="auto"/>
        <w:rPr/>
      </w:pPr>
      <w:r>
        <w:rPr>
          <w:rFonts w:ascii="Calibri" w:hAnsi="Calibri"/>
          <w:color w:val="000000"/>
          <w:sz w:val="20"/>
        </w:rPr>
        <w:t>Status: FUTURE R&amp;D / NOT VALIDATED.</w:t>
      </w:r>
    </w:p>
    <w:p>
      <w:pPr>
        <w:pStyle w:val="Normal"/>
        <w:keepNext/>
        <w:spacing w:before="0" w:after="50" w:line="250" w:lineRule="auto"/>
        <w:rPr/>
      </w:pPr>
      <w:r>
        <w:rPr>
          <w:rFonts w:ascii="Calibri" w:hAnsi="Calibri"/>
          <w:color w:val="000000"/>
          <w:sz w:val="20"/>
        </w:rPr>
        <w:t>Rule:</w:t>
      </w:r>
    </w:p>
    <w:p>
      <w:pPr>
        <w:pStyle w:val="Normal"/>
        <w:spacing w:before="0" w:after="50" w:line="250" w:lineRule="auto"/>
        <w:rPr/>
      </w:pPr>
      <w:r>
        <w:rPr>
          <w:rFonts w:ascii="Calibri" w:hAnsi="Calibri"/>
          <w:color w:val="000000"/>
          <w:sz w:val="20"/>
        </w:rPr>
        <w:t>Disk diffusion and MIC are related but not generically interchangeable at arbitrary precision. Any quantitative MIC model must be organism/antibiotic/method-specific and validated against a reference MIC method. Do not state per-test savings without current local procurement/cost evidence.</w:t>
      </w:r>
    </w:p>
    <w:p>
      <w:pPr>
        <w:pStyle w:val="Heading3"/>
        <w:keepNext/>
        <w:keepLines/>
        <w:spacing w:before="240" w:after="120" w:line="269" w:lineRule="auto"/>
      </w:pPr>
      <w:r>
        <w:rPr>
          <w:color w:val="000000"/>
        </w:rPr>
        <w:t>HETERORESISTANCE / SATELLITE COLONIES</w:t>
      </w:r>
    </w:p>
    <w:p>
      <w:pPr>
        <w:pStyle w:val="Normal"/>
        <w:spacing w:before="0" w:after="50" w:line="250" w:lineRule="auto"/>
        <w:rPr/>
      </w:pPr>
      <w:r>
        <w:rPr>
          <w:rFonts w:ascii="Calibri" w:hAnsi="Calibri"/>
          <w:color w:val="000000"/>
          <w:sz w:val="20"/>
        </w:rPr>
        <w:t>Historical claim: visual detection of haze/satellite colonies allows AMR-Eye to flag an isolate as resistant and prevent therapeutic failure.</w:t>
      </w:r>
    </w:p>
    <w:p>
      <w:pPr>
        <w:pStyle w:val="Normal"/>
        <w:spacing w:before="0" w:after="50" w:line="250" w:lineRule="auto"/>
        <w:rPr/>
      </w:pPr>
      <w:r>
        <w:rPr>
          <w:rFonts w:ascii="Calibri" w:hAnsi="Calibri"/>
          <w:color w:val="000000"/>
          <w:sz w:val="20"/>
        </w:rPr>
        <w:t>Status: FUTURE / EXPERIMENTAL SCREENING.</w:t>
      </w:r>
    </w:p>
    <w:p>
      <w:pPr>
        <w:pStyle w:val="Normal"/>
        <w:keepNext/>
        <w:spacing w:before="0" w:after="50" w:line="250" w:lineRule="auto"/>
        <w:rPr/>
      </w:pPr>
      <w:r>
        <w:rPr>
          <w:rFonts w:ascii="Calibri" w:hAnsi="Calibri"/>
          <w:color w:val="000000"/>
          <w:sz w:val="20"/>
        </w:rPr>
        <w:t>Safe current claim:</w:t>
      </w:r>
    </w:p>
    <w:p>
      <w:pPr>
        <w:pStyle w:val="Normal"/>
        <w:spacing w:before="0" w:after="50" w:line="250" w:lineRule="auto"/>
        <w:rPr/>
      </w:pPr>
      <w:r>
        <w:rPr>
          <w:rFonts w:ascii="Calibri" w:hAnsi="Calibri"/>
          <w:color w:val="000000"/>
          <w:sz w:val="20"/>
        </w:rPr>
        <w:t>High-contrast imaging may flag unusual within-zone growth for human review. Final interpretation requires appropriate microbiological confirmation and applicable standards.</w:t>
      </w:r>
    </w:p>
    <w:p>
      <w:pPr>
        <w:pStyle w:val="Heading3"/>
        <w:keepNext/>
        <w:keepLines/>
        <w:spacing w:before="240" w:after="120" w:line="269" w:lineRule="auto"/>
      </w:pPr>
      <w:r>
        <w:rPr>
          <w:color w:val="000000"/>
        </w:rPr>
        <w:t>STANDARDS ENGINE / CLSI / EUCAST</w:t>
      </w:r>
    </w:p>
    <w:p>
      <w:pPr>
        <w:pStyle w:val="Normal"/>
        <w:keepNext/>
        <w:spacing w:before="0" w:after="50" w:line="250" w:lineRule="auto"/>
        <w:rPr/>
      </w:pPr>
      <w:r>
        <w:rPr>
          <w:rFonts w:ascii="Calibri" w:hAnsi="Calibri"/>
          <w:color w:val="000000"/>
          <w:sz w:val="20"/>
        </w:rPr>
        <w:t>Safe claim:</w:t>
      </w:r>
    </w:p>
    <w:p>
      <w:pPr>
        <w:pStyle w:val="Normal"/>
        <w:spacing w:before="0" w:after="50" w:line="250" w:lineRule="auto"/>
        <w:rPr/>
      </w:pPr>
      <w:r>
        <w:rPr>
          <w:rFonts w:ascii="Calibri" w:hAnsi="Calibri"/>
          <w:color w:val="000000"/>
          <w:sz w:val="20"/>
        </w:rPr>
        <w:t>The software can be designed to apply versioned standards logic and preserve an audit trail of which standard/version was used.</w:t>
      </w:r>
    </w:p>
    <w:p>
      <w:pPr>
        <w:pStyle w:val="Normal"/>
        <w:keepNext/>
        <w:spacing w:before="0" w:after="50" w:line="250" w:lineRule="auto"/>
        <w:rPr/>
      </w:pPr>
      <w:r>
        <w:rPr>
          <w:rFonts w:ascii="Calibri" w:hAnsi="Calibri"/>
          <w:color w:val="000000"/>
          <w:sz w:val="20"/>
        </w:rPr>
        <w:t>Rule: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never hard-code one eternal breakpoint table;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record standard, edition/version, organism, antimicrobial, method and any special rules;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verify licensing/distribution requirements before embedding proprietary breakpoint content;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qualified laboratory professionals retain final control in research/prototype workflows.</w:t>
      </w:r>
    </w:p>
    <w:p>
      <w:pPr>
        <w:pStyle w:val="Heading3"/>
        <w:keepNext/>
        <w:keepLines/>
        <w:spacing w:before="240" w:after="120" w:line="269" w:lineRule="auto"/>
      </w:pPr>
      <w:r>
        <w:rPr>
          <w:color w:val="000000"/>
        </w:rPr>
        <w:t>DAIRY / ANTIBIOTIC RESIDUES</w:t>
      </w:r>
    </w:p>
    <w:p>
      <w:pPr>
        <w:pStyle w:val="Normal"/>
        <w:spacing w:before="0" w:after="50" w:line="250" w:lineRule="auto"/>
        <w:rPr/>
      </w:pPr>
      <w:r>
        <w:rPr>
          <w:rFonts w:ascii="Calibri" w:hAnsi="Calibri"/>
          <w:color w:val="000000"/>
          <w:sz w:val="20"/>
        </w:rPr>
        <w:t>Historical claim: the same AMR-Eye hardware can screen raw milk for antibiotic residues and protect fermentation batches.</w:t>
      </w:r>
    </w:p>
    <w:p>
      <w:pPr>
        <w:pStyle w:val="Normal"/>
        <w:spacing w:before="0" w:after="50" w:line="250" w:lineRule="auto"/>
        <w:rPr/>
      </w:pPr>
      <w:r>
        <w:rPr>
          <w:rFonts w:ascii="Calibri" w:hAnsi="Calibri"/>
          <w:color w:val="000000"/>
          <w:sz w:val="20"/>
        </w:rPr>
        <w:t>Status: DISTINCT ASSAY / FUTURE R&amp;D.</w:t>
      </w:r>
    </w:p>
    <w:p>
      <w:pPr>
        <w:pStyle w:val="Normal"/>
        <w:keepNext/>
        <w:spacing w:before="0" w:after="50" w:line="250" w:lineRule="auto"/>
        <w:rPr/>
      </w:pPr>
      <w:r>
        <w:rPr>
          <w:rFonts w:ascii="Calibri" w:hAnsi="Calibri"/>
          <w:color w:val="000000"/>
          <w:sz w:val="20"/>
        </w:rPr>
        <w:t>Rule:</w:t>
      </w:r>
    </w:p>
    <w:p>
      <w:pPr>
        <w:pStyle w:val="Normal"/>
        <w:spacing w:before="0" w:after="50" w:line="250" w:lineRule="auto"/>
        <w:rPr/>
      </w:pPr>
      <w:r>
        <w:rPr>
          <w:rFonts w:ascii="Calibri" w:hAnsi="Calibri"/>
          <w:color w:val="000000"/>
          <w:sz w:val="20"/>
        </w:rPr>
        <w:t>Antibiotic-residue testing is not automatically provided by an AST plate reader. Treat it as a separate assay-development problem requiring dedicated analytical validation.</w:t>
      </w:r>
    </w:p>
    <w:p>
      <w:pPr>
        <w:pStyle w:val="Heading3"/>
        <w:keepNext/>
        <w:keepLines/>
        <w:spacing w:before="240" w:after="120" w:line="269" w:lineRule="auto"/>
      </w:pPr>
      <w:r>
        <w:rPr>
          <w:color w:val="000000"/>
        </w:rPr>
        <w:t>WATER / COLIFORM MONITORING</w:t>
      </w:r>
    </w:p>
    <w:p>
      <w:pPr>
        <w:pStyle w:val="Normal"/>
        <w:spacing w:before="0" w:after="50" w:line="250" w:lineRule="auto"/>
        <w:rPr/>
      </w:pPr>
      <w:r>
        <w:rPr>
          <w:rFonts w:ascii="Calibri" w:hAnsi="Calibri"/>
          <w:color w:val="000000"/>
          <w:sz w:val="20"/>
        </w:rPr>
        <w:t>Historical claim: real-time coliform counting with 6-8 hour contamination detection.</w:t>
      </w:r>
    </w:p>
    <w:p>
      <w:pPr>
        <w:pStyle w:val="Normal"/>
        <w:spacing w:before="0" w:after="50" w:line="250" w:lineRule="auto"/>
        <w:rPr/>
      </w:pPr>
      <w:r>
        <w:rPr>
          <w:rFonts w:ascii="Calibri" w:hAnsi="Calibri"/>
          <w:color w:val="000000"/>
          <w:sz w:val="20"/>
        </w:rPr>
        <w:t>Status: PROPOSED / METHOD-SPECIFIC R&amp;D.</w:t>
      </w:r>
    </w:p>
    <w:p>
      <w:pPr>
        <w:pStyle w:val="Normal"/>
        <w:keepNext/>
        <w:spacing w:before="0" w:after="50" w:line="250" w:lineRule="auto"/>
        <w:rPr/>
      </w:pPr>
      <w:r>
        <w:rPr>
          <w:rFonts w:ascii="Calibri" w:hAnsi="Calibri"/>
          <w:color w:val="000000"/>
          <w:sz w:val="20"/>
        </w:rPr>
        <w:t>Safe current claim:</w:t>
      </w:r>
    </w:p>
    <w:p>
      <w:pPr>
        <w:pStyle w:val="Normal"/>
        <w:spacing w:before="0" w:after="50" w:line="250" w:lineRule="auto"/>
        <w:rPr/>
      </w:pPr>
      <w:r>
        <w:rPr>
          <w:rFonts w:ascii="Calibri" w:hAnsi="Calibri"/>
          <w:color w:val="000000"/>
          <w:sz w:val="20"/>
        </w:rPr>
        <w:t>AMR-Eye imaging/automation concepts may be adapted to cultured indicator-organism enumeration after method-specific validation. Do not call it real-time or claim a 6-8 hour validated endpoint without evidence.</w:t>
      </w:r>
    </w:p>
    <w:p>
      <w:pPr>
        <w:pStyle w:val="Heading3"/>
        <w:keepNext/>
        <w:keepLines/>
        <w:spacing w:before="240" w:after="120" w:line="269" w:lineRule="auto"/>
      </w:pPr>
      <w:r>
        <w:rPr>
          <w:color w:val="000000"/>
        </w:rPr>
        <w:t>PHARMACEUTICAL / COUNTERFEIT DRUGS</w:t>
      </w:r>
    </w:p>
    <w:p>
      <w:pPr>
        <w:pStyle w:val="Normal"/>
        <w:spacing w:before="0" w:after="50" w:line="250" w:lineRule="auto"/>
        <w:rPr/>
      </w:pPr>
      <w:r>
        <w:rPr>
          <w:rFonts w:ascii="Calibri" w:hAnsi="Calibri"/>
          <w:color w:val="000000"/>
          <w:sz w:val="20"/>
        </w:rPr>
        <w:t>Historical claim: AMR-Eye detects fake antibiotic pills/chalk via absence of inhibition.</w:t>
      </w:r>
    </w:p>
    <w:p>
      <w:pPr>
        <w:pStyle w:val="Normal"/>
        <w:spacing w:before="0" w:after="50" w:line="250" w:lineRule="auto"/>
        <w:rPr/>
      </w:pPr>
      <w:r>
        <w:rPr>
          <w:rFonts w:ascii="Calibri" w:hAnsi="Calibri"/>
          <w:color w:val="000000"/>
          <w:sz w:val="20"/>
        </w:rPr>
        <w:t>Status: NOT A VALIDATED ANTI-COUNTERFEIT METHOD.</w:t>
      </w:r>
    </w:p>
    <w:p>
      <w:pPr>
        <w:pStyle w:val="Normal"/>
        <w:keepNext/>
        <w:spacing w:before="0" w:after="50" w:line="250" w:lineRule="auto"/>
        <w:rPr/>
      </w:pPr>
      <w:r>
        <w:rPr>
          <w:rFonts w:ascii="Calibri" w:hAnsi="Calibri"/>
          <w:color w:val="000000"/>
          <w:sz w:val="20"/>
        </w:rPr>
        <w:t>Rule:</w:t>
      </w:r>
    </w:p>
    <w:p>
      <w:pPr>
        <w:pStyle w:val="Normal"/>
        <w:spacing w:before="0" w:after="50" w:line="250" w:lineRule="auto"/>
        <w:rPr/>
      </w:pPr>
      <w:r>
        <w:rPr>
          <w:rFonts w:ascii="Calibri" w:hAnsi="Calibri"/>
          <w:color w:val="000000"/>
          <w:sz w:val="20"/>
        </w:rPr>
        <w:t>Bioassay/potency-oriented research may be explored, but counterfeit-drug identification requires a dedicated validated analytical workflow and cannot be inferred safely from one zone/no-zone result.</w:t>
      </w:r>
    </w:p>
    <w:p>
      <w:pPr>
        <w:pStyle w:val="Heading3"/>
        <w:keepNext/>
        <w:keepLines/>
        <w:spacing w:before="240" w:after="120" w:line="269" w:lineRule="auto"/>
      </w:pPr>
      <w:r>
        <w:rPr>
          <w:color w:val="000000"/>
        </w:rPr>
        <w:t>PEDIATRIC SAFETY</w:t>
      </w:r>
    </w:p>
    <w:p>
      <w:pPr>
        <w:pStyle w:val="Normal"/>
        <w:spacing w:before="0" w:after="50" w:line="250" w:lineRule="auto"/>
        <w:rPr/>
      </w:pPr>
      <w:r>
        <w:rPr>
          <w:rFonts w:ascii="Calibri" w:hAnsi="Calibri"/>
          <w:color w:val="000000"/>
          <w:sz w:val="20"/>
        </w:rPr>
        <w:t>Historical claim: automated pediatric-specific CLSI checks ensure safe prescribing for children.</w:t>
      </w:r>
    </w:p>
    <w:p>
      <w:pPr>
        <w:pStyle w:val="Normal"/>
        <w:spacing w:before="0" w:after="50" w:line="250" w:lineRule="auto"/>
        <w:rPr/>
      </w:pPr>
      <w:r>
        <w:rPr>
          <w:rFonts w:ascii="Calibri" w:hAnsi="Calibri"/>
          <w:color w:val="000000"/>
          <w:sz w:val="20"/>
        </w:rPr>
        <w:t>Status: OVERSTATED.</w:t>
      </w:r>
    </w:p>
    <w:p>
      <w:pPr>
        <w:pStyle w:val="Normal"/>
        <w:keepNext/>
        <w:spacing w:before="0" w:after="50" w:line="250" w:lineRule="auto"/>
        <w:rPr/>
      </w:pPr>
      <w:r>
        <w:rPr>
          <w:rFonts w:ascii="Calibri" w:hAnsi="Calibri"/>
          <w:color w:val="000000"/>
          <w:sz w:val="20"/>
        </w:rPr>
        <w:t>Rule:</w:t>
      </w:r>
    </w:p>
    <w:p>
      <w:pPr>
        <w:pStyle w:val="Normal"/>
        <w:spacing w:before="0" w:after="50" w:line="250" w:lineRule="auto"/>
        <w:rPr/>
      </w:pPr>
      <w:r>
        <w:rPr>
          <w:rFonts w:ascii="Calibri" w:hAnsi="Calibri"/>
          <w:color w:val="000000"/>
          <w:sz w:val="20"/>
        </w:rPr>
        <w:t>AST interpretation does not independently ensure safe pediatric prescribing. Clinical treatment depends on patient factors, infection site, PK/PD, dosing guidance and clinical judgment. AMR-Eye may support laboratory interpretation only after validation.</w:t>
      </w:r>
    </w:p>
    <w:p>
      <w:pPr>
        <w:pStyle w:val="Heading3"/>
        <w:keepNext/>
        <w:keepLines/>
        <w:spacing w:before="240" w:after="120" w:line="269" w:lineRule="auto"/>
      </w:pPr>
      <w:r>
        <w:rPr>
          <w:color w:val="000000"/>
        </w:rPr>
        <w:t>NATIONAL RESISTANCE HEATMAP / ONE HEALTH</w:t>
      </w:r>
    </w:p>
    <w:p>
      <w:pPr>
        <w:pStyle w:val="Normal"/>
        <w:keepNext/>
        <w:spacing w:before="0" w:after="50" w:line="250" w:lineRule="auto"/>
        <w:rPr/>
      </w:pPr>
      <w:r>
        <w:rPr>
          <w:rFonts w:ascii="Calibri" w:hAnsi="Calibri"/>
          <w:color w:val="000000"/>
          <w:sz w:val="20"/>
        </w:rPr>
        <w:t>Safe current claim:</w:t>
      </w:r>
    </w:p>
    <w:p>
      <w:pPr>
        <w:pStyle w:val="Normal"/>
        <w:spacing w:before="0" w:after="50" w:line="250" w:lineRule="auto"/>
        <w:rPr/>
      </w:pPr>
      <w:r>
        <w:rPr>
          <w:rFonts w:ascii="Calibri" w:hAnsi="Calibri"/>
          <w:color w:val="000000"/>
          <w:sz w:val="20"/>
        </w:rPr>
        <w:t>Structured AST records could support surveillance interoperability in the future, subject to governance, data quality, privacy, standards and institutional approvals.</w:t>
      </w:r>
    </w:p>
    <w:p>
      <w:pPr>
        <w:pStyle w:val="Normal"/>
        <w:keepNext/>
        <w:spacing w:before="0" w:after="50" w:line="250" w:lineRule="auto"/>
        <w:rPr/>
      </w:pPr>
      <w:r>
        <w:rPr>
          <w:rFonts w:ascii="Calibri" w:hAnsi="Calibri"/>
          <w:color w:val="000000"/>
          <w:sz w:val="20"/>
        </w:rPr>
        <w:t>Historical claim:</w:t>
      </w:r>
    </w:p>
    <w:p>
      <w:pPr>
        <w:pStyle w:val="Normal"/>
        <w:spacing w:before="0" w:after="50" w:line="250" w:lineRule="auto"/>
        <w:rPr/>
      </w:pPr>
      <w:r>
        <w:rPr>
          <w:rFonts w:ascii="Calibri" w:hAnsi="Calibri"/>
          <w:color w:val="000000"/>
          <w:sz w:val="20"/>
        </w:rPr>
        <w:t>Every AMR-Eye unit directly feeds a national real-time resistance grid mandated by NAP-AMR.</w:t>
      </w:r>
    </w:p>
    <w:p>
      <w:pPr>
        <w:pStyle w:val="Normal"/>
        <w:spacing w:before="0" w:after="50" w:line="250" w:lineRule="auto"/>
        <w:rPr/>
      </w:pPr>
      <w:r>
        <w:rPr>
          <w:rFonts w:ascii="Calibri" w:hAnsi="Calibri"/>
          <w:color w:val="000000"/>
          <w:sz w:val="20"/>
        </w:rPr>
        <w:t>Status: PROPOSED / NOT AN EXISTING INTEGRATION.</w:t>
      </w:r>
    </w:p>
    <w:p>
      <w:pPr>
        <w:pStyle w:val="Normal"/>
        <w:spacing w:before="0" w:after="50" w:line="250" w:lineRule="auto"/>
        <w:rPr/>
      </w:pPr>
      <w:r>
        <w:rPr>
          <w:rFonts w:ascii="Calibri" w:hAnsi="Calibri"/>
          <w:color w:val="000000"/>
          <w:sz w:val="20"/>
        </w:rPr>
        <w:t>Verify the current NAP-AMR edition/date and any surveillance-program integration requirements before external submission.</w:t>
      </w:r>
    </w:p>
    <w:p>
      <w:pPr>
        <w:pStyle w:val="Heading3"/>
        <w:keepNext/>
        <w:keepLines/>
        <w:spacing w:before="240" w:after="120" w:line="269" w:lineRule="auto"/>
      </w:pPr>
      <w:r>
        <w:rPr>
          <w:color w:val="000000"/>
        </w:rPr>
        <w:t>BOM / COMMERCIAL PRICE</w:t>
      </w:r>
    </w:p>
    <w:p>
      <w:pPr>
        <w:pStyle w:val="Normal"/>
        <w:spacing w:before="0" w:after="50" w:line="250" w:lineRule="auto"/>
        <w:rPr/>
      </w:pPr>
      <w:r>
        <w:rPr>
          <w:rFonts w:ascii="Calibri" w:hAnsi="Calibri"/>
          <w:color w:val="000000"/>
          <w:sz w:val="20"/>
        </w:rPr>
        <w:t>Historical planning target: approximately ₹3.5 lakh / under US$5,000.</w:t>
      </w:r>
    </w:p>
    <w:p>
      <w:pPr>
        <w:pStyle w:val="Normal"/>
        <w:spacing w:before="0" w:after="50" w:line="250" w:lineRule="auto"/>
        <w:rPr/>
      </w:pPr>
      <w:r>
        <w:rPr>
          <w:rFonts w:ascii="Calibri" w:hAnsi="Calibri"/>
          <w:color w:val="000000"/>
          <w:sz w:val="20"/>
        </w:rPr>
        <w:t>Status: TARGET BOM / NOT VALIDATED PRODUCTION SELLING PRICE.</w:t>
      </w:r>
    </w:p>
    <w:p>
      <w:pPr>
        <w:pStyle w:val="Normal"/>
        <w:keepNext/>
        <w:spacing w:before="0" w:after="50" w:line="250" w:lineRule="auto"/>
        <w:rPr/>
      </w:pPr>
      <w:r>
        <w:rPr>
          <w:rFonts w:ascii="Calibri" w:hAnsi="Calibri"/>
          <w:color w:val="000000"/>
          <w:sz w:val="20"/>
        </w:rPr>
        <w:t>Before external commercial use, refresh:</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exact component part numbers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taxes/GST/import duties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optics/fabrication</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calibration/QC</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enclosure/mechanical work</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certification/regulatory costs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software/cloud/support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warranty/service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contingency and margin</w:t>
      </w:r>
    </w:p>
    <w:p>
      <w:pPr>
        <w:pStyle w:val="Heading3"/>
        <w:keepNext/>
        <w:keepLines/>
        <w:spacing w:before="240" w:after="120" w:line="269" w:lineRule="auto"/>
      </w:pPr>
      <w:r>
        <w:rPr>
          <w:color w:val="000000"/>
        </w:rPr>
        <w:t>REGULATORY STATUS</w:t>
      </w:r>
    </w:p>
    <w:p>
      <w:pPr>
        <w:pStyle w:val="Normal"/>
        <w:keepNext/>
        <w:spacing w:before="0" w:after="50" w:line="250" w:lineRule="auto"/>
        <w:rPr/>
      </w:pPr>
      <w:r>
        <w:rPr>
          <w:rFonts w:ascii="Calibri" w:hAnsi="Calibri"/>
          <w:color w:val="000000"/>
          <w:sz w:val="20"/>
        </w:rPr>
        <w:t>Historical wording includes:</w:t>
      </w:r>
    </w:p>
    <w:p>
      <w:pPr>
        <w:pStyle w:val="Normal"/>
        <w:spacing w:before="0" w:after="50" w:line="250" w:lineRule="auto"/>
        <w:rPr/>
      </w:pPr>
      <w:r>
        <w:rPr>
          <w:rFonts w:ascii="Calibri" w:hAnsi="Calibri"/>
          <w:color w:val="000000"/>
          <w:sz w:val="20"/>
        </w:rPr>
        <w:t>• “</w:t>
      </w:r>
      <w:r>
        <w:rPr>
          <w:rFonts w:ascii="Calibri" w:hAnsi="Calibri"/>
          <w:color w:val="000000"/>
          <w:sz w:val="20"/>
        </w:rPr>
        <w:t>21 CFR Part 11 compliant”</w:t>
      </w:r>
    </w:p>
    <w:p>
      <w:pPr>
        <w:pStyle w:val="Normal"/>
        <w:spacing w:before="0" w:after="50" w:line="250" w:lineRule="auto"/>
        <w:rPr/>
      </w:pPr>
      <w:r>
        <w:rPr>
          <w:rFonts w:ascii="Calibri" w:hAnsi="Calibri"/>
          <w:color w:val="000000"/>
          <w:sz w:val="20"/>
        </w:rPr>
        <w:t>• “</w:t>
      </w:r>
      <w:r>
        <w:rPr>
          <w:rFonts w:ascii="Calibri" w:hAnsi="Calibri"/>
          <w:color w:val="000000"/>
          <w:sz w:val="20"/>
        </w:rPr>
        <w:t>Designed for CDSCO Class B (IVD) registration”</w:t>
      </w:r>
    </w:p>
    <w:p>
      <w:pPr>
        <w:pStyle w:val="Normal"/>
        <w:spacing w:before="0" w:after="50" w:line="250" w:lineRule="auto"/>
        <w:rPr/>
      </w:pPr>
      <w:r>
        <w:rPr>
          <w:rFonts w:ascii="Calibri" w:hAnsi="Calibri"/>
          <w:color w:val="000000"/>
          <w:sz w:val="20"/>
        </w:rPr>
        <w:t>• “</w:t>
      </w:r>
      <w:r>
        <w:rPr>
          <w:rFonts w:ascii="Calibri" w:hAnsi="Calibri"/>
          <w:color w:val="000000"/>
          <w:sz w:val="20"/>
        </w:rPr>
        <w:t>IEC 60601-1 electrical safety” as though achieved</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Q4 regulatory submission/commercial launch within a fixed 12-month roadmap</w:t>
      </w:r>
    </w:p>
    <w:p>
      <w:pPr>
        <w:pStyle w:val="Normal"/>
        <w:spacing w:before="0" w:after="50" w:line="250" w:lineRule="auto"/>
        <w:rPr/>
      </w:pPr>
      <w:r>
        <w:rPr>
          <w:rFonts w:ascii="Calibri" w:hAnsi="Calibri"/>
          <w:color w:val="000000"/>
          <w:sz w:val="20"/>
        </w:rPr>
        <w:t>Status: NOT ACHIEVED BY DOCUMENTATION ALONE.</w:t>
      </w:r>
    </w:p>
    <w:p>
      <w:pPr>
        <w:pStyle w:val="Normal"/>
        <w:keepNext/>
        <w:spacing w:before="0" w:after="50" w:line="250" w:lineRule="auto"/>
        <w:rPr/>
      </w:pPr>
      <w:r>
        <w:rPr>
          <w:rFonts w:ascii="Calibri" w:hAnsi="Calibri"/>
          <w:color w:val="000000"/>
          <w:sz w:val="20"/>
        </w:rPr>
        <w:t>Current rule: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say “designed with future electronic-record/auditability requirements in mind” rather than Part 11 compliant unless validated under the actual regulated system/process;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do not assume the applicable Indian device classification without a formal intended-use/classification review;</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IEC 60601-1 compliance requires applicable design, testing and certification evidence;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regulatory/commercial timelines are planning targets, not commitments.</w:t>
      </w:r>
    </w:p>
    <w:p>
      <w:pPr>
        <w:pStyle w:val="Heading3"/>
        <w:keepNext/>
        <w:keepLines/>
        <w:spacing w:before="240" w:after="120" w:line="269" w:lineRule="auto"/>
      </w:pPr>
      <w:r>
        <w:rPr>
          <w:color w:val="000000"/>
        </w:rPr>
        <w:t>CURRENT DEMO-SAFE CLAIM SET</w:t>
      </w:r>
    </w:p>
    <w:p>
      <w:pPr>
        <w:pStyle w:val="Normal"/>
        <w:keepNext/>
        <w:spacing w:before="0" w:after="50" w:line="250" w:lineRule="auto"/>
        <w:rPr/>
      </w:pPr>
      <w:r>
        <w:rPr>
          <w:rFonts w:ascii="Calibri" w:hAnsi="Calibri"/>
          <w:color w:val="000000"/>
          <w:sz w:val="20"/>
        </w:rPr>
        <w:t>Use these for hackathons/conferences unless newer evidence exists: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AI-assisted AST workflow and zone-measurement prototype concept.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Human-in-the-loop review and auditability are explicit design principles.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Current demo values may be simulated/experimental and are not for clinical decision-making.</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The project proposes in-situ imaging and automated measurement to improve standardization and traceability.</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Telecentric optics, NIR imaging, VOC sensing, ToF sensing, thermal control and multimodal fusion are proposed/experimental modules with different maturity levels.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Pheno-to-geno inference and quantitative MIC prediction are future R&amp;D.</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Cross-sector dairy/water/pharma applications require separate method-specific validation.</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Commercial price, speed and accuracy claims remain targets until supported by measured evidence.</w:t>
      </w:r>
    </w:p>
    <w:p>
      <w:pPr>
        <w:pStyle w:val="Heading3"/>
        <w:keepNext/>
        <w:keepLines/>
        <w:spacing w:before="240" w:after="120" w:line="269" w:lineRule="auto"/>
      </w:pPr>
      <w:r>
        <w:rPr>
          <w:color w:val="000000"/>
        </w:rPr>
        <w:t>EVIDENCE PACKAGE REQUIRED FOR A VALIDATED AST CLAIM</w:t>
      </w:r>
    </w:p>
    <w:p>
      <w:pPr>
        <w:pStyle w:val="Normal"/>
        <w:keepNext/>
        <w:spacing w:before="0" w:after="50" w:line="250" w:lineRule="auto"/>
        <w:rPr/>
      </w:pPr>
      <w:r>
        <w:rPr>
          <w:rFonts w:ascii="Calibri" w:hAnsi="Calibri"/>
          <w:color w:val="000000"/>
          <w:sz w:val="20"/>
        </w:rPr>
        <w:t>Minimum future validation package should capture: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intended use and specimen/workflow scope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organism/antibiotic panel</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reference method and standards version</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dataset size and inclusion/exclusion criteria</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training/validation/test separation</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independent external test set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zone-measurement error and repeatability</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categorical agreement and disagreement analysis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confidence calibration</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failure/abstention rules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human-review workflow</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audit logs/versioning</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device/environment conditions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reproducibility across sites/operators/devices</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limitations and known failure modes</w:t>
      </w:r>
    </w:p>
    <w:p>
      <w:pPr>
        <w:pStyle w:val="Heading3"/>
        <w:keepNext/>
        <w:keepLines/>
        <w:spacing w:before="240" w:after="120" w:line="269" w:lineRule="auto"/>
      </w:pPr>
      <w:r>
        <w:rPr>
          <w:color w:val="000000"/>
        </w:rPr>
        <w:t>CURRENT EVIDENCE INTEGRATION ;  AI-ASSISTED AST / HUMAN REVIEW</w:t>
      </w:r>
    </w:p>
    <w:p>
      <w:pPr>
        <w:pStyle w:val="Normal"/>
        <w:keepNext/>
        <w:spacing w:before="0" w:after="50" w:line="250" w:lineRule="auto"/>
        <w:rPr/>
      </w:pPr>
      <w:r>
        <w:rPr>
          <w:rFonts w:ascii="Calibri" w:hAnsi="Calibri"/>
          <w:color w:val="000000"/>
          <w:sz w:val="20"/>
        </w:rPr>
        <w:t>Evidence-grounded control rules for current AMR-Eye development: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Preserve the complete decision chain: original plate image → image/readability QC → detected disk/zone boundary → calibrated diameter → applicable standard + edition/version + method → computed interpretation → confidence/QC flags → reviewer decision → final report.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Keep breakpoint tables and interpretive rules version-controlled and independent from computer-vision model weights. The record should include organism, antimicrobial, disk potency where applicable, method, incubation/read time, standard and standard version.</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Support explicit abstention states such as NOT READABLE / REVIEW / RECAPTURE instead of forcing a measurement or S/I/R call from an inadequate image.</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Validation must report zone-measurement error and repeatability plus AST agreement/error metrics such as categorical agreement, major error and very major error where applicable; computer-vision metrics such as mAP alone are insufficient.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Human review is a first-class workflow requirement for the current research/prototype stage: preserve both automated and corrected values, reviewer identity, timestamps and override reasons. Do not represent this as autonomous clinical AST.</w:t>
      </w:r>
    </w:p>
    <w:p>
      <w:pPr>
        <w:pStyle w:val="Normal"/>
        <w:spacing w:before="0" w:after="50" w:line="250" w:lineRule="auto"/>
        <w:rPr/>
      </w:pPr>
      <w:r>
        <w:rPr>
          <w:rFonts w:ascii="Calibri" w:hAnsi="Calibri"/>
          <w:color w:val="000000"/>
          <w:sz w:val="20"/>
        </w:rPr>
        <w:t xml:space="preserve">• </w:t>
      </w:r>
      <w:r>
        <w:rPr>
          <w:rFonts w:ascii="Calibri" w:hAnsi="Calibri"/>
          <w:color w:val="000000"/>
          <w:sz w:val="20"/>
        </w:rPr>
        <w:t>Treat time-series imaging / growth-kinetic AST as FUTURE R&amp;D until AMR-Eye has its own controlled validation dataset.</w:t>
      </w:r>
    </w:p>
    <w:p>
      <w:pPr>
        <w:pStyle w:val="Normal"/>
        <w:spacing w:before="0" w:after="50" w:line="250" w:lineRule="auto"/>
        <w:rPr/>
      </w:pPr>
      <w:r>
        <w:rPr>
          <w:rFonts w:ascii="Calibri" w:hAnsi="Calibri"/>
          <w:color w:val="000000"/>
          <w:sz w:val="20"/>
        </w:rPr>
        <w:t>External benchmark note: Ciftci et al. (Frontiers in Microbiology, 2026; DOI 10.3389/fmicb.2026.1810754) reported 94.2% categorical agreement, 1.2% VME, 1.8% ME and 0.42 mm mean absolute zone-diameter error under their study conditions. These values are literature benchmarks only and must never be presented as AMR-Eye performance.</w:t>
      </w:r>
    </w:p>
    <w:p>
      <w:pPr>
        <w:pStyle w:val="Normal"/>
        <w:spacing w:before="0" w:after="50" w:line="250" w:lineRule="auto"/>
        <w:rPr/>
      </w:pPr>
      <w:r>
        <w:rPr>
          <w:rFonts w:ascii="Calibri" w:hAnsi="Calibri"/>
          <w:color w:val="000000"/>
          <w:sz w:val="20"/>
        </w:rPr>
        <w:t>Standards/current-reference note: CLSI M100 36th Edition and the CLSI Breakpoint Implementation Toolkit (updated March 2026) provide current breakpoint/QC and verification/validation structures; EUCAST clinical breakpoint tables v16.1 were published in 2026, with RAST methodology v7, RAST QC v8.0 and RAST breakpoint table v9.0 also current 2026 references. Always verify the latest edition/version at the time of use.</w:t>
      </w:r>
    </w:p>
    <w:p>
      <w:pPr>
        <w:pStyle w:val="Normal"/>
        <w:spacing w:before="0" w:after="50" w:line="250" w:lineRule="auto"/>
        <w:rPr/>
      </w:pPr>
      <w:r>
        <w:rPr>
          <w:rFonts w:ascii="Calibri" w:hAnsi="Calibri"/>
          <w:color w:val="000000"/>
          <w:sz w:val="20"/>
        </w:rPr>
        <w:t>Human-review precedent: J-AST (Gerst et al., bioRxiv 2026; DOI 10.64898/2026.07.22.739984) combines automated analysis with interactive annotation/review. FDA 510(k) K251511 for PhenoMATRIX is a useful regulatory precedent for automated image assessment paired with trained-personnel final evaluation; it is not evidence that AMR-Eye itself is cleared or clinically validated.</w:t>
      </w:r>
    </w:p>
    <w:p>
      <w:pPr>
        <w:pStyle w:val="Normal"/>
        <w:spacing w:before="0" w:after="50" w:line="250" w:lineRule="auto"/>
        <w:rPr/>
      </w:pPr>
      <w:r>
        <w:rPr>
          <w:rFonts w:ascii="Calibri" w:hAnsi="Calibri"/>
          <w:color w:val="000000"/>
          <w:sz w:val="20"/>
        </w:rPr>
        <w:t>Workflow precedent: Aparicio-Calvente et al., Eur J Clin Microbiol Infect Dis 45, 835-843 (2026), DOI 10.1007/s10096-025-05362-8, supports the importance of time-dependent readability/QC in automated digital RAST workflows rather than forcing early interpretation.</w:t>
      </w:r>
    </w:p>
    <w:p>
      <w:pPr>
        <w:pStyle w:val="Normal"/>
        <w:spacing w:before="0" w:after="50" w:line="250" w:lineRule="auto"/>
        <w:rPr/>
      </w:pPr>
      <w:r>
        <w:rPr>
          <w:rFonts w:ascii="Calibri" w:hAnsi="Calibri"/>
          <w:color w:val="000000"/>
          <w:sz w:val="20"/>
        </w:rPr>
        <w:t>C27.2 ;  Rapid versus endpoint. Do not apply ordinary endpoint breakpoints to an early image and call it validated rapid AST. EUCAST RAST has a defined positive-blood-culture workflow and method/time-specific tables; a universal six-hour AMR-Eye result is not established. Source rechecked 12 September 2026: </w:t>
      </w:r>
      <w:hyperlink r:id="rId15">
        <w:r>
          <w:rPr>
            <w:rFonts w:ascii="Calibri" w:hAnsi="Calibri"/>
            <w:color w:val="000000"/>
            <w:sz w:val="22"/>
          </w:rPr>
          <w:t>https://www.eucast.org/bacteria/rapid-ast-in-blood-culture/breakpoints-for-rapid-ast/</w:t>
        </w:r>
      </w:hyperlink>
      <w:r>
        <w:rPr>
          <w:rFonts w:ascii="Calibri" w:hAnsi="Calibri"/>
          <w:color w:val="000000"/>
          <w:sz w:val="20"/>
        </w:rPr>
        <w:t> . Missing breakpoints, unreadability and technical uncertainty must produce the applicable review/no-result state, not an invented S/I/R category.</w:t>
      </w:r>
    </w:p>
    <w:p>
      <w:pPr>
        <w:pStyle w:val="Normal"/>
        <w:spacing w:before="0" w:after="50" w:line="250" w:lineRule="auto"/>
        <w:rPr/>
      </w:pPr>
      <w:r>
        <w:rPr>
          <w:rFonts w:ascii="Calibri" w:hAnsi="Calibri"/>
          <w:color w:val="000000"/>
          <w:sz w:val="20"/>
        </w:rPr>
        <w:t>C27.3 ;  Metrics and denominators. Every external performance number must identify whether it is AMR-Eye data, a literature result or a research target; then supply dataset/source, reference, endpoint, organism/drug scope, numerator/denominator, uncertainty, exclusions and evaluation split. VME false-susceptibility rates use reference-resistant denominators; ME false-resistance rates use reference-susceptible denominators under the applicable method definitions. Report abstention and failure coverage alongside agreement. mAP, sensor resolution and model confidence are not interchangeable with dimensional accuracy or clinical agreement. Existing Ciftci/J-AST/PhenoMATRIX references are external evidence, never AMR-Eye results or clearance.</w:t>
      </w:r>
    </w:p>
    <w:p>
      <w:pPr>
        <w:pStyle w:val="Normal"/>
        <w:spacing w:before="0" w:after="50" w:line="250" w:lineRule="auto"/>
        <w:rPr/>
      </w:pPr>
      <w:r>
        <w:rPr>
          <w:rFonts w:ascii="Calibri" w:hAnsi="Calibri"/>
          <w:color w:val="000000"/>
          <w:sz w:val="20"/>
        </w:rPr>
        <w:t>C27.4 ;  Version and rights controls. Record the exact standards edition, effective period, method, organism, drug, potency, read time and special rules separately from software/model versions. Keep historical interpretation reproducible. Check content reuse/licensing before embedding standards. Do not equate EUCAST I (susceptible, increased exposure) with CLSI intermediate. Current version anchors and official links are in master the relevant technical section; reverify before external use.</w:t>
      </w:r>
    </w:p>
    <w:p>
      <w:pPr>
        <w:pStyle w:val="Normal"/>
        <w:spacing w:before="0" w:after="50" w:line="250" w:lineRule="auto"/>
        <w:rPr/>
      </w:pPr>
      <w:r>
        <w:rPr>
          <w:rFonts w:ascii="Calibri" w:hAnsi="Calibri"/>
          <w:color w:val="000000"/>
          <w:sz w:val="20"/>
        </w:rPr>
        <w:t>C27.5 ;  Regulation and compliance. CDSCO/MD/GD/MDSW/01/2026 is a newly integrated planning reference, not AMR-Eye approval. Classification remains intended-use-dependent and requires qualified review. Named ISO/IEC standards, a quality plan, audit logs or a research-only disclaimer do not by themselves prove compliance or exempt a future medical intended use. Do not state Class B, Part 11 compliance, clinical clearance or launch readiness without the applicable evidence. Official guidance: </w:t>
      </w:r>
      <w:hyperlink r:id="rId16">
        <w:r>
          <w:rPr>
            <w:rFonts w:ascii="Calibri" w:hAnsi="Calibri"/>
            <w:color w:val="000000"/>
            <w:sz w:val="22"/>
          </w:rPr>
          <w:t>https://cdsco.gov.in/opencms/export/sites/CDSCO_WEB/Pdf-documents/Guidance-document-on-Medical-Device-Software-under-MDR-2017.pdf</w:t>
        </w:r>
      </w:hyperlink>
      <w:r>
        <w:rPr>
          <w:rFonts w:ascii="Calibri" w:hAnsi="Calibri"/>
          <w:color w:val="000000"/>
          <w:sz w:val="20"/>
        </w:rPr>
        <w:t> .</w:t>
      </w:r>
    </w:p>
    <w:p>
      <w:pPr>
        <w:pStyle w:val="Normal"/>
        <w:spacing w:before="0" w:after="50" w:line="250" w:lineRule="auto"/>
        <w:rPr/>
      </w:pPr>
      <w:r>
        <w:rPr>
          <w:rFonts w:ascii="Calibri" w:hAnsi="Calibri"/>
          <w:color w:val="000000"/>
          <w:sz w:val="20"/>
        </w:rPr>
        <w:t>C28.1 Selected rapid workflows. Sub-two-hour time to result remains a research target. State the starting event, specimen preparation, organism/drug scope, reference, exclusions, reportable coverage and success criteria. Endpoint reading, early-growth inference and rapid AST are separate methods.</w:t>
      </w:r>
    </w:p>
    <w:p>
      <w:pPr>
        <w:pStyle w:val="Normal"/>
        <w:spacing w:before="0" w:after="50" w:line="250" w:lineRule="auto"/>
        <w:rPr/>
      </w:pPr>
      <w:r>
        <w:rPr>
          <w:rFonts w:ascii="Calibri" w:hAnsi="Calibri"/>
          <w:color w:val="000000"/>
          <w:sz w:val="20"/>
        </w:rPr>
        <w:t>C28.2 Reliability. Multiple sensing modalities do not establish independence or guarantee zero error. Require disagreement detection, correlated-failure analysis, false-agreement challenges, abstention, recapture and qualified review. An unavailable result must not become a zero-valued measurement or susceptible category.</w:t>
      </w:r>
    </w:p>
    <w:p>
      <w:pPr>
        <w:pStyle w:val="Normal"/>
        <w:spacing w:before="0" w:after="50" w:line="250" w:lineRule="auto"/>
        <w:rPr/>
      </w:pPr>
      <w:r>
        <w:rPr>
          <w:rFonts w:ascii="Calibri" w:hAnsi="Calibri"/>
          <w:color w:val="000000"/>
          <w:sz w:val="20"/>
        </w:rPr>
        <w:t>C28.3 Predictive continuity. Stored plate evidence, computational models and predictive twins are different. Continuing a simulation after interrupted observation or plate loss does not recover measured biological growth. Preserve the last real observation, uncertainty, horizon, model version and eligibility limits; retain measured, derived, imputed, simulated and unavailable value states.</w:t>
      </w:r>
    </w:p>
    <w:p>
      <w:pPr>
        <w:pStyle w:val="Normal"/>
        <w:spacing w:before="0" w:after="50" w:line="250" w:lineRule="auto"/>
        <w:rPr/>
      </w:pPr>
      <w:r>
        <w:rPr>
          <w:rFonts w:ascii="Calibri" w:hAnsi="Calibri"/>
          <w:color w:val="000000"/>
          <w:sz w:val="20"/>
        </w:rPr>
        <w:t xml:space="preserve">C28.4 Heteroresistance. Within-zone candidate growth may justify investigation but does not by itself establish heteroresistance. Preserve alternative explanations, reference confirmation and the distinction from tolerance and persistence. Band and colleagues report external biological findings, not AMReye.AI performance. Heteroresistance study: </w:t>
      </w:r>
    </w:p>
    <w:p>
      <w:pPr>
        <w:pStyle w:val="Normal"/>
        <w:spacing w:before="0" w:after="50" w:line="250" w:lineRule="auto"/>
        <w:rPr/>
      </w:pPr>
      <w:r>
        <w:rPr>
          <w:rFonts w:ascii="Calibri" w:hAnsi="Calibri"/>
          <w:color w:val="000000"/>
          <w:sz w:val="20"/>
        </w:rPr>
        <w:t xml:space="preserve">C28.5 Automated-reader literature. Ciftci, Erarslan and Rahebi report external 94.2% categorical agreement and 0.42 mm mean absolute error in their study. The 207 original-image dataset, 1,024-image baseline and 5,120-image augmented dataset must not be treated as equivalent independent biological sample counts. The stated 70/15/15 partition does not clearly establish plate/isolate separation and augmentation lineage; table mAP 0.965 and narrative 95.6% require cautious interpretation. Post-hoc attention does not demonstrate a causal biological mechanism. These limitations qualify reuse of the study and do not negate its reported measurements. Original study: </w:t>
      </w:r>
    </w:p>
    <w:p>
      <w:pPr>
        <w:pStyle w:val="Normal"/>
        <w:spacing w:before="0" w:after="50" w:line="250" w:lineRule="auto"/>
        <w:rPr/>
      </w:pPr>
      <w:r>
        <w:rPr>
          <w:rFonts w:ascii="Calibri" w:hAnsi="Calibri"/>
          <w:color w:val="000000"/>
          <w:sz w:val="20"/>
        </w:rPr>
        <w:t>C28.6 Version controls. The compendium uses CLSI M100 edition 36 including the Table 2H-1 correction concerning concentration notation, and EUCAST clinical breakpoint tables version 16.1. The correction is not permission to extend disk criteria or use endpoint rules for early readings. Standards content and molecular repositories require independent versions, rights and method-specific applicability. Follow current intended-use-dependent regulatory assessment.</w:t>
      </w:r>
    </w:p>
    <w:p>
      <w:pPr>
        <w:pStyle w:val="Normal"/>
        <w:spacing w:before="0" w:after="50" w:line="250" w:lineRule="auto"/>
        <w:rPr/>
      </w:pPr>
      <w:r>
        <w:rPr>
          <w:rFonts w:ascii="Calibri" w:hAnsi="Calibri"/>
          <w:color w:val="000000"/>
          <w:sz w:val="20"/>
        </w:rPr>
        <w:t>C28.7 Cost and maturity. The Reader V1 BOM is one candidate reference configuration with observed INR listings and explicitly separated engineering estimates. It is not a delivered quotation, selling price, validated design, secured supply or evidence that advanced sensors/custom silicon have been implemented. The sensing and AI catalogues describe candidates across the platform, not 40 installed sensors or 40 validated functions.</w:t>
      </w:r>
    </w:p>
    <w:sectPr w:rsidR="00FC693F" w:rsidRPr="0006063C" w:rsidSect="00034616">
      <w:headerReference w:type="default" r:id="rId9"/>
      <w:footerReference w:type="default" r:id="rId10"/>
      <w:pgSz w:w="12240" w:h="20160"/>
      <w:pgMar w:top="720" w:right="720" w:bottom="72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AMREYE.AI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Validation Legal and Safety  |  Supporting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0" w:before="0" w:after="50"/>
      <w:jc w:val="start"/>
    </w:pPr>
    <w:rPr>
      <w:rFonts w:ascii="Calibri" w:hAnsi="Calibri" w:eastAsia="ＭＳ 明朝" w:cs="" w:cstheme="minorBidi" w:eastAsiaTheme="minorEastAsia"/>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Calibri" w:hAnsi="Calibri" w:eastAsia="ＭＳ ゴシック"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6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b/>
      <w:color w:val="000000"/>
      <w:sz w:val="21"/>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b/>
      <w:i/>
      <w:iCs/>
      <w:color w:val="000000"/>
      <w:sz w:val="2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Noto Sans CJK SC" w:cs="Lohit Devanagari"/>
      <w:color w:val="000000"/>
      <w:sz w:val="28"/>
      <w:szCs w:val="28"/>
    </w:rPr>
  </w:style>
  <w:style w:type="paragraph" w:styleId="BodyText">
    <w:name w:val="Body Text"/>
    <w:basedOn w:val="Normal"/>
    <w:link w:val="BodyTextChar"/>
    <w:uiPriority w:val="99"/>
    <w:unhideWhenUsed/>
    <w:rsid w:val="00aa1d8d"/>
    <w:pPr>
      <w:spacing w:before="0" w:after="100" w:line="269" w:lineRule="auto"/>
    </w:pPr>
    <w:rPr>
      <w:rFonts w:ascii="Calibri" w:hAnsi="Calibri"/>
      <w:color w:val="000000"/>
      <w:sz w:val="22"/>
    </w:rPr>
  </w:style>
  <w:style w:type="paragraph" w:styleId="List">
    <w:name w:val="List"/>
    <w:basedOn w:val="Normal"/>
    <w:uiPriority w:val="99"/>
    <w:unhideWhenUsed/>
    <w:rsid w:val="00aa1d8d"/>
    <w:pPr>
      <w:spacing w:before="0" w:after="6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keepNext/>
      <w:spacing w:lineRule="auto" w:line="240"/>
    </w:pPr>
    <w:rPr>
      <w:rFonts w:ascii="Calibri" w:hAnsi="Calibri"/>
      <w:b/>
      <w:bCs/>
      <w:color w:val="333333"/>
      <w:sz w:val="18"/>
      <w:szCs w:val="18"/>
    </w:rPr>
  </w:style>
  <w:style w:type="paragraph" w:styleId="Index">
    <w:name w:val="Index"/>
    <w:basedOn w:val="Normal"/>
    <w:qFormat/>
    <w:pPr>
      <w:suppressLineNumbers/>
    </w:pPr>
    <w:rPr>
      <w:rFonts w:cs="Lohit Devanagari" w:ascii="Calibri" w:hAnsi="Calibri"/>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keepNext/>
      <w:pageBreakBefore w:val="0"/>
      <w:spacing w:lineRule="auto" w:line="240" w:before="0" w:after="20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line="269" w:lineRule="auto"/>
      <w:ind w:start="720"/>
      <w:contextualSpacing/>
    </w:pPr>
    <w:rPr>
      <w:rFonts w:ascii="Calibri" w:hAnsi="Calibri"/>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6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6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6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6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6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6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6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6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alibri" w:hAnsi="Calibri" w:eastAsia="ＭＳ 明朝"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name w:val="toc 1"/>
    <w:basedOn w:val="Index"/>
    <w:pPr>
      <w:tabs>
        <w:tab w:val="clear" w:pos="720"/>
        <w:tab w:val="right" w:pos="10282" w:leader="dot"/>
      </w:tabs>
      <w:ind w:hanging="0" w:start="0"/>
    </w:pPr>
    <w:rPr>
      <w:rFonts w:ascii="Calibri" w:hAnsi="Calibri"/>
      <w:color w:val="000000"/>
    </w:rPr>
  </w:style>
  <w:style w:type="paragraph" w:styleId="TOC2">
    <w:name w:val="toc 2"/>
    <w:basedOn w:val="Index"/>
    <w:pPr>
      <w:tabs>
        <w:tab w:val="clear" w:pos="720"/>
        <w:tab w:val="right" w:pos="9999" w:leader="dot"/>
      </w:tabs>
      <w:ind w:hanging="0" w:start="283"/>
    </w:pPr>
    <w:rPr>
      <w:rFonts w:ascii="Calibri" w:hAnsi="Calibri"/>
      <w:color w:val="000000"/>
    </w:rPr>
  </w:style>
  <w:style w:type="paragraph" w:styleId="TOC3">
    <w:name w:val="toc 3"/>
    <w:basedOn w:val="Index"/>
    <w:pPr>
      <w:tabs>
        <w:tab w:val="clear" w:pos="720"/>
        <w:tab w:val="right" w:pos="9715" w:leader="dot"/>
      </w:tabs>
      <w:ind w:hanging="0" w:start="567"/>
    </w:pPr>
    <w:rPr>
      <w:rFonts w:ascii="Calibri" w:hAnsi="Calibri"/>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yuNv2ukKT3OJ6aUCe5bVRlqtTuc-rn50/view" TargetMode="External"/><Relationship Id="rId12" Type="http://schemas.openxmlformats.org/officeDocument/2006/relationships/hyperlink" Target="https://drive.google.com/file/d/1RTRqQsgskSywx2cf2YkpJOHzD_qNFfPv/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www.eucast.org/bacteria/rapid-ast-in-blood-culture/breakpoints-for-rapid-ast/" TargetMode="External"/><Relationship Id="rId16" Type="http://schemas.openxmlformats.org/officeDocument/2006/relationships/hyperlink" Target="https://cdsco.gov.in/opencms/export/sites/CDSCO_WEB/Pdf-documents/Guidance-document-on-Medical-Device-Software-under-MDR-20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AMREYE AI Validation Legal and Safety</dc:title>
  <dc:subject>Validation, claim interpretation, legal and regulatory considerations, safety and security requirements. This is the retained project planning reference; it does not establish approval, registration, completed legal review or successful validation.</dc:subject>
  <dc:creator>AMREYE.AI</dc:creator>
  <cp:keywords/>
  <dc:description>Detailed source content redistributed from the canonical master; claims retain their original evidence status.</dc:description>
  <cp:lastModifiedBy/>
  <cp:revision>1</cp:revision>
  <dcterms:created xsi:type="dcterms:W3CDTF">2013-12-23T23:15:00Z</dcterms:created>
  <dcterms:modified xsi:type="dcterms:W3CDTF">2013-12-23T23:15:00Z</dcterms:modified>
  <cp:category/>
</cp:coreProperties>
</file>