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D0CFF6">
      <w:pP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对于化合物的分析结果如下：</w:t>
      </w:r>
    </w:p>
    <w:p w14:paraId="0B0E5BF0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将mol文件在AAT Bioquest平台（</w:t>
      </w:r>
      <w:r>
        <w:rPr>
          <w:rFonts w:ascii="Times New Roman" w:hAnsi="Times New Roman" w:eastAsia="宋体" w:cs="宋体"/>
          <w:sz w:val="28"/>
          <w:szCs w:val="24"/>
        </w:rPr>
        <w:fldChar w:fldCharType="begin"/>
      </w:r>
      <w:r>
        <w:rPr>
          <w:rFonts w:ascii="Times New Roman" w:hAnsi="Times New Roman" w:eastAsia="宋体" w:cs="宋体"/>
          <w:sz w:val="28"/>
          <w:szCs w:val="24"/>
        </w:rPr>
        <w:instrText xml:space="preserve"> HYPERLINK "https://www.aatbio.com/tools/mol-to-smiles-converter" </w:instrText>
      </w:r>
      <w:r>
        <w:rPr>
          <w:rFonts w:ascii="Times New Roman" w:hAnsi="Times New Roman" w:eastAsia="宋体" w:cs="宋体"/>
          <w:sz w:val="28"/>
          <w:szCs w:val="24"/>
        </w:rPr>
        <w:fldChar w:fldCharType="separate"/>
      </w:r>
      <w:r>
        <w:rPr>
          <w:rStyle w:val="4"/>
          <w:rFonts w:ascii="Times New Roman" w:hAnsi="Times New Roman" w:eastAsia="宋体" w:cs="宋体"/>
          <w:sz w:val="28"/>
          <w:szCs w:val="24"/>
        </w:rPr>
        <w:t>MOL to SMILES Converter | AAT Bioquest</w:t>
      </w:r>
      <w:r>
        <w:rPr>
          <w:rFonts w:ascii="Times New Roman" w:hAnsi="Times New Roman" w:eastAsia="宋体" w:cs="宋体"/>
          <w:sz w:val="28"/>
          <w:szCs w:val="24"/>
        </w:rPr>
        <w:fldChar w:fldCharType="end"/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）转换为smi文件，其分子结构为：C1(=CC(=C(C=C1O)CCC(O)C(CC=C(C)C)C)O)</w:t>
      </w:r>
    </w:p>
    <w:p w14:paraId="57926B87">
      <w:pPr>
        <w:numPr>
          <w:ilvl w:val="0"/>
          <w:numId w:val="0"/>
        </w:numPr>
        <w:ind w:left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72405" cy="2971800"/>
            <wp:effectExtent l="0" t="0" r="4445" b="0"/>
            <wp:docPr id="1" name="图片 1" descr="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ru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3431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使用Deepseek对化合物进行分析</w:t>
      </w:r>
    </w:p>
    <w:p w14:paraId="366DE3B8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### **结构解析**</w:t>
      </w:r>
    </w:p>
    <w:p w14:paraId="6277659F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1. **核心结构**：</w:t>
      </w:r>
    </w:p>
    <w:p w14:paraId="712E2D7E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苯环（`C1=CC=C(C=C1O)`）作为母核，带有两个羟基（`-OH`），分别在1位和3位（间苯二酚骨架）。</w:t>
      </w:r>
    </w:p>
    <w:p w14:paraId="578A9FE5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2. **侧链**：</w:t>
      </w:r>
    </w:p>
    <w:p w14:paraId="5A08E007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一个羟基取代的丙基链（`CCC(O)`）连接在苯环的4位。</w:t>
      </w:r>
    </w:p>
    <w:p w14:paraId="1252FEEA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丙基的第二个碳上进一步连接一个分支烷基链：`C(CC=C(C)C)`，即一个含 **异戊二烯单元**（`CC=C(C)C`）的支链。</w:t>
      </w:r>
    </w:p>
    <w:p w14:paraId="5209739E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### **可能的化合物类别**</w:t>
      </w:r>
    </w:p>
    <w:p w14:paraId="2E23575E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1. **类黄酮或萜类酚衍生物**：</w:t>
      </w:r>
    </w:p>
    <w:p w14:paraId="0ECC6BE3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异戊二烯侧链（`CC=C(C)C`）常见于 **萜类化合物**（如植物中的单萜或倍半萜酚）。</w:t>
      </w:r>
    </w:p>
    <w:p w14:paraId="58577EE1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若苯环与其他环状结构相连，则可能属于 **黄酮类**（但当前结构无此特征）。</w:t>
      </w:r>
    </w:p>
    <w:p w14:paraId="6B26F6B1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2. **植物来源的酚类**：</w:t>
      </w:r>
    </w:p>
    <w:p w14:paraId="356E02C5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类似结构可见于天然产物，如 **多酚类**（如迷迭香酸衍生物）或 **苯丙素类**（侧链含丙烯基或烯丙基）。</w:t>
      </w:r>
    </w:p>
    <w:p w14:paraId="7684780E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### **Smiles的标准化表示**</w:t>
      </w:r>
    </w:p>
    <w:p w14:paraId="67DB272D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修正后的Smiles：</w:t>
      </w:r>
    </w:p>
    <w:p w14:paraId="04E67A18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`OC1=CC(=CC(=C1)CCC(O)C(CC=C(C)C)C)O`</w:t>
      </w:r>
    </w:p>
    <w:p w14:paraId="7E379521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### **可能的天然类似物**</w:t>
      </w:r>
    </w:p>
    <w:p w14:paraId="7CC4DDE5"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**苯丙烯衍生物**（如丁子香酚类似物，但侧链更长且分支）</w:t>
      </w:r>
    </w:p>
    <w:p w14:paraId="4CB87875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**萜烯酚类**（如某些精油成分，带异戊二烯基和酚羟基）</w:t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、</w:t>
      </w:r>
    </w:p>
    <w:p w14:paraId="4D987963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化合物</w:t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4</w:t>
      </w: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作用的潜在靶点</w:t>
      </w:r>
    </w:p>
    <w:p w14:paraId="20D9326A">
      <w:pPr>
        <w:numPr>
          <w:numId w:val="0"/>
        </w:numPr>
        <w:ind w:leftChars="0" w:firstLine="420" w:firstLine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使用化合物4smi分子结构在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"http://swisstargetprediction.ch/"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SwissTargetPrediction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进行潜在靶点预测，预测结果如下表：</w:t>
      </w:r>
      <w:bookmarkStart w:id="0" w:name="_GoBack"/>
      <w:bookmarkEnd w:id="0"/>
    </w:p>
    <w:tbl>
      <w:tblPr>
        <w:tblStyle w:val="2"/>
        <w:tblW w:w="8429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6"/>
        <w:gridCol w:w="868"/>
        <w:gridCol w:w="943"/>
        <w:gridCol w:w="1350"/>
        <w:gridCol w:w="1479"/>
        <w:gridCol w:w="1143"/>
      </w:tblGrid>
      <w:tr w14:paraId="7D1DE6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646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4D8E86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Target</w:t>
            </w:r>
          </w:p>
        </w:tc>
        <w:tc>
          <w:tcPr>
            <w:tcW w:w="868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0F4D69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Common name</w:t>
            </w:r>
          </w:p>
        </w:tc>
        <w:tc>
          <w:tcPr>
            <w:tcW w:w="943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6D0310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Uniprot ID</w:t>
            </w:r>
          </w:p>
        </w:tc>
        <w:tc>
          <w:tcPr>
            <w:tcW w:w="135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7D06D9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 ID</w:t>
            </w:r>
          </w:p>
        </w:tc>
        <w:tc>
          <w:tcPr>
            <w:tcW w:w="1479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00EC86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Target Class</w:t>
            </w:r>
          </w:p>
        </w:tc>
        <w:tc>
          <w:tcPr>
            <w:tcW w:w="1143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07ADEC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Probability*</w:t>
            </w:r>
          </w:p>
        </w:tc>
      </w:tr>
      <w:tr w14:paraId="17B464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D2D0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Cyclooxygenase-2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DE26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PTGS2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2FB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P35354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305B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CHEMBL230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887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Oxidoreductase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A785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0.1199 </w:t>
            </w:r>
          </w:p>
        </w:tc>
      </w:tr>
      <w:tr w14:paraId="6CD4E7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288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Vascular endothelial growth factor receptor 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CDC4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KDR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CFB5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P35968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5143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CHEMBL279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F75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E5B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6120AE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A041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Estrogen receptor alpha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4A8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ESR1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D9B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P03372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D56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CHEMBL206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05FE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Nuclear receptor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4E1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31FAEC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2E3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Estrogen receptor beta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0D3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ESR2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E1A7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Q92731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F313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CHEMBL242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B32E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Nuclear receptor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090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1F36ED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8E1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DNA polymerase beta   (by homology)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2CA3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POLB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7449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P06746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86E2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CHEMBL2392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B86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Enzyme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693E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453C43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F7A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Cannabinoid receptor 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E7C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CNR1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8DAA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P21554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8FA2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CHEMBL218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48DF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 A G protein-coupled receptor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08C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1DE8A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3EC3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Neuropeptide Y receptor type 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6F2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NPY5R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D1F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Q15761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8A1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CHEMBL4561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59F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 A G protein-coupled receptor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BEA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2EFB76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B2AE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Insulin-like growth factor I receptor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64B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IGF1R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AD9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P08069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664F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CHEMBL1957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76E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8F00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464DA6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C6E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Tyrosine-protein kinase SRC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D69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SRC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DAA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P12931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6A8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CHEMBL267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3DA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0A1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6C9D08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E6E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N-arachidonyl glycine receptor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805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GPR18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222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Q14330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6F2C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CHEMBL2384898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628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 A G protein-coupled receptor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81D9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3BAB90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594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Serine/threonine-protein kinase mTOR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FCD0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MTOR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A0C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P42345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7DB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CHEMBL2842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524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B24A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76CBE5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F6A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Signal transducer and activator of transcription 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849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2CE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P40763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A12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CHEMBL4026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4D73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Transcription factor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0EE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0788A0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E18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Cyclin-dependent kinase 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B70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CDK2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EADD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P24941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32D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CHEMBL301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E19B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14D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106D0C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961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Cannabinoid receptor 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753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CNR2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745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P34972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0F7E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CHEMBL253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DBC5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 A G protein-coupled receptor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1555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6B1AF3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B429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PI3-kinase p110-gamma subunit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2F5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PIK3CG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1D7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P48736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905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CHEMBL3267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5D58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Enzyme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76DF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03ED61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7D15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PI3-kinase p110-alpha subunit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5FE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PIK3CA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1F1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P42336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0931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CHEMBL4005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FC16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Enzyme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256B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269A03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E49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Vanilloid receptor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1F3D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TRPV1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9B8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Q8NER1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1C0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CHEMBL4794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D986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Voltage-gated ion channel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E99A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062DB0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D76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Cyclin-dependent kinase 1/cyclin B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A489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CCNB3 CDK1 CCNB1 CCNB2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56E1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Q8WWL7 P06493 P14635 O95067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BCD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CHEMBL2094127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3B7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 cytosolic protein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681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5B87D6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8CDC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Glycogen synthase kinase-3 beta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781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GSK3B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119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P49841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50E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CHEMBL262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3713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F3943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481139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8746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Adenosine deaminase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8AF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ADE6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P00813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24E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CHEMBL1910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40B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Hydrolase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448C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0712BB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E8C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Glucocorticoid receptor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12F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NR3C1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49E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P04150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9F2A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CHEMBL2034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6A1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Nuclear receptor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7976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1BEF5A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599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 kinase p38 alpha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3B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MAPK14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3392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Q16539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DEE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CHEMBL260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C30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533D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516414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B30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Protein farnesyltransferase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A51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FNTA FNTB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29AE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P49354 P49356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25BD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CHEMBL2094108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6AF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Enzyme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6979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7D0CD3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6C0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DNA-dependent protein kinase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AED3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PRKDC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ECB8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P78527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FEC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CHEMBL3142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FEA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4D8A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2271F3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CE3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Carbonic anhydrase VB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D22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CA5B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2ECA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Q9Y2D0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33E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CHEMBL3969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54E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Lyase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570A7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2F7BC7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CC0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Carbonic anhydrase VA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40A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CA5A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DBEA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P35218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FF3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CHEMBL4789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2B1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Lyase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ACE2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1F446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852F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Serine/threonine-protein kinase Chk1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B64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CHEK1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4A17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O14757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579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CHEMBL4630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74ED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546F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42E27D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8C2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Serine/threonine-protein kinase WEE1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8EFA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WEE1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063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P30291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FD4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CHEMBL5491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3B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665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3DBEDE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EA5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ALK tyrosine kinase receptor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4FE0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ALK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77A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Q9UM73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6326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CHEMBL4247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90D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4892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30516D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2F6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Heat shock protein HSP 90-beta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6F7C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HSP90AB1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89D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P08238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729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CHEMBL4303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ECA6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 cytosolic protein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F12E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0A8388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F812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Beta-secretase 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135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BACE1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80A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P56817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329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CHEMBL4822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2220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12F0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4D1AB7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8D4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Sulfonylurea receptor 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25DC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ABCC9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205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O60706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976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CHEMBL1971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BCCD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Primary active transporter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3A79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6ACE82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F5B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Tyrosine kinase non-receptor protein 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058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TNK2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BF27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Q07912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F32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CHEMBL4599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3D51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0D63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762AB7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064F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Thrombin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AE74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246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P00734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328D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CHEMBL204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4EE7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E82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31AC8E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9FD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Mitogen-activated protein kinase kinase kinase 14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2C4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MAP3K14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C6E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Q99558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0023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CHEMBL5888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C556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AC6B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34E3AF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2DB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Tyrosine-protein kinase JAK1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B16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JAK1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EE63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P23458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7454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CHEMBL2835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EF54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A329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582B94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23D8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Monoamine oxidase A   (by homology)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1CC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MAOA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625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P21397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06D3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CHEMBL1951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EE16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Oxidoreductase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F29BE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52FFF1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790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Monoamine oxidase B   (by homology)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066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MAOB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93C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P27338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AB5C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CHEMBL2039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11D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Oxidoreductase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E29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302027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36C1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Endothelin receptor ET-A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189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EDNRA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3EB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P25101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7E1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CHEMBL252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12D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 A G protein-coupled receptor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1F5B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47E4F5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FC3A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Histone deacetylase 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BD6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HDAC6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73B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Q9UBN7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1ED6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CHEMBL1865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E6A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Eraser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708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5EA988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9BE2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PI3-kinase p110-alpha/p85-alpha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EF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PIK3CA PIK3R1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FB39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P42336 P27986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F79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CHEMBL2111367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5B83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Enzyme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4E4C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741673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EE2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Histone deacetylase 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26EC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HDAC1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6546F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Q13547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E8A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CHEMBL325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DC87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Eraser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DF84C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3FC2A4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CEC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dUTP pyrophosphatase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9905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DUT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AFD8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P33316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67D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CHEMBL5203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0EF6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Enzyme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00F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375492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423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Tyrosine-protein kinase JAK2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09BD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JAK2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A595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O60674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ED8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CHEMBL2971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4C0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4A7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437269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8BC9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Tyrosine-protein kinase JAK3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9817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JAK3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2DD8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P52333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A53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CHEMBL2148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EE1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FA8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4B6556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A507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Matrix metalloproteinase 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323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MMP3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7D5C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P08254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693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CHEMBL283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4C88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668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13964D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198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Matrix metalloproteinase 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471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MMP1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253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P03956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BC6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CHEMBL332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8AFD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16E9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43554F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2145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Matrix metalloproteinase 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4EC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MMP2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E7C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P08253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F40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CHEMBL333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4F2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0280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2331A1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DB9C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Tyrosine-protein kinase TYK2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C1D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TYK2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019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P29597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BF54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CHEMBL3553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3C39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063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13C416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E76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Matrix metalloproteinase 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6641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MMP7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A824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P09237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AC89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CHEMBL4073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ED0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4D64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41325A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D5D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Matrix metalloproteinase 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605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MMP8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3F0D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P22894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930A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CHEMBL4588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3CF3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A094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7ED8B1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ED40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Complement factor D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25A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CFD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0BD9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P00746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41A8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CHEMBL2176771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32E4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66A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0B3C85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0322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Rho-associated protein kinase 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2E36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ROCK2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AC6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O75116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9C61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CHEMBL2973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A15F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4F4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1C9F12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181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Beta-galactoside alpha-2,6-sialyltransferase 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0BC1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ST6GAL1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F8B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P15907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10DD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CHEMBL3596075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B4A5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Transferase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B7B7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1123E1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DCF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Serine/threonine-protein kinase PIM3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E93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PIM3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30F0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Q86V86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C99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CHEMBL5407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886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A0A7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6B166E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6173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Liver glycogen phosphorylase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82D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PYGL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65D1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P06737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6431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CHEMBL2568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7BC5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Enzyme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6386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551FFC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BF3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c-Jun N-terminal kinase 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937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MAPK10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0F1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P53779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A2E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CHEMBL2637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5B43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56F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68D8A2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BF31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Eukaryotic translation initiation factor 2-alpha kinase 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0BFB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EIF2AK3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D08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Q9NZJ5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218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CHEMBL6030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1EA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490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0E970A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B6CC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Tyrosine-protein kinase SYK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D89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SYK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9A0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P43405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E08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CHEMBL2599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2C9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04E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74F2EE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D66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Mammalian target of Rapamycin (mTORC1)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ACB2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FKBP1A MTOR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5BB0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P62942 P42345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6B4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CHEMBL2221341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99C7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D16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002B82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F676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Endothelin receptor ET-B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EF40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EDNRB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AFC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P24530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9FD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CHEMBL1785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DAC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 A G protein-coupled receptor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20E0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3342D1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F4D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Cyclin-dependent kinase 1/cyclin B1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757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CDK1 CCNB1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38B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P06493 P14635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7817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CHEMBL1907602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0D2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 cytosolic protein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FBF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5F886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B84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Cyclin-dependent kinase 2/cyclin E1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A2F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CCNE1 CDK2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D84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P24864 P24941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039A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CHEMBL1907605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7017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B54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2D1E27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6AEF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Thrombin and coagulation factor X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74C6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F10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EAB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P00742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7B35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CHEMBL244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8578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293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1F872B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AAE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Phosphodiesterase 2A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665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PDE2A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B61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O00408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BEE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CHEMBL2652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2A9A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Phosphodiesterase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8C6C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02492E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CB2F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Matrix metalloproteinase 13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717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MMP13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A92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P45452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2A2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CHEMBL280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19E0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105A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3FD1B1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75F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Matrix metalloproteinase 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788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MMP9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C4E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P14780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EA7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CHEMBL321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FDC7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E77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6B821D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848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Cytochrome P450 11B1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DFB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CYP11B1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057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P15538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ABD2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CHEMBL1908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F1DB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Cytochrome P450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745B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0221B6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936E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Neprilysin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4016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MME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AF8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P08473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9C9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CHEMBL1944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F5D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9C3A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05BE94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6ADE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Tyrosine-protein kinase receptor FLT3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546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FLT3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E232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P36888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BB6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CHEMBL1974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621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CB2CF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20F85E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1139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Cyclin-dependent kinase 2/cyclin A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411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CDK2 CCNA1 CCNA2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17F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P24941 P78396 P20248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D3D5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CHEMBL2094128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D44C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 cytosolic protein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5346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4EEB49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EC2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Adenosine A1 receptor   (by homology)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ED06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ADORA1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F18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P30542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DEB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CHEMBL226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3547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 A G protein-coupled receptor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ABF0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093519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BC86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Protein kinase C beta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6D23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PRKCB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1C5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P05771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BA7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CHEMBL3045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1484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BB34F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6A8F57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CBD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ADAM17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8CA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ADAM17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045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P78536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FDBC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CHEMBL3706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56D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CE67B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04E52B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EF6D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Matrix metalloproteinase 14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5BB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MMP14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96A0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P50281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9F24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CHEMBL3869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239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0F4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26A50A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5FB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Serine/threonine-protein kinase RIPK2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266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RIPK2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7ED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O43353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B603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CHEMBL5014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1E3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3121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7CE3D7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007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Melatonin receptor 1A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E65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MTNR1A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CD2F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P48039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B94C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CHEMBL1945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06B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 A G protein-coupled receptor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EAE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7C6211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E076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Cytochrome P450 11B2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06D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CYP11B2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B47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P19099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6575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CHEMBL2722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A565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Cytochrome P450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C2DCC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74F8E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D04D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Gamma-secretase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E29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PSEN2 PSENEN NCSTN APH1A PSEN1 APH1B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133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P49810 Q9NZ42 Q92542 Q96BI3 P49768 Q8WW43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B0DC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CHEMBL2094135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C5A7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45F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246C38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271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Dual-specificity tyrosine-phosphorylation regulated kinase 1A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26F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DYRK1A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095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Q13627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A73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CHEMBL2292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561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8B4A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078146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8AE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PI3-kinase p110-delta subunit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C36E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PIK3CD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DFE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O00329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840F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CHEMBL3130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566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Enzyme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3EB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48B8B3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7F9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Dual specificity protein kinase CLK4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6CF8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CBC9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Q9HAZ1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4E7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CHEMBL4203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D794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BD7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2DF92A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EEF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Dual specificty protein kinase CLK1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D80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CCA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P49759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536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CHEMBL4224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1A86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9B6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463382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021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Dual specificity protein kinase CLK2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7A3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202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P49760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8D9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CHEMBL4225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12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E23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28914F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78C4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Dual specificity protein kinase CLK3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D495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CLK3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797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P49761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E087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CHEMBL4226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4001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EA2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20DF63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269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Dual specificity tyrosine-phosphorylation-regulated kinase 1B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201B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DYRK1B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8438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Q9Y463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6537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CHEMBL5543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EE2C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BFA1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73EF99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405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Anandamide amidohydrolase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CDBA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FAAH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FE76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O00519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BC7A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CHEMBL2243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B395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Enzyme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4CEE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200CE9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71E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Cytochrome P450 17A1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1A1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CYP17A1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3223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P05093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EEF6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CHEMBL3522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11E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Cytochrome P450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9843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358EE3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4EA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Phenylethanolamine N-methyltransferase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EDA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PNMT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9F21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P11086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055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CHEMBL4617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0FEC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Enzyme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904C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6969A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0D1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5-lipoxygenase activating protein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0236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ALOX5AP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ECDE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P20292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C554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CHEMBL4550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696B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 cytosolic protein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22D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078CD2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B57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 [ADP-ribose] polymerase-1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C9B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PARP1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CC5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P09874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CBB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CHEMBL3105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031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Enzyme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7EBC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2A3F66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505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Rho-associated protein kinase 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B5B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ROCK1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922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Q13464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A333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CHEMBL3231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4C9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34E4E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65B991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945D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Dual specificity mitogen-activated protein kinase kinase 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E07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MAP2K1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0FA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Q02750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8A3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CHEMBL3587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238D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72AF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12CEE2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5BBE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Proteinase activated receptor 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AE9D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F2RL3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0CF3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Q96RI0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0A9D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CHEMBL4691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9B6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 A G protein-coupled receptor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FCAA8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79C865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19B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Muscarinic acetylcholine receptor M5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E47A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CHRM5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848D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P08912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9613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CHEMBL2035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5576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Family A G protein-coupled receptor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25E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5A1055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4362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Prostatic acid phosphatase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C138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ACPP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087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P15309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2AF1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CHEMBL2633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7AA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Enzyme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2DDF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36E975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CB87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Cytochrome P450 2C9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A2A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CYP2C9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745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P11712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71B7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CHEMBL3397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24E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Cytochrome P450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F4BD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0FE95C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30A5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Cytochrome P450 2C19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C40A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CYP2C19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15EB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P33261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1D2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CHEMBL3622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A617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Cytochrome P450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83BC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3B5978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709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TGF-beta receptor type I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91B4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TGFBR1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836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P36897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A52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CHEMBL4439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7B2B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F01F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  <w:tr w14:paraId="2982D3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4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79862D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c-Jun N-terminal kinase 1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445068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MAPK8</w:t>
            </w:r>
          </w:p>
        </w:tc>
        <w:tc>
          <w:tcPr>
            <w:tcW w:w="9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4C378F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P45983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127842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CHEMBL2276</w:t>
            </w:r>
          </w:p>
        </w:tc>
        <w:tc>
          <w:tcPr>
            <w:tcW w:w="147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2D09E0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Kinase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4E3CA8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0.1120 </w:t>
            </w:r>
          </w:p>
        </w:tc>
      </w:tr>
    </w:tbl>
    <w:p w14:paraId="3E3A81BB">
      <w:pPr>
        <w:numPr>
          <w:ilvl w:val="0"/>
          <w:numId w:val="0"/>
        </w:numPr>
        <w:ind w:left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p w14:paraId="6B0FD38C"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进行</w:t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ADMET性质</w:t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预测</w:t>
      </w:r>
    </w:p>
    <w:p w14:paraId="24B7E3BA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ADMET性质指分子在有机体内的吸收(absorption)、分布(distribution)、代谢(metabolism)、排泄(excretion)和毒性(toxicity)等性质。</w:t>
      </w:r>
    </w:p>
    <w:p w14:paraId="3AE881A5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这里关注化合物的脂溶性，即LogP。</w:t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68595" cy="636905"/>
            <wp:effectExtent l="0" t="0" r="8255" b="10795"/>
            <wp:docPr id="2" name="图片 2" descr="174424667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442466701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5FC0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使用neurosnap（</w:t>
      </w:r>
      <w:r>
        <w:rPr>
          <w:rFonts w:ascii="Times New Roman" w:hAnsi="Times New Roman" w:eastAsia="宋体" w:cs="宋体"/>
          <w:sz w:val="28"/>
          <w:szCs w:val="24"/>
        </w:rPr>
        <w:fldChar w:fldCharType="begin"/>
      </w:r>
      <w:r>
        <w:rPr>
          <w:rFonts w:ascii="Times New Roman" w:hAnsi="Times New Roman" w:eastAsia="宋体" w:cs="宋体"/>
          <w:sz w:val="28"/>
          <w:szCs w:val="24"/>
        </w:rPr>
        <w:instrText xml:space="preserve"> HYPERLINK "https://neurosnap.ai/services" </w:instrText>
      </w:r>
      <w:r>
        <w:rPr>
          <w:rFonts w:ascii="Times New Roman" w:hAnsi="Times New Roman" w:eastAsia="宋体" w:cs="宋体"/>
          <w:sz w:val="28"/>
          <w:szCs w:val="24"/>
        </w:rPr>
        <w:fldChar w:fldCharType="separate"/>
      </w:r>
      <w:r>
        <w:rPr>
          <w:rStyle w:val="4"/>
          <w:rFonts w:ascii="Times New Roman" w:hAnsi="Times New Roman" w:eastAsia="宋体" w:cs="宋体"/>
          <w:sz w:val="28"/>
          <w:szCs w:val="24"/>
        </w:rPr>
        <w:t>🧬 Neurosnap | Easy Online Bioinformatics Tools &amp; Services</w:t>
      </w:r>
      <w:r>
        <w:rPr>
          <w:rFonts w:ascii="Times New Roman" w:hAnsi="Times New Roman" w:eastAsia="宋体" w:cs="宋体"/>
          <w:sz w:val="28"/>
          <w:szCs w:val="24"/>
        </w:rPr>
        <w:fldChar w:fldCharType="end"/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）、ADMETlab3.0（</w:t>
      </w:r>
      <w:r>
        <w:rPr>
          <w:rFonts w:ascii="Times New Roman" w:hAnsi="Times New Roman" w:eastAsia="宋体" w:cs="宋体"/>
          <w:sz w:val="28"/>
          <w:szCs w:val="24"/>
        </w:rPr>
        <w:fldChar w:fldCharType="begin"/>
      </w:r>
      <w:r>
        <w:rPr>
          <w:rFonts w:ascii="Times New Roman" w:hAnsi="Times New Roman" w:eastAsia="宋体" w:cs="宋体"/>
          <w:sz w:val="28"/>
          <w:szCs w:val="24"/>
        </w:rPr>
        <w:instrText xml:space="preserve"> HYPERLINK "https://admetlab3.scbdd.com/" </w:instrText>
      </w:r>
      <w:r>
        <w:rPr>
          <w:rFonts w:ascii="Times New Roman" w:hAnsi="Times New Roman" w:eastAsia="宋体" w:cs="宋体"/>
          <w:sz w:val="28"/>
          <w:szCs w:val="24"/>
        </w:rPr>
        <w:fldChar w:fldCharType="separate"/>
      </w:r>
      <w:r>
        <w:rPr>
          <w:rStyle w:val="4"/>
          <w:rFonts w:ascii="Times New Roman" w:hAnsi="Times New Roman" w:eastAsia="宋体" w:cs="宋体"/>
          <w:sz w:val="28"/>
          <w:szCs w:val="24"/>
        </w:rPr>
        <w:t>ADMETlab 3.0</w:t>
      </w:r>
      <w:r>
        <w:rPr>
          <w:rFonts w:ascii="Times New Roman" w:hAnsi="Times New Roman" w:eastAsia="宋体" w:cs="宋体"/>
          <w:sz w:val="28"/>
          <w:szCs w:val="24"/>
        </w:rPr>
        <w:fldChar w:fldCharType="end"/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）、CBDD GROUP（</w:t>
      </w:r>
      <w:r>
        <w:rPr>
          <w:rFonts w:ascii="Times New Roman" w:hAnsi="Times New Roman" w:eastAsia="宋体" w:cs="宋体"/>
          <w:sz w:val="28"/>
          <w:szCs w:val="24"/>
        </w:rPr>
        <w:fldChar w:fldCharType="begin"/>
      </w:r>
      <w:r>
        <w:rPr>
          <w:rFonts w:ascii="Times New Roman" w:hAnsi="Times New Roman" w:eastAsia="宋体" w:cs="宋体"/>
          <w:sz w:val="28"/>
          <w:szCs w:val="24"/>
        </w:rPr>
        <w:instrText xml:space="preserve"> HYPERLINK "http://www.scbdd.com/" </w:instrText>
      </w:r>
      <w:r>
        <w:rPr>
          <w:rFonts w:ascii="Times New Roman" w:hAnsi="Times New Roman" w:eastAsia="宋体" w:cs="宋体"/>
          <w:sz w:val="28"/>
          <w:szCs w:val="24"/>
        </w:rPr>
        <w:fldChar w:fldCharType="separate"/>
      </w:r>
      <w:r>
        <w:rPr>
          <w:rStyle w:val="4"/>
          <w:rFonts w:ascii="Times New Roman" w:hAnsi="Times New Roman" w:eastAsia="宋体" w:cs="宋体"/>
          <w:sz w:val="28"/>
          <w:szCs w:val="24"/>
        </w:rPr>
        <w:t>CBDD-Group|Computational Biology and Drug Design Group</w:t>
      </w:r>
      <w:r>
        <w:rPr>
          <w:rFonts w:ascii="Times New Roman" w:hAnsi="Times New Roman" w:eastAsia="宋体" w:cs="宋体"/>
          <w:sz w:val="28"/>
          <w:szCs w:val="24"/>
        </w:rPr>
        <w:fldChar w:fldCharType="end"/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）进行ADMET性质预测。三个平台的LogP值分别为：3.3837、3.5924、3.384，结果均显示LogP&gt;3，说明化合物4的脂溶性强，水溶性差。</w:t>
      </w:r>
    </w:p>
    <w:p w14:paraId="77B275A9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与化合物4相似的已上市药物</w:t>
      </w:r>
    </w:p>
    <w:p w14:paraId="7EC708DC"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在DRUGBANK</w:t>
      </w:r>
      <w:r>
        <w:rPr>
          <w:rFonts w:ascii="Times New Roman" w:hAnsi="Times New Roman" w:eastAsia="宋体" w:cs="宋体"/>
          <w:sz w:val="28"/>
          <w:szCs w:val="24"/>
        </w:rPr>
        <w:fldChar w:fldCharType="begin"/>
      </w:r>
      <w:r>
        <w:rPr>
          <w:rFonts w:ascii="Times New Roman" w:hAnsi="Times New Roman" w:eastAsia="宋体" w:cs="宋体"/>
          <w:sz w:val="28"/>
          <w:szCs w:val="24"/>
        </w:rPr>
        <w:instrText xml:space="preserve"> HYPERLINK "https://go.drugbank.com/structures/search/small_molecule_drugs/structure" </w:instrText>
      </w:r>
      <w:r>
        <w:rPr>
          <w:rFonts w:ascii="Times New Roman" w:hAnsi="Times New Roman" w:eastAsia="宋体" w:cs="宋体"/>
          <w:sz w:val="28"/>
          <w:szCs w:val="24"/>
        </w:rPr>
        <w:fldChar w:fldCharType="separate"/>
      </w:r>
      <w:r>
        <w:rPr>
          <w:rStyle w:val="4"/>
          <w:rFonts w:ascii="Times New Roman" w:hAnsi="Times New Roman" w:eastAsia="宋体" w:cs="宋体"/>
          <w:sz w:val="28"/>
          <w:szCs w:val="24"/>
        </w:rPr>
        <w:t>Chemical Structure Search | DrugBank Online</w:t>
      </w:r>
      <w:r>
        <w:rPr>
          <w:rFonts w:ascii="Times New Roman" w:hAnsi="Times New Roman" w:eastAsia="宋体" w:cs="宋体"/>
          <w:sz w:val="28"/>
          <w:szCs w:val="24"/>
        </w:rPr>
        <w:fldChar w:fldCharType="end"/>
      </w: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查找与化合物4相似度</w:t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最高</w:t>
      </w: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的上市药物</w:t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，设置相似度阈值0.5，共获得8种药物，相似度集中在50%-60%</w:t>
      </w:r>
      <w: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。</w:t>
      </w: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最后进行了相似药物对应疾病的查找。</w:t>
      </w:r>
    </w:p>
    <w:p w14:paraId="054F3EBC">
      <w:pP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br w:type="page"/>
      </w:r>
    </w:p>
    <w:tbl>
      <w:tblPr>
        <w:tblStyle w:val="2"/>
        <w:tblW w:w="0" w:type="auto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1161"/>
        <w:gridCol w:w="759"/>
        <w:gridCol w:w="1203"/>
        <w:gridCol w:w="2849"/>
      </w:tblGrid>
      <w:tr w14:paraId="64D36D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 w14:paraId="728719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sz w:val="24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kern w:val="0"/>
                <w:sz w:val="24"/>
                <w:szCs w:val="28"/>
                <w:u w:val="none"/>
                <w:lang w:val="en-US" w:eastAsia="zh-CN" w:bidi="ar"/>
              </w:rPr>
              <w:t>drugname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 w14:paraId="364CA2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sz w:val="24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kern w:val="0"/>
                <w:sz w:val="24"/>
                <w:szCs w:val="28"/>
                <w:u w:val="none"/>
                <w:lang w:val="en-US" w:eastAsia="zh-CN" w:bidi="ar"/>
              </w:rPr>
              <w:t>NameCh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 w14:paraId="1CC3A0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sz w:val="24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kern w:val="0"/>
                <w:sz w:val="24"/>
                <w:szCs w:val="28"/>
                <w:u w:val="none"/>
                <w:lang w:val="en-US" w:eastAsia="zh-CN" w:bidi="ar"/>
              </w:rPr>
              <w:t>alias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 w14:paraId="5847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sz w:val="24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kern w:val="0"/>
                <w:sz w:val="24"/>
                <w:szCs w:val="28"/>
                <w:u w:val="none"/>
                <w:lang w:val="en-US" w:eastAsia="zh-CN" w:bidi="ar"/>
              </w:rPr>
              <w:t>similarity</w:t>
            </w:r>
          </w:p>
        </w:tc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 w14:paraId="5535E7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sz w:val="24"/>
                <w:szCs w:val="2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kern w:val="0"/>
                <w:sz w:val="24"/>
                <w:szCs w:val="28"/>
                <w:u w:val="none"/>
                <w:lang w:val="en-US" w:eastAsia="zh-CN" w:bidi="ar"/>
              </w:rPr>
              <w:t>disease</w:t>
            </w:r>
          </w:p>
        </w:tc>
      </w:tr>
      <w:tr w14:paraId="145B4E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635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sz w:val="24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kern w:val="0"/>
                <w:sz w:val="24"/>
                <w:szCs w:val="20"/>
                <w:u w:val="none"/>
                <w:lang w:val="en-US" w:eastAsia="zh-CN" w:bidi="ar"/>
              </w:rPr>
              <w:t>Amylmetacresol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F4C2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戊间甲酚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630FE">
            <w:pPr>
              <w:jc w:val="center"/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sz w:val="24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C51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kern w:val="0"/>
                <w:sz w:val="24"/>
                <w:szCs w:val="22"/>
                <w:u w:val="none"/>
                <w:lang w:val="en-US" w:eastAsia="zh-CN" w:bidi="ar"/>
              </w:rPr>
              <w:t>0.585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7AA7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主要用作含漱液或含片，治疗口腔炎症</w:t>
            </w:r>
          </w:p>
        </w:tc>
      </w:tr>
      <w:tr w14:paraId="0B414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CE0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sz w:val="24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kern w:val="0"/>
                <w:sz w:val="24"/>
                <w:szCs w:val="20"/>
                <w:u w:val="none"/>
                <w:lang w:val="en-US" w:eastAsia="zh-CN" w:bidi="ar"/>
              </w:rPr>
              <w:t>Cannabidiol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D229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191B1F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191B1F"/>
                <w:kern w:val="0"/>
                <w:sz w:val="24"/>
                <w:szCs w:val="22"/>
                <w:u w:val="none"/>
                <w:lang w:val="en-US" w:eastAsia="zh-CN" w:bidi="ar"/>
              </w:rPr>
              <w:t>大麻二酚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0FC55B">
            <w:pPr>
              <w:jc w:val="center"/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sz w:val="24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B42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kern w:val="0"/>
                <w:sz w:val="24"/>
                <w:szCs w:val="22"/>
                <w:u w:val="none"/>
                <w:lang w:val="en-US" w:eastAsia="zh-CN" w:bidi="ar"/>
              </w:rPr>
              <w:t>0.568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351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A、神经退行性疾病：如阿尔兹海默症、帕金森等；B、精神类疾病：如抑郁症、焦虑症、创伤后应激障碍等；C、神经系统疾病：如癫痫、脑炎、脑膜炎等；D、各种疼痛：如痛经、偏头痛、癌症导致的疼痛等。</w:t>
            </w:r>
          </w:p>
        </w:tc>
      </w:tr>
      <w:tr w14:paraId="0611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782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sz w:val="24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kern w:val="0"/>
                <w:sz w:val="24"/>
                <w:szCs w:val="20"/>
                <w:u w:val="none"/>
                <w:lang w:val="en-US" w:eastAsia="zh-CN" w:bidi="ar"/>
              </w:rPr>
              <w:t>Latanoprost acid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7458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333333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333333"/>
                <w:kern w:val="0"/>
                <w:sz w:val="24"/>
                <w:szCs w:val="22"/>
                <w:u w:val="none"/>
                <w:lang w:val="en-US" w:eastAsia="zh-CN" w:bidi="ar"/>
              </w:rPr>
              <w:t>拉坦前列素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87F5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kern w:val="0"/>
                <w:sz w:val="24"/>
                <w:szCs w:val="22"/>
                <w:u w:val="none"/>
                <w:lang w:val="en-US" w:eastAsia="zh-CN" w:bidi="ar"/>
              </w:rPr>
              <w:t>沙拉坦、适利达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3FD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kern w:val="0"/>
                <w:sz w:val="24"/>
                <w:szCs w:val="22"/>
                <w:u w:val="none"/>
                <w:lang w:val="en-US" w:eastAsia="zh-CN" w:bidi="ar"/>
              </w:rPr>
              <w:t>0.529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30ED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开角型青光眼，眼压过高患者的局部治疗</w:t>
            </w:r>
          </w:p>
        </w:tc>
      </w:tr>
      <w:tr w14:paraId="5A8269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5F41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sz w:val="24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kern w:val="0"/>
                <w:sz w:val="24"/>
                <w:szCs w:val="20"/>
                <w:u w:val="none"/>
                <w:lang w:val="en-US" w:eastAsia="zh-CN" w:bidi="ar"/>
              </w:rPr>
              <w:t>Latanoprost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F20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同上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4FE2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同上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803B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0.509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EA3D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同上</w:t>
            </w:r>
          </w:p>
        </w:tc>
      </w:tr>
      <w:tr w14:paraId="74C44A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489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sz w:val="24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kern w:val="0"/>
                <w:sz w:val="24"/>
                <w:szCs w:val="20"/>
                <w:u w:val="none"/>
                <w:lang w:val="en-US" w:eastAsia="zh-CN" w:bidi="ar"/>
              </w:rPr>
              <w:t>Vitamin 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797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333333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333333"/>
                <w:kern w:val="0"/>
                <w:sz w:val="24"/>
                <w:szCs w:val="22"/>
                <w:u w:val="none"/>
                <w:lang w:val="en-US" w:eastAsia="zh-CN" w:bidi="ar"/>
              </w:rPr>
              <w:t>维他命E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0002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生育酚或产妊酚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FDA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kern w:val="0"/>
                <w:sz w:val="24"/>
                <w:szCs w:val="22"/>
                <w:u w:val="none"/>
                <w:lang w:val="en-US" w:eastAsia="zh-CN" w:bidi="ar"/>
              </w:rPr>
              <w:t>0.519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873F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333333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333333"/>
                <w:kern w:val="0"/>
                <w:sz w:val="24"/>
                <w:szCs w:val="22"/>
                <w:u w:val="none"/>
                <w:lang w:val="en-US" w:eastAsia="zh-CN" w:bidi="ar"/>
              </w:rPr>
              <w:t>心血管病、帕金森症患者、高血压或心脑血管疾病、胎儿和婴儿的发育与生长</w:t>
            </w:r>
          </w:p>
        </w:tc>
      </w:tr>
      <w:tr w14:paraId="3BABC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8D8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sz w:val="24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kern w:val="0"/>
                <w:sz w:val="24"/>
                <w:szCs w:val="20"/>
                <w:u w:val="none"/>
                <w:lang w:val="en-US" w:eastAsia="zh-CN" w:bidi="ar"/>
              </w:rPr>
              <w:t>DL-alpha-Tocopherol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F01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同上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73F4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同上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28A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kern w:val="0"/>
                <w:sz w:val="24"/>
                <w:szCs w:val="22"/>
                <w:u w:val="none"/>
                <w:lang w:val="en-US" w:eastAsia="zh-CN" w:bidi="ar"/>
              </w:rPr>
              <w:t>0.519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2C91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同上</w:t>
            </w:r>
          </w:p>
        </w:tc>
      </w:tr>
      <w:tr w14:paraId="32DBA4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364B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sz w:val="24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kern w:val="0"/>
                <w:sz w:val="24"/>
                <w:szCs w:val="20"/>
                <w:u w:val="none"/>
                <w:lang w:val="en-US" w:eastAsia="zh-CN" w:bidi="ar"/>
              </w:rPr>
              <w:t>Hexylresorcinol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1EBB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4-己基间苯二酚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9616BA">
            <w:pPr>
              <w:jc w:val="center"/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sz w:val="24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89B2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kern w:val="0"/>
                <w:sz w:val="24"/>
                <w:szCs w:val="22"/>
                <w:u w:val="none"/>
                <w:lang w:val="en-US" w:eastAsia="zh-CN" w:bidi="ar"/>
              </w:rPr>
              <w:t>0.516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58DB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000000"/>
                <w:kern w:val="0"/>
                <w:sz w:val="24"/>
                <w:szCs w:val="22"/>
                <w:u w:val="none"/>
                <w:lang w:val="en-US" w:eastAsia="zh-CN" w:bidi="ar"/>
              </w:rPr>
              <w:t>细菌性感染之中耳炎、外耳炎及疥藓、白藓、湿疹；具有抗菌、驱虫、防腐和抗肿瘤活性。Hexylresorcinol 可诱导鳞癌细胞凋亡</w:t>
            </w:r>
          </w:p>
        </w:tc>
      </w:tr>
      <w:tr w14:paraId="55F32A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center"/>
          </w:tcPr>
          <w:p w14:paraId="632646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sz w:val="24"/>
                <w:szCs w:val="20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212529"/>
                <w:kern w:val="0"/>
                <w:sz w:val="24"/>
                <w:szCs w:val="20"/>
                <w:u w:val="none"/>
                <w:lang w:val="en-US" w:eastAsia="zh-CN" w:bidi="ar"/>
              </w:rPr>
              <w:t>Dronabinol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center"/>
          </w:tcPr>
          <w:p w14:paraId="605DC3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333333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333333"/>
                <w:kern w:val="0"/>
                <w:sz w:val="24"/>
                <w:szCs w:val="22"/>
                <w:u w:val="none"/>
                <w:lang w:val="en-US" w:eastAsia="zh-CN" w:bidi="ar"/>
              </w:rPr>
              <w:t>屈大麻酚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center"/>
          </w:tcPr>
          <w:p w14:paraId="5ADD3AF4">
            <w:pPr>
              <w:jc w:val="center"/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sz w:val="24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center"/>
          </w:tcPr>
          <w:p w14:paraId="31BFC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212529"/>
                <w:kern w:val="0"/>
                <w:sz w:val="24"/>
                <w:szCs w:val="22"/>
                <w:u w:val="none"/>
                <w:lang w:val="en-US" w:eastAsia="zh-CN" w:bidi="ar"/>
              </w:rPr>
              <w:t>0.509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center"/>
          </w:tcPr>
          <w:p w14:paraId="7DA180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宋体"/>
                <w:i w:val="0"/>
                <w:iCs w:val="0"/>
                <w:color w:val="333333"/>
                <w:sz w:val="24"/>
                <w:szCs w:val="22"/>
                <w:u w:val="none"/>
              </w:rPr>
            </w:pPr>
            <w:r>
              <w:rPr>
                <w:rFonts w:hint="eastAsia" w:ascii="Times New Roman" w:hAnsi="Times New Roman" w:eastAsia="宋体" w:cs="宋体"/>
                <w:i w:val="0"/>
                <w:iCs w:val="0"/>
                <w:color w:val="333333"/>
                <w:kern w:val="0"/>
                <w:sz w:val="24"/>
                <w:szCs w:val="22"/>
                <w:u w:val="none"/>
                <w:lang w:val="en-US" w:eastAsia="zh-CN" w:bidi="ar"/>
              </w:rPr>
              <w:t>用于治疗与AIDS患者体重减轻相关的神经性厌食症，以及化疗引起的恶心和呕吐</w:t>
            </w:r>
          </w:p>
        </w:tc>
      </w:tr>
    </w:tbl>
    <w:p w14:paraId="479D544E">
      <w:pPr>
        <w:numPr>
          <w:ilvl w:val="0"/>
          <w:numId w:val="0"/>
        </w:numPr>
        <w:rPr>
          <w:rFonts w:hint="default" w:ascii="Times New Roman" w:hAnsi="Times New Roman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34D0F9"/>
    <w:multiLevelType w:val="singleLevel"/>
    <w:tmpl w:val="EB34D0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34ED9"/>
    <w:rsid w:val="19D35DD5"/>
    <w:rsid w:val="1C5D31AA"/>
    <w:rsid w:val="2FE222AB"/>
    <w:rsid w:val="43C41B65"/>
    <w:rsid w:val="479F60CB"/>
    <w:rsid w:val="51CB6BEB"/>
    <w:rsid w:val="58191AB4"/>
    <w:rsid w:val="585C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1618</Words>
  <Characters>7880</Characters>
  <Lines>0</Lines>
  <Paragraphs>0</Paragraphs>
  <TotalTime>121</TotalTime>
  <ScaleCrop>false</ScaleCrop>
  <LinksUpToDate>false</LinksUpToDate>
  <CharactersWithSpaces>8371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2025-04-10T00:35:00Z</dcterms:created>
  <dc:creator>DELLVostro</dc:creator>
  <cp:lastModifiedBy>李乾坤</cp:lastModifiedBy>
  <dcterms:modified xsi:type="dcterms:W3CDTF">2025-04-13T06:46:05Z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eyJoZGlkIjoiOTEzYmNiYjk4MTZkYjE5YjQ5NGY0MWY4YjM5MWJkMGQiLCJ1c2VySWQiOiIyMzg2MzE5MjIifQ==</vt:lpwstr>
  </property>
  <property fmtid="{D5CDD505-2E9C-101B-9397-08002B2CF9AE}" pid="4" name="ICV">
    <vt:lpwstr>6BE17CEAA7804AF7925FB10613CA9FF5_13</vt:lpwstr>
  </property>
</Properties>
</file>