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78263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Fig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"/>
          <w:sz w:val="32"/>
          <w:szCs w:val="32"/>
        </w:rPr>
        <w:t>4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"/>
          <w:sz w:val="32"/>
          <w:szCs w:val="32"/>
        </w:rPr>
        <w:t>微生物多样性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（A）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患者组和对照组物种数Venn图。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（B）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患者组和对照组Top20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物种组成柱状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图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物种丰度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改变图。（C）α多样性，Richness指数，Simpson指数，Shannon指数，Wilcoxon检验判断两组样本显著性，p&lt;0.05,*;p&lt;0.01,**。(D)β多样性，PCoA主坐标分析,非度量多维排列NMDS,基于Bray-Curtis相似性的ANOSIM检验，p&lt;0.05,*;p&lt;0.01,**。</w:t>
      </w:r>
    </w:p>
    <w:p w14:paraId="275EBBE5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 w14:paraId="3E1D6042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Fig.5.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通过线性判别分析效应大小（LEfSe）算法鉴定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微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生物标志物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和革兰氏阴性菌比率。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（A） 基于 LEfSe 的独特生物标志物的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微生物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直方图（&gt;2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.5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，系统发育图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。条形图的长度表示显著不同的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物种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的影响大小。（B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上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） LEfSe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鉴定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两组之间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Top20微生物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相对丰度的差异。（B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下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）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两组之间(Bacteroidota拟杆菌门+Proteobacteria变形菌门)/Firmicutes厚壁菌门+Bacillota芽孢杆菌门）比率的比较。</w:t>
      </w:r>
    </w:p>
    <w:p w14:paraId="002B690D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 w14:paraId="4A5D4825">
      <w:pP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Fig.6.功能基因以及富集。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（A） 差异基因的火山图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，绿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点表示下调的基因，红点表示上调的基因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,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黑点表示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padj&lt;0.05。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）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差异功能基因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上调和下调Top20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热图。（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上调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差异功能基因KEGG富集通路。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下调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差异功能基因KEGG富集通路。</w:t>
      </w:r>
    </w:p>
    <w:p w14:paraId="22D1CC67">
      <w:pP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 w14:paraId="682C5BA5"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Fig.7.联合分析。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（A）差异物种和差异代谢物的相关性热图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p&lt;0.05,*;p&lt;0.01,**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。（B）差异物种和差异代谢物的相关性网络图p&lt;0.05,|r|&gt;0.6。（C）关注代谢物和物种的相关性网络图。</w:t>
      </w:r>
    </w:p>
    <w:p w14:paraId="23F90E6A"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 w14:paraId="4CDBFE7D"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差异物种分析</w:t>
      </w:r>
    </w:p>
    <w:p w14:paraId="4D5E2845"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（A） 差异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物种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的火山图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，绿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点表示下调的基因，红点表示上调的基因，黑点表示 |log FC|&lt;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2，padj&lt;0.05。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）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差异物种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上调和下调Top10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热图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wMGU4NmJmZjk4NDNmYjY4ODdjMzE4ZjhlNjBiMTQifQ=="/>
  </w:docVars>
  <w:rsids>
    <w:rsidRoot w:val="00000000"/>
    <w:rsid w:val="12024638"/>
    <w:rsid w:val="1EC96AA2"/>
    <w:rsid w:val="216E727F"/>
    <w:rsid w:val="2A116F54"/>
    <w:rsid w:val="354401F9"/>
    <w:rsid w:val="3C947E7E"/>
    <w:rsid w:val="3E18158D"/>
    <w:rsid w:val="3EE913AB"/>
    <w:rsid w:val="442C2DCD"/>
    <w:rsid w:val="47E744AA"/>
    <w:rsid w:val="483C72EA"/>
    <w:rsid w:val="581258D1"/>
    <w:rsid w:val="63D06CE8"/>
    <w:rsid w:val="7230422F"/>
    <w:rsid w:val="73D91C19"/>
    <w:rsid w:val="790925B9"/>
    <w:rsid w:val="7C3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496</Words>
  <Characters>731</Characters>
  <Lines>0</Lines>
  <Paragraphs>0</Paragraphs>
  <TotalTime>3</TotalTime>
  <ScaleCrop>false</ScaleCrop>
  <LinksUpToDate>false</LinksUpToDate>
  <CharactersWithSpaces>742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2024-11-05T03:38:00Z</dcterms:created>
  <dc:creator>yyyua</dc:creator>
  <cp:lastModifiedBy>李乾坤</cp:lastModifiedBy>
  <dcterms:modified xsi:type="dcterms:W3CDTF">2024-11-05T07:33:13Z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DF17C50DA06540C086B0D7B435BAD9CD_12</vt:lpwstr>
  </property>
</Properties>
</file>