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 管理端操作手册总览</w:t>
      </w:r>
    </w:p>
    <w:p>
      <w:pPr>
        <w:pStyle w:val="Heading2"/>
      </w:pPr>
      <w:r>
        <w:t>1. 文档定位</w:t>
      </w:r>
    </w:p>
    <w:p>
      <w:r>
        <w:t>本目录用于沉淀 `jasic-ui-antd` PC 管理端的操作手册，面向以下读者：</w:t>
      </w:r>
    </w:p>
    <w:p>
      <w:pPr>
        <w:pStyle w:val="ListBullet"/>
      </w:pPr>
      <w:r>
        <w:t>产品经理：快速了解当前系统按角色分工后的页面边界、可见菜单和关键流程。</w:t>
      </w:r>
    </w:p>
    <w:p>
      <w:pPr>
        <w:pStyle w:val="ListBullet"/>
      </w:pPr>
      <w:r>
        <w:t>运营人员：按步骤完成日常查询、建单、派单、接单、关闭等业务操作。</w:t>
      </w:r>
    </w:p>
    <w:p>
      <w:pPr>
        <w:pStyle w:val="ListBullet"/>
      </w:pPr>
      <w:r>
        <w:t>其它需要了解系统页面边界、角色差异和操作路径的内部人员。</w:t>
      </w:r>
    </w:p>
    <w:p>
      <w:r>
        <w:t>本批手册明确按“主体/角色”拆分，不再写成一份所有角色混用的大手册。</w:t>
      </w:r>
    </w:p>
    <w:p>
      <w:pPr>
        <w:pStyle w:val="Heading2"/>
      </w:pPr>
      <w:r>
        <w:t>2. 本批手册范围</w:t>
      </w:r>
    </w:p>
    <w:p>
      <w:r>
        <w:t>本批仅覆盖 PC 管理端 `jasic-ui-antd`，不覆盖小程序端。</w:t>
      </w:r>
    </w:p>
    <w:p>
      <w:r>
        <w:t>当前已拆分的手册文件如下：</w:t>
      </w:r>
    </w:p>
    <w:p>
      <w:pPr>
        <w:pStyle w:val="ListBullet"/>
      </w:pPr>
      <w:r>
        <w:t>[01-登录与公共说明.md](./01-登录与公共说明.md)</w:t>
      </w:r>
    </w:p>
    <w:p>
      <w:pPr>
        <w:pStyle w:val="ListBullet"/>
      </w:pPr>
      <w:r>
        <w:t>[02-平台管理员操作手册.md](./02-平台管理员操作手册.md)</w:t>
      </w:r>
    </w:p>
    <w:p>
      <w:pPr>
        <w:pStyle w:val="ListBullet"/>
      </w:pPr>
      <w:r>
        <w:t>[03-总部管理员操作手册.md](./03-总部管理员操作手册.md)</w:t>
      </w:r>
    </w:p>
    <w:p>
      <w:pPr>
        <w:pStyle w:val="ListBullet"/>
      </w:pPr>
      <w:r>
        <w:t>[04-总部维修员操作手册.md](./04-总部维修员操作手册.md)</w:t>
      </w:r>
    </w:p>
    <w:p>
      <w:pPr>
        <w:pStyle w:val="ListBullet"/>
      </w:pPr>
      <w:r>
        <w:t>[05-一级服务网点管理员操作手册.md](./05-一级服务网点管理员操作手册.md)</w:t>
      </w:r>
    </w:p>
    <w:p>
      <w:pPr>
        <w:pStyle w:val="ListBullet"/>
      </w:pPr>
      <w:r>
        <w:t>[06-一级服务网点派单员操作手册.md](./06-一级服务网点派单员操作手册.md)</w:t>
      </w:r>
    </w:p>
    <w:p>
      <w:pPr>
        <w:pStyle w:val="ListBullet"/>
      </w:pPr>
      <w:r>
        <w:t>[07-一级服务网点维修员操作手册.md](./07-一级服务网点维修员操作手册.md)</w:t>
      </w:r>
    </w:p>
    <w:p>
      <w:pPr>
        <w:pStyle w:val="ListBullet"/>
      </w:pPr>
      <w:r>
        <w:t>[08-二级服务网点管理员操作手册.md](./08-二级服务网点管理员操作手册.md)</w:t>
      </w:r>
    </w:p>
    <w:p>
      <w:pPr>
        <w:pStyle w:val="ListBullet"/>
      </w:pPr>
      <w:r>
        <w:t>[09-二级服务网点维修员操作手册.md](./09-二级服务网点维修员操作手册.md)</w:t>
      </w:r>
    </w:p>
    <w:p>
      <w:pPr>
        <w:pStyle w:val="ListBullet"/>
      </w:pPr>
      <w:r>
        <w:t>[10-常见异常、FAQ 与权限差异.md](./10-常见异常、FAQ 与权限差异.md)</w:t>
      </w:r>
    </w:p>
    <w:p>
      <w:pPr>
        <w:pStyle w:val="Heading2"/>
      </w:pPr>
      <w:r>
        <w:t>3. 当前角色分层方式</w:t>
      </w:r>
    </w:p>
    <w:p>
      <w:r>
        <w:t>结合当前运行环境，PC 管理端可以先按三类主体理解：</w:t>
      </w:r>
    </w:p>
    <w:p>
      <w:pPr>
        <w:pStyle w:val="ListBullet"/>
      </w:pPr>
      <w:r>
        <w:t>平台主体：偏治理与基础配置。</w:t>
      </w:r>
    </w:p>
    <w:p>
      <w:pPr>
        <w:pStyle w:val="ListBullet"/>
      </w:pPr>
      <w:r>
        <w:t>总部主体：偏总部调度、网点查看、工单总览。</w:t>
      </w:r>
    </w:p>
    <w:p>
      <w:pPr>
        <w:pStyle w:val="ListBullet"/>
      </w:pPr>
      <w:r>
        <w:t>服务网点主体：偏工单承接、派单、接单、维修处理。</w:t>
      </w:r>
    </w:p>
    <w:p>
      <w:r>
        <w:t>在主体之下，再按岗位角色拆分具体操作手册：</w:t>
      </w:r>
    </w:p>
    <w:p>
      <w:pPr>
        <w:pStyle w:val="ListBullet"/>
      </w:pPr>
      <w:r>
        <w:t>平台管理员</w:t>
      </w:r>
    </w:p>
    <w:p>
      <w:pPr>
        <w:pStyle w:val="ListBullet"/>
      </w:pPr>
      <w:r>
        <w:t>总部管理员</w:t>
      </w:r>
    </w:p>
    <w:p>
      <w:pPr>
        <w:pStyle w:val="ListBullet"/>
      </w:pPr>
      <w:r>
        <w:t>总部维修员</w:t>
      </w:r>
    </w:p>
    <w:p>
      <w:pPr>
        <w:pStyle w:val="ListBullet"/>
      </w:pPr>
      <w:r>
        <w:t>一级服务网点管理员</w:t>
      </w:r>
    </w:p>
    <w:p>
      <w:pPr>
        <w:pStyle w:val="ListBullet"/>
      </w:pPr>
      <w:r>
        <w:t>一级服务网点派单员</w:t>
      </w:r>
    </w:p>
    <w:p>
      <w:pPr>
        <w:pStyle w:val="ListBullet"/>
      </w:pPr>
      <w:r>
        <w:t>一级服务网点维修员</w:t>
      </w:r>
    </w:p>
    <w:p>
      <w:pPr>
        <w:pStyle w:val="ListBullet"/>
      </w:pPr>
      <w:r>
        <w:t>二级服务网点管理员</w:t>
      </w:r>
    </w:p>
    <w:p>
      <w:pPr>
        <w:pStyle w:val="ListBullet"/>
      </w:pPr>
      <w:r>
        <w:t>二级服务网点维修员</w:t>
      </w:r>
    </w:p>
    <w:p>
      <w:pPr>
        <w:pStyle w:val="Heading2"/>
      </w:pPr>
      <w:r>
        <w:t>4. 阅读顺序</w:t>
      </w:r>
    </w:p>
    <w:p>
      <w:r>
        <w:t>首次使用建议按下面顺序阅读：</w:t>
      </w:r>
    </w:p>
    <w:p>
      <w:pPr>
        <w:pStyle w:val="ListNumber"/>
      </w:pPr>
      <w:r>
        <w:t>1. 先读 [01-登录与公共说明.md](./01-登录与公共说明.md)，理解登录方式、首页结构、工单页公共区域和截图说明。</w:t>
      </w:r>
    </w:p>
    <w:p>
      <w:pPr>
        <w:pStyle w:val="ListNumber"/>
      </w:pPr>
      <w:r>
        <w:t>2. 再按自己的主体和岗位进入对应角色手册。</w:t>
      </w:r>
    </w:p>
    <w:p>
      <w:pPr>
        <w:pStyle w:val="ListNumber"/>
      </w:pPr>
      <w:r>
        <w:t>3. 最后查看 [10-常见异常、FAQ 与权限差异.md](./10-常见异常、FAQ 与权限差异.md)，避免把“权限问题”误判成“系统故障”。</w:t>
      </w:r>
    </w:p>
    <w:p>
      <w:pPr>
        <w:pStyle w:val="Heading2"/>
      </w:pPr>
      <w:r>
        <w:t>5. 编写口径说明</w:t>
      </w:r>
    </w:p>
    <w:p>
      <w:r>
        <w:t>本批手册统一按“当前运行环境实际表现”编写，重点遵循以下原则：</w:t>
      </w:r>
    </w:p>
    <w:p>
      <w:pPr>
        <w:pStyle w:val="ListBullet"/>
      </w:pPr>
      <w:r>
        <w:t>以当前代码和当前运行页面为准。</w:t>
      </w:r>
    </w:p>
    <w:p>
      <w:pPr>
        <w:pStyle w:val="ListBullet"/>
      </w:pPr>
      <w:r>
        <w:t>以真实登录后可见菜单、可见按钮、可执行步骤为准。</w:t>
      </w:r>
    </w:p>
    <w:p>
      <w:pPr>
        <w:pStyle w:val="ListBullet"/>
      </w:pPr>
      <w:r>
        <w:t>对于历史测试记录与当前环境不一致的地方，明确写出现状，不按历史口径强行覆盖。</w:t>
      </w:r>
    </w:p>
    <w:p>
      <w:pPr>
        <w:pStyle w:val="ListBullet"/>
      </w:pPr>
      <w:r>
        <w:t>对于暂未跑通或存在前置条件的链路，写清楚卡点和处理建议。</w:t>
      </w:r>
    </w:p>
    <w:p>
      <w:pPr>
        <w:pStyle w:val="Heading2"/>
      </w:pPr>
      <w:r>
        <w:t>6. 截图说明</w:t>
      </w:r>
    </w:p>
    <w:p>
      <w:r>
        <w:t>所有截图统一存放在 `docs/操作手册/images/` 目录中。</w:t>
      </w:r>
    </w:p>
    <w:p>
      <w:r>
        <w:t>截图使用原则如下：</w:t>
      </w:r>
    </w:p>
    <w:p>
      <w:pPr>
        <w:pStyle w:val="ListBullet"/>
      </w:pPr>
      <w:r>
        <w:t>优先展示真实页面的整体布局。</w:t>
      </w:r>
    </w:p>
    <w:p>
      <w:pPr>
        <w:pStyle w:val="ListBullet"/>
      </w:pPr>
      <w:r>
        <w:t>对关键流程补充弹窗、确认框、结果页截图。</w:t>
      </w:r>
    </w:p>
    <w:p>
      <w:pPr>
        <w:pStyle w:val="ListBullet"/>
      </w:pPr>
      <w:r>
        <w:t>对异常或权限差异，尽量保留“当前实际看到什么”的证据截图。</w:t>
      </w:r>
    </w:p>
    <w:p>
      <w:pPr>
        <w:pStyle w:val="Heading2"/>
      </w:pPr>
      <w:r>
        <w:t>7. 重点提醒</w:t>
      </w:r>
    </w:p>
    <w:p>
      <w:r>
        <w:t>本批整理过程中，已经确认当前环境存在若干“角色权限与直觉不完全一致”的现象，例如：</w:t>
      </w:r>
    </w:p>
    <w:p>
      <w:pPr>
        <w:pStyle w:val="ListBullet"/>
      </w:pPr>
      <w:r>
        <w:t>总部维修员当前账号首页可登录，但进入工单模块时页面会返回“返回首页”。</w:t>
      </w:r>
    </w:p>
    <w:p>
      <w:pPr>
        <w:pStyle w:val="ListBullet"/>
      </w:pPr>
      <w:r>
        <w:t>一级服务网点派单员当前账号进入工单页后，可以查询列表，但页面上未看到“建维修订单”按钮。</w:t>
      </w:r>
    </w:p>
    <w:p>
      <w:pPr>
        <w:pStyle w:val="ListBullet"/>
      </w:pPr>
      <w:r>
        <w:t>一级服务网点维修员当前账号除了维修处理外，当前环境里还能看到“建维修订单”按钮。</w:t>
      </w:r>
    </w:p>
    <w:p>
      <w:pPr>
        <w:pStyle w:val="ListBullet"/>
      </w:pPr>
      <w:r>
        <w:t>二级服务网点“有故障”后的维修登记链路，当前存在“必须先补录机型”的前置门槛。</w:t>
      </w:r>
    </w:p>
    <w:p>
      <w:r>
        <w:t>这些内容都已单独汇总到 [10-常见异常、FAQ 与权限差异.md](./10-常见异常、FAQ 与权限差异.md) 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