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登录与公共说明</w:t>
      </w:r>
    </w:p>
    <w:p>
      <w:pPr>
        <w:pStyle w:val="Heading2"/>
      </w:pPr>
      <w:r>
        <w:t>1. 适用范围</w:t>
      </w:r>
    </w:p>
    <w:p>
      <w:r>
        <w:t>本说明适用于所有 PC 管理端角色，主要解决以下问题：</w:t>
      </w:r>
    </w:p>
    <w:p>
      <w:pPr>
        <w:pStyle w:val="ListBullet"/>
      </w:pPr>
      <w:r>
        <w:t>如何登录系统。</w:t>
      </w:r>
    </w:p>
    <w:p>
      <w:pPr>
        <w:pStyle w:val="ListBullet"/>
      </w:pPr>
      <w:r>
        <w:t>登录后首页大致长什么样。</w:t>
      </w:r>
    </w:p>
    <w:p>
      <w:pPr>
        <w:pStyle w:val="ListBullet"/>
      </w:pPr>
      <w:r>
        <w:t>工单模块里哪些区域是所有角色都会遇到的公共区域。</w:t>
      </w:r>
    </w:p>
    <w:p>
      <w:pPr>
        <w:pStyle w:val="ListBullet"/>
      </w:pPr>
      <w:r>
        <w:t>使用时应该先看哪些固定位置。</w:t>
      </w:r>
    </w:p>
    <w:p>
      <w:pPr>
        <w:pStyle w:val="Heading2"/>
      </w:pPr>
      <w:r>
        <w:t>2. 登录入口</w:t>
      </w:r>
    </w:p>
    <w:p>
      <w:r>
        <w:t>PC 管理端当前使用账号密码登录。</w:t>
      </w:r>
    </w:p>
    <w:p>
      <w:r>
        <w:t>登录页截图如下：</w:t>
      </w:r>
    </w:p>
    <w:p>
      <w:r>
        <w:t>登录页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打开系统登录页。</w:t>
      </w:r>
    </w:p>
    <w:p>
      <w:pPr>
        <w:pStyle w:val="ListNumber"/>
      </w:pPr>
      <w:r>
        <w:t>2. 在“用户名或手机号”输入框中输入账号。</w:t>
      </w:r>
    </w:p>
    <w:p>
      <w:pPr>
        <w:pStyle w:val="ListNumber"/>
      </w:pPr>
      <w:r>
        <w:t>3. 在“密码”输入框中输入密码。</w:t>
      </w:r>
    </w:p>
    <w:p>
      <w:pPr>
        <w:pStyle w:val="ListNumber"/>
      </w:pPr>
      <w:r>
        <w:t>4. 点击“确认”按钮进入系统。</w:t>
      </w:r>
    </w:p>
    <w:p>
      <w:pPr>
        <w:pStyle w:val="Heading3"/>
      </w:pPr>
      <w:r>
        <w:t>当前页面观察点</w:t>
      </w:r>
    </w:p>
    <w:p>
      <w:pPr>
        <w:pStyle w:val="ListBullet"/>
      </w:pPr>
      <w:r>
        <w:t>页面标题为“Jasic 佳士售后平台”。</w:t>
      </w:r>
    </w:p>
    <w:p>
      <w:pPr>
        <w:pStyle w:val="ListBullet"/>
      </w:pPr>
      <w:r>
        <w:t>当前主用登录方式为账号密码登录。</w:t>
      </w:r>
    </w:p>
    <w:p>
      <w:pPr>
        <w:pStyle w:val="ListBullet"/>
      </w:pPr>
      <w:r>
        <w:t>“忘记密码”等入口当前不作为主使用流程展开。</w:t>
      </w:r>
    </w:p>
    <w:p>
      <w:pPr>
        <w:pStyle w:val="Heading2"/>
      </w:pPr>
      <w:r>
        <w:t>3. 登录后的公共布局</w:t>
      </w:r>
    </w:p>
    <w:p>
      <w:r>
        <w:t>无论是什么角色，登录成功后通常都会看到以下几个固定区域：</w:t>
      </w:r>
    </w:p>
    <w:p>
      <w:pPr>
        <w:pStyle w:val="ListBullet"/>
      </w:pPr>
      <w:r>
        <w:t>左侧菜单区：决定当前账号可以进入哪些模块。</w:t>
      </w:r>
    </w:p>
    <w:p>
      <w:pPr>
        <w:pStyle w:val="ListBullet"/>
      </w:pPr>
      <w:r>
        <w:t>顶部页签/面包屑区：显示当前位置。</w:t>
      </w:r>
    </w:p>
    <w:p>
      <w:pPr>
        <w:pStyle w:val="ListBullet"/>
      </w:pPr>
      <w:r>
        <w:t>主内容区：显示首页、工单、用户管理等页面内容。</w:t>
      </w:r>
    </w:p>
    <w:p>
      <w:pPr>
        <w:pStyle w:val="ListBullet"/>
      </w:pPr>
      <w:r>
        <w:t>右上角个人区：可进入个人中心。</w:t>
      </w:r>
    </w:p>
    <w:p>
      <w:pPr>
        <w:pStyle w:val="Heading2"/>
      </w:pPr>
      <w:r>
        <w:t>4. 个人中心</w:t>
      </w:r>
    </w:p>
    <w:p>
      <w:r>
        <w:t>个人中心适合作为所有角色都要掌握的共性能力入口。</w:t>
      </w:r>
    </w:p>
    <w:p>
      <w:r>
        <w:t>示意截图如下：</w:t>
      </w:r>
    </w:p>
    <w:p>
      <w:r>
        <w:t>个人中心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ce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个人中心主要用途</w:t>
      </w:r>
    </w:p>
    <w:p>
      <w:pPr>
        <w:pStyle w:val="ListBullet"/>
      </w:pPr>
      <w:r>
        <w:t>查看当前账号基础信息。</w:t>
      </w:r>
    </w:p>
    <w:p>
      <w:pPr>
        <w:pStyle w:val="ListBullet"/>
      </w:pPr>
      <w:r>
        <w:t>查看当前所属公司。</w:t>
      </w:r>
    </w:p>
    <w:p>
      <w:pPr>
        <w:pStyle w:val="ListBullet"/>
      </w:pPr>
      <w:r>
        <w:t>查看当前角色。</w:t>
      </w:r>
    </w:p>
    <w:p>
      <w:pPr>
        <w:pStyle w:val="ListBullet"/>
      </w:pPr>
      <w:r>
        <w:t>修改登录密码。</w:t>
      </w:r>
    </w:p>
    <w:p>
      <w:pPr>
        <w:pStyle w:val="ListBullet"/>
      </w:pPr>
      <w:r>
        <w:t>进行微信绑定。</w:t>
      </w:r>
    </w:p>
    <w:p>
      <w:pPr>
        <w:pStyle w:val="Heading3"/>
      </w:pPr>
      <w:r>
        <w:t>使用建议</w:t>
      </w:r>
    </w:p>
    <w:p>
      <w:pPr>
        <w:pStyle w:val="ListBullet"/>
      </w:pPr>
      <w:r>
        <w:t>首次登录后，建议先进入一次个人中心，确认“当前公司”“当前角色”是否正确。</w:t>
      </w:r>
    </w:p>
    <w:p>
      <w:pPr>
        <w:pStyle w:val="ListBullet"/>
      </w:pPr>
      <w:r>
        <w:t>如果发现自己的页面和其他账号不一致，先看个人中心里的当前角色，再判断是否为权限差异。</w:t>
      </w:r>
    </w:p>
    <w:p>
      <w:pPr>
        <w:pStyle w:val="Heading2"/>
      </w:pPr>
      <w:r>
        <w:t>5. 首页的三种公共形态</w:t>
      </w:r>
    </w:p>
    <w:p>
      <w:r>
        <w:t>虽然每个角色首页展示内容不同，但整体可以分成三类：</w:t>
      </w:r>
    </w:p>
    <w:p>
      <w:pPr>
        <w:pStyle w:val="ListBullet"/>
      </w:pPr>
      <w:r>
        <w:t>平台主体首页：治理看板。</w:t>
      </w:r>
    </w:p>
    <w:p>
      <w:pPr>
        <w:pStyle w:val="ListBullet"/>
      </w:pPr>
      <w:r>
        <w:t>总部主体首页：调度看板。</w:t>
      </w:r>
    </w:p>
    <w:p>
      <w:pPr>
        <w:pStyle w:val="ListBullet"/>
      </w:pPr>
      <w:r>
        <w:t>服务网点主体首页：服务工作台。</w:t>
      </w:r>
    </w:p>
    <w:p>
      <w:pPr>
        <w:pStyle w:val="Heading3"/>
      </w:pPr>
      <w:r>
        <w:t>平台主体首页示意</w:t>
      </w:r>
    </w:p>
    <w:p>
      <w:r>
        <w:t>平台首页</w:t>
      </w:r>
    </w:p>
    <w:p>
      <w:r>
        <w:drawing>
          <wp:inline xmlns:a="http://schemas.openxmlformats.org/drawingml/2006/main" xmlns:pic="http://schemas.openxmlformats.org/drawingml/2006/picture">
            <wp:extent cx="5303520" cy="377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dmin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总部主体首页示意</w:t>
      </w:r>
    </w:p>
    <w:p>
      <w:r>
        <w:t>总部首页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admin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服务网点主体首页示意</w:t>
      </w:r>
    </w:p>
    <w:p>
      <w:r>
        <w:t>一级网点首页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工单模块公共结构</w:t>
      </w:r>
    </w:p>
    <w:p>
      <w:r>
        <w:t>多数业务角色最终都会进入“维修工单”页面。虽然按钮不同，但页面结构相对固定。</w:t>
      </w:r>
    </w:p>
    <w:p>
      <w:r>
        <w:t>一级网点工单页示意如下：</w:t>
      </w:r>
    </w:p>
    <w:p>
      <w:r>
        <w:t>工单页公共结构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-admin-work-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工单页主要由四部分组成</w:t>
      </w:r>
    </w:p>
    <w:p>
      <w:pPr>
        <w:pStyle w:val="ListNumber"/>
      </w:pPr>
      <w:r>
        <w:t>1. 顶部页签区。</w:t>
      </w:r>
    </w:p>
    <w:p>
      <w:r>
        <w:t>当前常见页签为“当前处理”和“历史转出/只读”。</w:t>
      </w:r>
    </w:p>
    <w:p>
      <w:pPr>
        <w:pStyle w:val="ListNumber"/>
      </w:pPr>
      <w:r>
        <w:t>2. 状态统计区。</w:t>
      </w:r>
    </w:p>
    <w:p>
      <w:r>
        <w:t>当前常见状态包括“全部、待派单、待接单、维修中、已完成、已关闭”。</w:t>
      </w:r>
    </w:p>
    <w:p>
      <w:pPr>
        <w:pStyle w:val="ListNumber"/>
      </w:pPr>
      <w:r>
        <w:t>3. 查询条件区。</w:t>
      </w:r>
    </w:p>
    <w:p>
      <w:r>
        <w:t>常见查询项包括工单号、客户姓名、客户手机号、条码。</w:t>
      </w:r>
    </w:p>
    <w:p>
      <w:pPr>
        <w:pStyle w:val="ListNumber"/>
      </w:pPr>
      <w:r>
        <w:t>4. 列表区。</w:t>
      </w:r>
    </w:p>
    <w:p>
      <w:r>
        <w:t>用于展示工单号、客户、状态、当前受理公司、当前维修员、操作按钮等信息。</w:t>
      </w:r>
    </w:p>
    <w:p>
      <w:pPr>
        <w:pStyle w:val="Heading2"/>
      </w:pPr>
      <w:r>
        <w:t>7. 当前处理 与 历史转出/只读 的区别</w:t>
      </w:r>
    </w:p>
    <w:p>
      <w:r>
        <w:t>这两个页签需要重点理解，否则很容易误以为工单丢失。</w:t>
      </w:r>
    </w:p>
    <w:p>
      <w:pPr>
        <w:pStyle w:val="Heading3"/>
      </w:pPr>
      <w:r>
        <w:t>当前处理</w:t>
      </w:r>
    </w:p>
    <w:p>
      <w:pPr>
        <w:pStyle w:val="ListBullet"/>
      </w:pPr>
      <w:r>
        <w:t>用来查看当前还归本账号所属公司处理的工单。</w:t>
      </w:r>
    </w:p>
    <w:p>
      <w:pPr>
        <w:pStyle w:val="ListBullet"/>
      </w:pPr>
      <w:r>
        <w:t>当前还能继续派单、接单、维修、关闭等动作的工单，通常在这里找。</w:t>
      </w:r>
    </w:p>
    <w:p>
      <w:pPr>
        <w:pStyle w:val="Heading3"/>
      </w:pPr>
      <w:r>
        <w:t>历史转出/只读</w:t>
      </w:r>
    </w:p>
    <w:p>
      <w:pPr>
        <w:pStyle w:val="ListBullet"/>
      </w:pPr>
      <w:r>
        <w:t>用来查看当前账号所属公司曾经参与过、但当前已不再继续承接处理的工单。</w:t>
      </w:r>
    </w:p>
    <w:p>
      <w:pPr>
        <w:pStyle w:val="ListBullet"/>
      </w:pPr>
      <w:r>
        <w:t>这类工单常常只能查看，不能继续处理。</w:t>
      </w:r>
    </w:p>
    <w:p>
      <w:pPr>
        <w:pStyle w:val="Heading2"/>
      </w:pPr>
      <w:r>
        <w:t>8. 共性排查顺序</w:t>
      </w:r>
    </w:p>
    <w:p>
      <w:r>
        <w:t>当出现“看不到按钮”“找不到菜单”“打不开工单”等情况时，建议按以下顺序排查：</w:t>
      </w:r>
    </w:p>
    <w:p>
      <w:pPr>
        <w:pStyle w:val="ListNumber"/>
      </w:pPr>
      <w:r>
        <w:t>1. 先确认是否登录到了正确账号。</w:t>
      </w:r>
    </w:p>
    <w:p>
      <w:pPr>
        <w:pStyle w:val="ListNumber"/>
      </w:pPr>
      <w:r>
        <w:t>2. 再确认个人中心中的“当前公司”和“当前角色”。</w:t>
      </w:r>
    </w:p>
    <w:p>
      <w:pPr>
        <w:pStyle w:val="ListNumber"/>
      </w:pPr>
      <w:r>
        <w:t>3. 再确认左侧菜单里是否有对应模块入口。</w:t>
      </w:r>
    </w:p>
    <w:p>
      <w:pPr>
        <w:pStyle w:val="ListNumber"/>
      </w:pPr>
      <w:r>
        <w:t>4. 最后再确认是否是工单当前状态导致按钮不显示。</w:t>
      </w:r>
    </w:p>
    <w:p>
      <w:pPr>
        <w:pStyle w:val="Heading2"/>
      </w:pPr>
      <w:r>
        <w:t>9. 当前环境里的共性注意事项</w:t>
      </w:r>
    </w:p>
    <w:p>
      <w:pPr>
        <w:pStyle w:val="ListBullet"/>
      </w:pPr>
      <w:r>
        <w:t>不同角色即使进入同一页面，也不一定看到相同按钮。</w:t>
      </w:r>
    </w:p>
    <w:p>
      <w:pPr>
        <w:pStyle w:val="ListBullet"/>
      </w:pPr>
      <w:r>
        <w:t>某些账号虽然能登录首页，但不一定能进入工单模块。</w:t>
      </w:r>
    </w:p>
    <w:p>
      <w:pPr>
        <w:pStyle w:val="ListBullet"/>
      </w:pPr>
      <w:r>
        <w:t>某些按钮是否出现，不只取决于角色，也取决于工单当前状态和当前处理方是否为本公司/本人。</w:t>
      </w:r>
    </w:p>
    <w:p>
      <w:r>
        <w:t>更细的差异说明请继续查看各角色手册，以及 [10-常见异常、FAQ 与权限差异.md](./10-常见异常、FAQ 与权限差异.md)。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