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总部维修员操作手册</w:t>
      </w:r>
    </w:p>
    <w:p>
      <w:pPr>
        <w:pStyle w:val="Heading2"/>
      </w:pPr>
      <w:r>
        <w:t>1. 适用对象</w:t>
      </w:r>
    </w:p>
    <w:p>
      <w:r>
        <w:t>适用于总部维修员账号。</w:t>
      </w:r>
    </w:p>
    <w:p>
      <w:r>
        <w:t>首页截图如下：</w:t>
      </w:r>
    </w:p>
    <w:p>
      <w:r>
        <w:t>总部维修员首页</w:t>
      </w:r>
    </w:p>
    <w:p>
      <w:r>
        <w:drawing>
          <wp:inline xmlns:a="http://schemas.openxmlformats.org/drawingml/2006/main" xmlns:pic="http://schemas.openxmlformats.org/drawingml/2006/picture">
            <wp:extent cx="5303520" cy="3771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repairer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1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2. 当前角色定位</w:t>
      </w:r>
    </w:p>
    <w:p>
      <w:r>
        <w:t>从当前运行环境看，总部维修员账号的可见能力明显弱于总部管理员。</w:t>
      </w:r>
    </w:p>
    <w:p>
      <w:r>
        <w:t>当前实际看到的左侧菜单几乎只有：</w:t>
      </w:r>
    </w:p>
    <w:p>
      <w:pPr>
        <w:pStyle w:val="ListBullet"/>
      </w:pPr>
      <w:r>
        <w:t>首页</w:t>
      </w:r>
    </w:p>
    <w:p>
      <w:r>
        <w:t>这意味着总部维修员当前更像“受限查看角色”，而不是完整的工单处理角色。</w:t>
      </w:r>
    </w:p>
    <w:p>
      <w:pPr>
        <w:pStyle w:val="Heading2"/>
      </w:pPr>
      <w:r>
        <w:t>3. 首页观察</w:t>
      </w:r>
    </w:p>
    <w:p>
      <w:r>
        <w:t>虽然当前首页仍展示“调度看板”样式，但需要注意：</w:t>
      </w:r>
    </w:p>
    <w:p>
      <w:pPr>
        <w:pStyle w:val="ListBullet"/>
      </w:pPr>
      <w:r>
        <w:t>首页上能看到部分工单统计信息。</w:t>
      </w:r>
    </w:p>
    <w:p>
      <w:pPr>
        <w:pStyle w:val="ListBullet"/>
      </w:pPr>
      <w:r>
        <w:t>这不代表一定具备进入工单模块并继续处理工单的权限。</w:t>
      </w:r>
    </w:p>
    <w:p>
      <w:r>
        <w:t>需要特别注意：</w:t>
      </w:r>
    </w:p>
    <w:p>
      <w:r>
        <w:t>“首页看到数据” 和 “具备业务页处理权限” 不是一回事。</w:t>
      </w:r>
    </w:p>
    <w:p>
      <w:pPr>
        <w:pStyle w:val="Heading2"/>
      </w:pPr>
      <w:r>
        <w:t>4. 当前环境中的工单模块表现</w:t>
      </w:r>
    </w:p>
    <w:p>
      <w:r>
        <w:t>当前环境下，总部维修员进入工单模块后的截图如下：</w:t>
      </w:r>
    </w:p>
    <w:p>
      <w:r>
        <w:t>总部维修员工单页</w:t>
      </w:r>
    </w:p>
    <w:p>
      <w:r>
        <w:drawing>
          <wp:inline xmlns:a="http://schemas.openxmlformats.org/drawingml/2006/main" xmlns:pic="http://schemas.openxmlformats.org/drawingml/2006/picture">
            <wp:extent cx="5303520" cy="4051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q-repairer-work-or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513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当前实际表现</w:t>
      </w:r>
    </w:p>
    <w:p>
      <w:pPr>
        <w:pStyle w:val="ListBullet"/>
      </w:pPr>
      <w:r>
        <w:t>页面没有正常进入工单列表。</w:t>
      </w:r>
    </w:p>
    <w:p>
      <w:pPr>
        <w:pStyle w:val="ListBullet"/>
      </w:pPr>
      <w:r>
        <w:t>页面只显示“返回首页”。</w:t>
      </w:r>
    </w:p>
    <w:p>
      <w:pPr>
        <w:pStyle w:val="Heading3"/>
      </w:pPr>
      <w:r>
        <w:t>说明</w:t>
      </w:r>
    </w:p>
    <w:p>
      <w:r>
        <w:t>这类现象通常说明：</w:t>
      </w:r>
    </w:p>
    <w:p>
      <w:pPr>
        <w:pStyle w:val="ListBullet"/>
      </w:pPr>
      <w:r>
        <w:t>账号本身能登录。</w:t>
      </w:r>
    </w:p>
    <w:p>
      <w:pPr>
        <w:pStyle w:val="ListBullet"/>
      </w:pPr>
      <w:r>
        <w:t>首页可见。</w:t>
      </w:r>
    </w:p>
    <w:p>
      <w:pPr>
        <w:pStyle w:val="ListBullet"/>
      </w:pPr>
      <w:r>
        <w:t>但工单模块菜单或页面层权限不完整，导致无法正常进入业务页。</w:t>
      </w:r>
    </w:p>
    <w:p>
      <w:pPr>
        <w:pStyle w:val="Heading2"/>
      </w:pPr>
      <w:r>
        <w:t>5. 这类账号的使用说明</w:t>
      </w:r>
    </w:p>
    <w:p>
      <w:r>
        <w:t>对于总部维修员账号，当前不应按“完整工单处理账号”理解。</w:t>
      </w:r>
    </w:p>
    <w:p>
      <w:r>
        <w:t>当前更合适的理解方式是：</w:t>
      </w:r>
    </w:p>
    <w:p>
      <w:pPr>
        <w:pStyle w:val="ListBullet"/>
      </w:pPr>
      <w:r>
        <w:t>先看当前角色在现环境下的可见范围。</w:t>
      </w:r>
    </w:p>
    <w:p>
      <w:pPr>
        <w:pStyle w:val="ListBullet"/>
      </w:pPr>
      <w:r>
        <w:t>如果需要实际进入工单处理，应联系管理员确认角色和菜单配置。</w:t>
      </w:r>
    </w:p>
    <w:p>
      <w:pPr>
        <w:pStyle w:val="ListBullet"/>
      </w:pPr>
      <w:r>
        <w:t>不要直接套用总部管理员的操作手册。</w:t>
      </w:r>
    </w:p>
    <w:p>
      <w:pPr>
        <w:pStyle w:val="Heading2"/>
      </w:pPr>
      <w:r>
        <w:t>6. 当前环境提示</w:t>
      </w:r>
    </w:p>
    <w:p>
      <w:pPr>
        <w:pStyle w:val="ListNumber"/>
      </w:pPr>
      <w:r>
        <w:t>1. 当前账号可登录系统并查看首页。</w:t>
      </w:r>
    </w:p>
    <w:p>
      <w:pPr>
        <w:pStyle w:val="ListNumber"/>
      </w:pPr>
      <w:r>
        <w:t>2. 当前账号暂未具备完整工单模块入口。</w:t>
      </w:r>
    </w:p>
    <w:p>
      <w:pPr>
        <w:pStyle w:val="ListNumber"/>
      </w:pPr>
      <w:r>
        <w:t>3. 如果业务上确实需要处理工单，应由管理员补齐对应角色权限和菜单配置。</w:t>
      </w:r>
    </w:p>
    <w:p>
      <w:pPr>
        <w:pStyle w:val="Heading2"/>
      </w:pPr>
      <w:r>
        <w:t>7. 当前环境提醒</w:t>
      </w:r>
    </w:p>
    <w:p>
      <w:pPr>
        <w:pStyle w:val="ListBullet"/>
      </w:pPr>
      <w:r>
        <w:t>本账号现状更适合作为“权限差异案例”讲解。</w:t>
      </w:r>
    </w:p>
    <w:p>
      <w:pPr>
        <w:pStyle w:val="ListBullet"/>
      </w:pPr>
      <w:r>
        <w:t>可结合截图理解“为什么有些账号能看首页却打不开工单模块”。</w:t>
      </w:r>
    </w:p>
    <w:p>
      <w:pPr>
        <w:pStyle w:val="ListBullet"/>
      </w:pPr>
      <w:r>
        <w:t>相关异常归因和排查思路，详见 [10-常见异常、FAQ 与权限差异.md](./10-常见异常、FAQ 与权限差异.md)。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