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bookmarkStart w:id="0" w:name="_GoBack"/>
      <w:bookmarkEnd w:id="0"/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1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9402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5C6D0C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EA32ED">
      <w:pPr>
        <w:pStyle w:val="11"/>
      </w:pPr>
      <w:bookmarkStart w:id="2" w:name="_Toc70519047"/>
      <w:r>
        <w:lastRenderedPageBreak/>
        <w:t>ВВЕДЕНИЕ</w:t>
      </w:r>
      <w:bookmarkEnd w:id="2"/>
    </w:p>
    <w:p w:rsidR="00EA32ED" w:rsidRP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Обучение цифровому рисунку это долгий, сложный и комплексный процесс, который включает в себя множество разделов. Несмотря на то, что баз</w:t>
      </w:r>
      <w:r w:rsidR="006B159B">
        <w:rPr>
          <w:rFonts w:eastAsia="Times New Roman" w:cs="Times New Roman"/>
          <w:color w:val="000000"/>
          <w:szCs w:val="27"/>
          <w:lang w:eastAsia="ru-RU"/>
        </w:rPr>
        <w:t>овые навыки, на которых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строитс</w:t>
      </w:r>
      <w:r w:rsidR="006B159B">
        <w:rPr>
          <w:rFonts w:eastAsia="Times New Roman" w:cs="Times New Roman"/>
          <w:color w:val="000000"/>
          <w:szCs w:val="27"/>
          <w:lang w:eastAsia="ru-RU"/>
        </w:rPr>
        <w:t>я навык цифрового рисунка, могут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быть схожим</w:t>
      </w:r>
      <w:r w:rsidR="006B159B">
        <w:rPr>
          <w:rFonts w:eastAsia="Times New Roman" w:cs="Times New Roman"/>
          <w:color w:val="000000"/>
          <w:szCs w:val="27"/>
          <w:lang w:eastAsia="ru-RU"/>
        </w:rPr>
        <w:t>и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с тем, что необходим</w:t>
      </w:r>
      <w:r w:rsidR="006B159B">
        <w:rPr>
          <w:rFonts w:eastAsia="Times New Roman" w:cs="Times New Roman"/>
          <w:color w:val="000000"/>
          <w:szCs w:val="27"/>
          <w:lang w:eastAsia="ru-RU"/>
        </w:rPr>
        <w:t>ы</w:t>
      </w:r>
      <w:r w:rsidRPr="00EA32ED">
        <w:rPr>
          <w:rFonts w:eastAsia="Times New Roman" w:cs="Times New Roman"/>
          <w:color w:val="000000"/>
          <w:szCs w:val="27"/>
          <w:lang w:eastAsia="ru-RU"/>
        </w:rPr>
        <w:t xml:space="preserve"> для развития навыка традиционного рисования, обучение цифровому рисунку содержит достаточное количество </w:t>
      </w:r>
      <w:r>
        <w:rPr>
          <w:rFonts w:eastAsia="Times New Roman" w:cs="Times New Roman"/>
          <w:color w:val="000000"/>
          <w:szCs w:val="27"/>
          <w:lang w:eastAsia="ru-RU"/>
        </w:rPr>
        <w:t>специфических дисциплин</w:t>
      </w:r>
      <w:r w:rsidRPr="00EA32ED">
        <w:rPr>
          <w:rFonts w:eastAsia="Times New Roman" w:cs="Times New Roman"/>
          <w:color w:val="000000"/>
          <w:szCs w:val="27"/>
          <w:lang w:eastAsia="ru-RU"/>
        </w:rPr>
        <w:t>, не имеющих применения в традиционном рисунке.</w:t>
      </w:r>
    </w:p>
    <w:p w:rsidR="00EA32ED" w:rsidRP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Стоит отметить, что несмотря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 Трудности чаще всего возника</w:t>
      </w:r>
      <w:r w:rsidR="006B159B">
        <w:rPr>
          <w:rFonts w:eastAsia="Times New Roman" w:cs="Times New Roman"/>
          <w:color w:val="000000"/>
          <w:szCs w:val="27"/>
          <w:lang w:eastAsia="ru-RU"/>
        </w:rPr>
        <w:t>ю</w:t>
      </w:r>
      <w:r w:rsidRPr="00EA32ED">
        <w:rPr>
          <w:rFonts w:eastAsia="Times New Roman" w:cs="Times New Roman"/>
          <w:color w:val="000000"/>
          <w:szCs w:val="27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(неважно, традиционном или цифровом) является принцип «От простого к сложному».</w:t>
      </w:r>
    </w:p>
    <w:p w:rsidR="00EA32E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A32ED">
        <w:rPr>
          <w:rFonts w:eastAsia="Times New Roman" w:cs="Times New Roman"/>
          <w:color w:val="000000"/>
          <w:szCs w:val="27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обладающий достаточным функционалом как для создания различного рода заданий и указаний, так и для их просмотра, выполнения и ведения статистики с целью отслеживать прогресс обучающегося</w:t>
      </w:r>
      <w:r w:rsidRPr="00EA32ED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EA32ED" w:rsidRPr="00B01E8D" w:rsidRDefault="00EA32ED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>Анализ рынка не показал ни одного схожего по концепции программного продукта</w:t>
      </w:r>
      <w:r w:rsidR="00300CDF">
        <w:rPr>
          <w:rFonts w:eastAsia="Times New Roman" w:cs="Times New Roman"/>
          <w:color w:val="000000"/>
          <w:szCs w:val="27"/>
          <w:lang w:eastAsia="ru-RU"/>
        </w:rPr>
        <w:t>. Так</w:t>
      </w:r>
      <w:r w:rsidRPr="00B01E8D">
        <w:rPr>
          <w:rFonts w:eastAsia="Times New Roman" w:cs="Times New Roman"/>
          <w:color w:val="000000"/>
          <w:szCs w:val="27"/>
          <w:lang w:eastAsia="ru-RU"/>
        </w:rPr>
        <w:t>же следует отметить</w:t>
      </w:r>
      <w:r w:rsidR="00300CDF">
        <w:rPr>
          <w:rFonts w:eastAsia="Times New Roman" w:cs="Times New Roman"/>
          <w:color w:val="000000"/>
          <w:szCs w:val="27"/>
          <w:lang w:eastAsia="ru-RU"/>
        </w:rPr>
        <w:t>,</w:t>
      </w:r>
      <w:r w:rsidRPr="00B01E8D">
        <w:rPr>
          <w:rFonts w:eastAsia="Times New Roman" w:cs="Times New Roman"/>
          <w:color w:val="000000"/>
          <w:szCs w:val="27"/>
          <w:lang w:eastAsia="ru-RU"/>
        </w:rPr>
        <w:t xml:space="preserve"> что данный программный продукт имеет бесплатную модель распространения,</w:t>
      </w:r>
      <w:r w:rsidR="00D217C4" w:rsidRPr="00B01E8D">
        <w:rPr>
          <w:rFonts w:eastAsia="Times New Roman" w:cs="Times New Roman"/>
          <w:color w:val="000000"/>
          <w:szCs w:val="27"/>
          <w:lang w:eastAsia="ru-RU"/>
        </w:rPr>
        <w:t xml:space="preserve"> что выгодно отличает его от аналогов специализированных курсов. Ввиду того, что данный программный продукт </w:t>
      </w:r>
      <w:r w:rsidR="00D217C4" w:rsidRPr="00B01E8D">
        <w:rPr>
          <w:rFonts w:eastAsia="Times New Roman" w:cs="Times New Roman"/>
          <w:color w:val="000000"/>
          <w:szCs w:val="27"/>
          <w:lang w:eastAsia="ru-RU"/>
        </w:rPr>
        <w:lastRenderedPageBreak/>
        <w:t>является мобильной платформой, он приобретает еще одно выгодное преимущество в виде легкодоступности и эргономичности использования.</w:t>
      </w:r>
    </w:p>
    <w:p w:rsidR="004F1AE6" w:rsidRPr="00B01E8D" w:rsidRDefault="004F1AE6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 xml:space="preserve">Объектом исследования работы </w:t>
      </w:r>
      <w:r w:rsidR="00B01E8D" w:rsidRPr="00B01E8D">
        <w:rPr>
          <w:rFonts w:eastAsia="Times New Roman" w:cs="Times New Roman"/>
          <w:color w:val="000000"/>
          <w:szCs w:val="27"/>
          <w:lang w:eastAsia="ru-RU"/>
        </w:rPr>
        <w:t>является</w:t>
      </w:r>
      <w:r w:rsidR="00B01E8D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6B159B">
        <w:rPr>
          <w:rFonts w:eastAsia="Times New Roman" w:cs="Times New Roman"/>
          <w:color w:val="000000"/>
          <w:szCs w:val="27"/>
          <w:lang w:eastAsia="ru-RU"/>
        </w:rPr>
        <w:t>использование информационных систем для обучения различным цифровым дисциплинам и навыкам.</w:t>
      </w:r>
    </w:p>
    <w:p w:rsidR="004F1AE6" w:rsidRPr="00EA32ED" w:rsidRDefault="004F1AE6" w:rsidP="00EA32ED">
      <w:pPr>
        <w:spacing w:before="100" w:beforeAutospacing="1" w:after="100" w:afterAutospacing="1"/>
        <w:ind w:firstLine="432"/>
        <w:jc w:val="left"/>
        <w:rPr>
          <w:rFonts w:eastAsia="Times New Roman" w:cs="Times New Roman"/>
          <w:color w:val="000000"/>
          <w:szCs w:val="27"/>
          <w:lang w:eastAsia="ru-RU"/>
        </w:rPr>
      </w:pPr>
      <w:r w:rsidRPr="00B01E8D">
        <w:rPr>
          <w:rFonts w:eastAsia="Times New Roman" w:cs="Times New Roman"/>
          <w:color w:val="000000"/>
          <w:szCs w:val="27"/>
          <w:lang w:eastAsia="ru-RU"/>
        </w:rPr>
        <w:t>Предметом исследования раб</w:t>
      </w:r>
      <w:r w:rsidR="006B159B">
        <w:rPr>
          <w:rFonts w:eastAsia="Times New Roman" w:cs="Times New Roman"/>
          <w:color w:val="000000"/>
          <w:szCs w:val="27"/>
          <w:lang w:eastAsia="ru-RU"/>
        </w:rPr>
        <w:t>оты является разработка мобильной платформы для обучения цифровому рисунку.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3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3"/>
    </w:p>
    <w:p w:rsidR="00300CDF" w:rsidRDefault="00300CDF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Мобильная платформа должна быть разработана в среде программирования </w:t>
      </w:r>
      <w:r>
        <w:rPr>
          <w:rFonts w:eastAsia="Calibri" w:cs="Times New Roman"/>
          <w:szCs w:val="24"/>
          <w:lang w:val="en-AU"/>
        </w:rPr>
        <w:t>Android</w:t>
      </w:r>
      <w:r w:rsidRPr="00300CD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AU"/>
        </w:rPr>
        <w:t>Studio</w:t>
      </w:r>
      <w:r w:rsidRPr="00300CD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с использованием следующих языков программирования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300CDF" w:rsidRPr="00300CDF" w:rsidRDefault="00300CDF" w:rsidP="00300CDF">
      <w:pPr>
        <w:ind w:left="1069" w:firstLine="0"/>
        <w:rPr>
          <w:szCs w:val="24"/>
        </w:rPr>
      </w:pPr>
    </w:p>
    <w:p w:rsidR="00241BD2" w:rsidRPr="00241BD2" w:rsidRDefault="00241BD2" w:rsidP="00241BD2"/>
    <w:p w:rsidR="006611A8" w:rsidRDefault="00723B7C" w:rsidP="00CA2B47">
      <w:pPr>
        <w:pStyle w:val="1"/>
      </w:pPr>
      <w:bookmarkStart w:id="4" w:name="_Toc70519049"/>
      <w:r w:rsidRPr="003E750C">
        <w:lastRenderedPageBreak/>
        <w:t>Проектирование интерфейса приложения</w:t>
      </w:r>
      <w:bookmarkEnd w:id="4"/>
    </w:p>
    <w:p w:rsidR="00DF18E3" w:rsidRPr="001B5BDA" w:rsidRDefault="00723B7C" w:rsidP="0012576E">
      <w:pPr>
        <w:pStyle w:val="2"/>
      </w:pPr>
      <w:bookmarkStart w:id="5" w:name="_Toc70519050"/>
      <w:r w:rsidRPr="00723B7C">
        <w:t>Анализ и уточнение требований к программному продукту</w:t>
      </w:r>
      <w:bookmarkEnd w:id="5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6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6"/>
    </w:p>
    <w:p w:rsidR="002C3176" w:rsidRDefault="002C3176" w:rsidP="002703BE"/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FC5B59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10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0"/>
          <w:headerReference w:type="first" r:id="rId11"/>
          <w:footerReference w:type="first" r:id="rId1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3"/>
          <w:footerReference w:type="default" r:id="rId14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17"/>
      <w:footerReference w:type="default" r:id="rId18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DA" w:rsidRDefault="009402DA" w:rsidP="00DD4ECD">
      <w:pPr>
        <w:spacing w:line="240" w:lineRule="auto"/>
      </w:pPr>
      <w:r>
        <w:separator/>
      </w:r>
    </w:p>
  </w:endnote>
  <w:endnote w:type="continuationSeparator" w:id="0">
    <w:p w:rsidR="009402DA" w:rsidRDefault="009402D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DA" w:rsidRDefault="009402DA" w:rsidP="00DD4ECD">
      <w:pPr>
        <w:spacing w:line="240" w:lineRule="auto"/>
      </w:pPr>
      <w:r>
        <w:separator/>
      </w:r>
    </w:p>
  </w:footnote>
  <w:footnote w:type="continuationSeparator" w:id="0">
    <w:p w:rsidR="009402DA" w:rsidRDefault="009402D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8254B4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9402D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8254B4" w:rsidRPr="008254B4">
                          <w:rPr>
                            <w:noProof/>
                            <w:sz w:val="18"/>
                            <w:lang w:val="ru-RU"/>
                          </w:rPr>
                          <w:t>15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254B4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254B4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8254B4">
                      <w:rPr>
                        <w:noProof/>
                        <w:sz w:val="18"/>
                        <w:lang w:val="ru-RU"/>
                      </w:rPr>
                      <w:t>14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9402D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8254B4" w:rsidRPr="008254B4">
                      <w:rPr>
                        <w:noProof/>
                        <w:sz w:val="18"/>
                        <w:lang w:val="ru-RU"/>
                      </w:rPr>
                      <w:t>15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9402DA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254B4">
                          <w:rPr>
                            <w:i w:val="0"/>
                            <w:noProof/>
                            <w:lang w:val="ru-RU"/>
                          </w:rPr>
                          <w:t>15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9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5"/>
  </w:num>
  <w:num w:numId="29">
    <w:abstractNumId w:val="3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0CDF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60B6"/>
    <w:rsid w:val="00690A5E"/>
    <w:rsid w:val="006B159B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254B4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4F40B81E"/>
  <w15:docId w15:val="{C18DA314-AA1D-4C4C-84BA-EF1A67F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EB96-F197-4AA8-B086-FEDD33FC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10</cp:revision>
  <cp:lastPrinted>2019-12-10T09:27:00Z</cp:lastPrinted>
  <dcterms:created xsi:type="dcterms:W3CDTF">2021-04-09T08:06:00Z</dcterms:created>
  <dcterms:modified xsi:type="dcterms:W3CDTF">2021-05-11T06:23:00Z</dcterms:modified>
</cp:coreProperties>
</file>