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6"/>
        </w:rPr>
        <w:t>说明书摘要全文替换页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6973"/>
      </w:tblGrid>
      <w:tr>
        <w:tc>
          <w:tcPr>
            <w:tcW w:type="dxa" w:w="470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申请号</w:t>
            </w:r>
          </w:p>
        </w:tc>
        <w:tc>
          <w:tcPr>
            <w:tcW w:type="dxa" w:w="47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2026109280496</w:t>
            </w:r>
          </w:p>
        </w:tc>
      </w:tr>
      <w:tr>
        <w:tc>
          <w:tcPr>
            <w:tcW w:type="dxa" w:w="470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发明名称</w:t>
            </w:r>
          </w:p>
        </w:tc>
        <w:tc>
          <w:tcPr>
            <w:tcW w:type="dxa" w:w="47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一种基于AI工作流的影视前期制作方法及系统</w:t>
            </w:r>
          </w:p>
        </w:tc>
      </w:tr>
    </w:tbl>
    <w:p/>
    <w:p>
      <w:pPr>
        <w:spacing w:line="384" w:lineRule="auto"/>
        <w:ind w:firstLine="480"/>
        <w:jc w:val="both"/>
      </w:pPr>
      <w:r>
        <w:t>本发明涉及计算机软件技术领域，公开一种基于AI工作流的影视前期制作方法及系统。接收元构思并生成多个创意方向，对各方向进行原内容保留度和优秀程度评估，根据选定改进方向生成新版本；基于选定创意生成幕结构并按幕生成含幕号、场景、运镜、时长和角色信息的分镜数据，响应拖拽操作保存分镜顺序；按照该顺序读取视频片段并计算总时长，根据幕情绪和故事梗概生成背景音乐，生成失败时切换备用模型或生成静音音轨，将音乐裁剪至总时长后与视频原声混音并拼接片段；片段生成失败时，以首帧或参考图生成缓慢缩放替代片段。本发明用于短视频、广告、电影及影视教学的前期制作。</w:t>
      </w:r>
    </w:p>
    <w:p>
      <w:pPr>
        <w:jc w:val="right"/>
      </w:pPr>
      <w:r>
        <w:rPr>
          <w:sz w:val="21"/>
        </w:rPr>
        <w:t>摘要正文共268字</w:t>
      </w:r>
    </w:p>
    <w:sectPr w:rsidR="00FC693F" w:rsidRPr="0006063C" w:rsidSect="00034616"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