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说明书摘要修改对照页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6973"/>
      </w:tblGrid>
      <w:tr>
        <w:tc>
          <w:tcPr>
            <w:tcW w:type="dxa" w:w="707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申请号</w:t>
            </w:r>
          </w:p>
        </w:tc>
        <w:tc>
          <w:tcPr>
            <w:tcW w:type="dxa" w:w="70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2026109280496</w:t>
            </w:r>
          </w:p>
        </w:tc>
      </w:tr>
      <w:tr>
        <w:tc>
          <w:tcPr>
            <w:tcW w:type="dxa" w:w="707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发明名称</w:t>
            </w:r>
          </w:p>
        </w:tc>
        <w:tc>
          <w:tcPr>
            <w:tcW w:type="dxa" w:w="70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一种基于AI工作流的影视前期制作方法及系统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6576"/>
        <w:gridCol w:w="6576"/>
      </w:tblGrid>
      <w:tr>
        <w:tc>
          <w:tcPr>
            <w:tcW w:type="dxa" w:w="4713"/>
            <w:shd w:fill="1F4E78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713"/>
            <w:shd w:fill="1F4E78"/>
          </w:tcPr>
          <w:p>
            <w:r>
              <w:rPr>
                <w:b/>
                <w:color w:val="FFFFFF"/>
              </w:rPr>
              <w:t>原摘要</w:t>
            </w:r>
          </w:p>
        </w:tc>
        <w:tc>
          <w:tcPr>
            <w:tcW w:type="dxa" w:w="4713"/>
            <w:shd w:fill="1F4E78"/>
          </w:tcPr>
          <w:p>
            <w:r>
              <w:rPr>
                <w:b/>
                <w:color w:val="FFFFFF"/>
              </w:rPr>
              <w:t>修改后摘要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sz w:val="19"/>
              </w:rPr>
              <w:t>正文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sz w:val="19"/>
              </w:rPr>
              <w:t>本发明公开了一种基于AI工作流的影视前期制作方法及系统。系统通过条件解锁DAG状态机引擎将影视前期流程抽象为9个顺序工作流步骤。在创意扩散步骤中，系统对AI生成的创意方向进行原内容保留度与优秀程度双维度评分，指出核心顾虑并生成改进选项，用户选择后注入新一轮生成提示词形成迭代闭环。在分镜设计步骤中，系统定义包含幕号、场景名、运镜方式、时长等影视专用字段的Shot数据结构，按幕结构动态生成分镜，并通过拖拽交互改变叙事顺序，表格视图与画布视图共享同一数据源。在视频合成步骤中，系统按分镜时间轴排序读取片段，根据幕情绪与故事梗概生成BGM，通过三级降级链与Ken Burns兜底机制确保管线鲁棒性，最终通过amix混音与concat拼接输出完整视频。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sz w:val="19"/>
              </w:rPr>
              <w:t>本发明涉及计算机软件技术领域，公开一种基于AI工作流的影视前期制作方法及系统。接收元构思并生成多个创意方向，对各方向进行原内容保留度和优秀程度评估，根据选定改进方向生成新版本；基于选定创意生成幕结构并按幕生成含幕号、场景、运镜、时长和角色信息的分镜数据，响应拖拽操作保存分镜顺序；按照该顺序读取视频片段并计算总时长，根据幕情绪和故事梗概生成背景音乐，生成失败时切换备用模型或生成静音音轨，将音乐裁剪至总时长后与视频原声混音并拼接片段；片段生成失败时，以首帧或参考图生成缓慢缩放替代片段。本发明用于短视频、广告、电影及影视教学的前期制作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line="240" w:lineRule="auto" w:after="0"/>
            </w:pPr>
            <w:r>
              <w:rPr>
                <w:sz w:val="19"/>
              </w:rPr>
              <w:t>字数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line="240" w:lineRule="auto" w:after="0"/>
            </w:pPr>
            <w:r>
              <w:rPr>
                <w:sz w:val="19"/>
              </w:rPr>
              <w:t>322字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line="240" w:lineRule="auto" w:after="0"/>
            </w:pPr>
            <w:r>
              <w:rPr>
                <w:sz w:val="19"/>
              </w:rPr>
              <w:t>268字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sz w:val="19"/>
              </w:rPr>
              <w:t>修改说明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sz w:val="19"/>
              </w:rPr>
              <w:t>包含较多流程说明和英文实现名称。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sz w:val="19"/>
              </w:rPr>
              <w:t>压缩重复内容，保留技术领域、主要技术方案和用途；未增加原申请未记载的内容。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line="240" w:lineRule="auto" w:after="0"/>
            </w:pPr>
            <w:r>
              <w:rPr>
                <w:sz w:val="19"/>
              </w:rPr>
              <w:t>摘要附图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line="240" w:lineRule="auto" w:after="0"/>
            </w:pPr>
            <w:r>
              <w:rPr>
                <w:sz w:val="19"/>
              </w:rPr>
              <w:t>未指定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A"/>
          </w:tcPr>
          <w:p>
            <w:pPr>
              <w:spacing w:line="240" w:lineRule="auto" w:after="0"/>
            </w:pPr>
            <w:r>
              <w:rPr>
                <w:sz w:val="19"/>
              </w:rPr>
              <w:t>指定原说明书附图图3</w:t>
            </w:r>
          </w:p>
        </w:tc>
      </w:tr>
    </w:tbl>
    <w:p>
      <w:r>
        <w:t>原始依据：原说明书第[0001]、[0003]、[0005]至[0009]段及原说明书附图图3。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