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Практическая работа №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«Составление калькуляции и сметы затрат на разработку программного продукта»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Цель практической работы: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выработать практические навыки в области составления калькуляции и сметы затрат на разработку программного продукта; закрепить теоретические знания, выработать умения и навыки через выполнение заданий.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Калькуляция (от лат. calculatio — счет, подсчет) — расчет полной себестоимости единицы продукции (работы, услуги) или предприятия в целом за определенный период.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Смета затрат — полная сводка затрат на производство продукции, выполнение работ, оказание услуг, капиталовложений.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составлении сметы затрат на производство продукции используется группировка затрат по экономическим элементам, которая включает пять основных групп расходов: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1) материальные затраты.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2) затраты на оплату труда.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3) отчисления на социальные нужды.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4) амортизация основных фондов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5) прочие затраты.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540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Задание: Определить полную себестоимость программного продукта: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54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определить сотрудников компании из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вашего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штатного расписания, которые будут участвовать в разработке программного продукта.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left="540" w:firstLine="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рассчитать затраты на разработку программного продукта.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4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рассчитать себестоимость программного продукта.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851"/>
        <w:jc w:val="both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Затраты на разработку программного продукта рассчитываются по следующей формуле: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РПП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= 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ФОТР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ОВФ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ЭВМ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СПП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ХОН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+Р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Н,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ab/>
        <w:tab/>
        <w:t xml:space="preserve">(1)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4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ФОТР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общий фонд оплаты труда разработчиков ПП;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ОВФ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начисления на заработную плату разработчиков ПП во внебюджетные фонды (страховые взносы);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ЭВМ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– затраты, связанные с эксплуатацией техники;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СПП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затраты на специальные программные продукты, необходимые для разработки ПП;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ХОН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затраты на хозяйственно-операционные нужды (бумага, литература, носители информации и т.п.);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firstLine="0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Р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Н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накладные расходы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Р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Н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=30% от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ФОТР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разработке программного продукта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(название программного продукта)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общее время разработки составило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3,5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месяца. Из них машинное время (непосредственная работа с вычислительной и оргтехникой) составляет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2,5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мес.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1.1 Фонд оплаты труда за время работы над программным продуктом: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988820" cy="533400"/>
            <wp:effectExtent b="0" l="0" r="0" t="0"/>
            <wp:docPr id="4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ab/>
        <w:tab/>
        <w:t xml:space="preserve">(2)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40" w:hanging="540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О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Рj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оклад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j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-го разработчика.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Таблица 1 – Сотрудники, участвовавшие в разработке.</w:t>
      </w:r>
    </w:p>
    <w:tbl>
      <w:tblPr>
        <w:tblStyle w:val="Table1"/>
        <w:tblW w:w="9007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1"/>
        <w:gridCol w:w="2127"/>
        <w:gridCol w:w="1559"/>
        <w:gridCol w:w="1878"/>
        <w:gridCol w:w="1512"/>
        <w:tblGridChange w:id="0">
          <w:tblGrid>
            <w:gridCol w:w="1931"/>
            <w:gridCol w:w="2127"/>
            <w:gridCol w:w="1559"/>
            <w:gridCol w:w="1878"/>
            <w:gridCol w:w="15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Должность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Оклад+надбавки, руб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Количество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Время работы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ФОТР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Разработчик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3,5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10 500</w:t>
            </w:r>
          </w:p>
        </w:tc>
      </w:tr>
      <w:tr>
        <w:trPr>
          <w:cantSplit w:val="1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10 500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426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220980" cy="251459"/>
            <wp:effectExtent b="0" l="0" r="0" t="0"/>
            <wp:docPr id="4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5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коэффициент дополнительной зарплаты, </w:t>
      </w: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662940" cy="281940"/>
            <wp:effectExtent b="0" l="0" r="0" t="0"/>
            <wp:docPr id="4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2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Таким образом,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ФОТР</m:t>
            </m:r>
          </m:sub>
        </m:sSub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=10 500⋅(1+0,1)⋅=11550</m:t>
        </m:r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руб.</w:t>
      </w:r>
    </w:p>
    <w:p w:rsidR="00000000" w:rsidDel="00000000" w:rsidP="00000000" w:rsidRDefault="00000000" w:rsidRPr="00000000" w14:paraId="0000003A">
      <w:pPr>
        <w:spacing w:line="360" w:lineRule="auto"/>
        <w:ind w:left="54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540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В разработке участвовал 1 человек, его оклад составляет 10 500 руб.;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1.2 Отчисления во внебюджетные фонды (страховые взносы).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Страховые взносы — это </w:t>
      </w:r>
      <w:r w:rsidDel="00000000" w:rsidR="00000000" w:rsidRPr="00000000">
        <w:rPr>
          <w:sz w:val="28"/>
          <w:szCs w:val="28"/>
          <w:rtl w:val="0"/>
        </w:rPr>
        <w:t xml:space="preserve">обязательные платежи на пенсионное, медицинское и социальное страхование, а также на травматизм и профзаболевания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. Страховые взносы перечисляют за работников по трудовым договорам и за некоторые категории исполнителей по ГПХ.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Новый порядок учета начислений и платежей по налогам и страховым взносам был введен с 2023 года.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 2023 году всем налогоплательщикам открыт ЕНС —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единый налоговый счет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. Это новый способ учета начисленных и уплаченных налогов и взносов. 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роизошла оптимизация тарифов страховых взносов. Если ранее компании и ИП считали страховые взносы отдельно по каждому виду страхования, то с 2023 года действует единый тариф.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2025 года вступили в силу новые положения статьи 427 НК РФ, которые устанавливают новые правила применения пониженных тарифов страховых взносов для ИТ-компаний и организаций сферы радиоэлектронной промышленности.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Соответствующий Федеральный закон от 29.11.2024 № 416-ФЗ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опубликован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Официальном интернет-портале правовой информации.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новым правилам российские организации, осуществляющие деятельность в области информационных технологий, и организации сферы радиоэлектронной промышленности, которые включены в специальный реестр, будут платить страховые взносы по единому пониженному тарифу 7,6% со всех выплат, начисленных работникам.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4.78555143083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16.664276252523"/>
        <w:gridCol w:w="1569.0000000000005"/>
        <w:gridCol w:w="1520.9999999999995"/>
        <w:gridCol w:w="1658.1212751783141"/>
        <w:tblGridChange w:id="0">
          <w:tblGrid>
            <w:gridCol w:w="4616.664276252523"/>
            <w:gridCol w:w="1569.0000000000005"/>
            <w:gridCol w:w="1520.9999999999995"/>
            <w:gridCol w:w="1658.121275178314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Взносы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IT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IT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остальных компаний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Обязательное пенсионное страхование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Взносы на случай временной нетрудоспособности и в связи с материнством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1,5%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5,1%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2,9%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Обязательное медицинское страхование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2,9%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5,1%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7,6%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30%</w:t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Пояснение: работодатели платят за своих сотрудников страховые взносы по единому тарифу — 30% до предельной базы и 15,1% — свыше нее.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346.66666666666663" w:lineRule="auto"/>
        <w:ind w:firstLine="720"/>
        <w:jc w:val="both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С 2026 года страховые взносы для ИТ-компаний планируют повысить. </w:t>
      </w:r>
      <w:hyperlink r:id="rId11">
        <w:r w:rsidDel="00000000" w:rsidR="00000000" w:rsidRPr="00000000">
          <w:rPr>
            <w:color w:val="366af3"/>
            <w:sz w:val="28"/>
            <w:szCs w:val="28"/>
            <w:rtl w:val="0"/>
          </w:rPr>
          <w:t xml:space="preserve">Законопроект № 1026190-8</w:t>
        </w:r>
      </w:hyperlink>
      <w:r w:rsidDel="00000000" w:rsidR="00000000" w:rsidRPr="00000000">
        <w:rPr>
          <w:color w:val="222222"/>
          <w:sz w:val="28"/>
          <w:szCs w:val="28"/>
          <w:rtl w:val="0"/>
        </w:rPr>
        <w:t xml:space="preserve"> увеличит ставку с 7,6% до 15% на выплаты в пределах базы — 2 979 392 ₽ в год. С сумм сверх этого порога сохранят ставку 7,6%.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line="346.66666666666663" w:lineRule="auto"/>
        <w:ind w:firstLine="720"/>
        <w:jc w:val="both"/>
        <w:rPr>
          <w:color w:val="222222"/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rtl w:val="0"/>
        </w:rPr>
        <w:t xml:space="preserve">Для большинства сотрудников нагрузка вырастет почти вдвое. Это повысит расходы на персонал и сделает дороже найм джуниоров и мидлов, чей годовой заработок ниже порогового значения.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Какой бизнес попадает под льготы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ИТ-компаниям относятся те, кто занимается аппаратным и программным обеспечением компьютерной техники и работает в смежных областях. Но закон не приемлет размытых формулировок и дает более точные характеристики, по которым можно определить, положены компании льготы или нет.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получения льгот у компании должен быть статус юридического лица. Это значит, что ИП и их сотрудники не подходят.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Необходима аккредитация. Чтобы ее получить, нужно отправить заявление в Министерство цифрового развития, связи и массовых коммуникаций РФ.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Необходимо наличие определенных кодов ОКВЭД в выписке Единого государственного реестра: 62.01, 62.02, 62.02.1, 62.02.4, 62.03.13, 62.09, 63.11.1. 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Доля профильной выручки должна составлять не менее 70%. К ней относятся доходы от разработки и продажи своего ПО или электроники.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Подробнее о требованиях можно прочесть в пункте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1.15 ст. 284 Налогового кодекса РФ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 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Получить льготы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не могут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высокорентабельные компании, связанные с IT-отраслью, например операторы связи, сервисы такси и доставки еды, различные финансовые организации.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16"/>
          <w:szCs w:val="16"/>
          <w:rtl w:val="0"/>
        </w:rPr>
        <w:t xml:space="preserve">ОВФ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=0,3 * </w:t>
      </w: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16"/>
          <w:szCs w:val="16"/>
          <w:rtl w:val="0"/>
        </w:rPr>
        <w:t xml:space="preserve">ФОТР </w:t>
      </w: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,</w:t>
        <w:tab/>
        <w:tab/>
        <w:tab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(3)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ab/>
        <w:tab/>
        <w:tab/>
      </w: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З</w:t>
      </w:r>
      <w:r w:rsidDel="00000000" w:rsidR="00000000" w:rsidRPr="00000000">
        <w:rPr>
          <w:i w:val="1"/>
          <w:iCs w:val="1"/>
          <w:color w:val="000000"/>
          <w:sz w:val="16"/>
          <w:szCs w:val="16"/>
          <w:rtl w:val="0"/>
        </w:rPr>
        <w:t xml:space="preserve">ОВФ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= 0,3*11550 =3465 руб.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1.3 Затраты, связанные с использованием вычислительной и оргтехники: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912620" cy="31242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312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ab/>
        <w:t xml:space="preserve">(4)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</w:t>
      </w: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205740" cy="205740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– коэффициент готовности ЭВМ, </w:t>
      </w: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662940" cy="228600"/>
            <wp:effectExtent b="0" l="0" r="0" t="0"/>
            <wp:docPr id="4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4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количество единиц техники, равно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1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40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480060" cy="236220"/>
            <wp:effectExtent b="0" l="0" r="0" t="0"/>
            <wp:docPr id="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себестоимость машиночаса, </w:t>
      </w: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708660" cy="259080"/>
            <wp:effectExtent b="0" l="0" r="0" t="0"/>
            <wp:docPr id="4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руб.;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1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373380" cy="205740"/>
            <wp:effectExtent b="0" l="0" r="0" t="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" cy="20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машинное время работы над программным продуктом, равно 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2,5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мес.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Перевод рабочего времени в часы осуществляется по формуле: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03"/>
        </w:tabs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color w:val="000000"/>
          <w:sz w:val="36"/>
          <w:szCs w:val="36"/>
          <w:vertAlign w:val="subscript"/>
        </w:rPr>
        <w:drawing>
          <wp:inline distB="0" distT="0" distL="114300" distR="114300">
            <wp:extent cx="2087879" cy="281940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7879" cy="281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(5)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Т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час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рабочее время, ч;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7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Т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мес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рабочее время, мес.,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Т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мес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=</w:t>
      </w: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2,5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7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Ч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РД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число рабочих дней,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Ч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РД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= 22);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7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Т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см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продолжительность рабочей смены,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Т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см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= 8 ч);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567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К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см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количество рабочих смен, (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К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см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 = 1).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Таким образом, время на разработку ПП с использованием ЭВМ составляет: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935479" cy="259080"/>
            <wp:effectExtent b="0" l="0" r="0" t="0"/>
            <wp:docPr id="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5479" cy="259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час.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З</w:t>
      </w:r>
      <w:r w:rsidDel="00000000" w:rsidR="00000000" w:rsidRPr="00000000">
        <w:rPr>
          <w:color w:val="000000"/>
          <w:sz w:val="32"/>
          <w:szCs w:val="32"/>
          <w:rtl w:val="0"/>
        </w:rPr>
        <w:t xml:space="preserve">эвм = 440*0,95*1*31 = 12 958 руб.</w:t>
      </w:r>
    </w:p>
    <w:p w:rsidR="00000000" w:rsidDel="00000000" w:rsidP="00000000" w:rsidRDefault="00000000" w:rsidRPr="00000000" w14:paraId="00000078">
      <w:pPr>
        <w:rPr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68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1.4 Затраты на специальные программные продукты, необходимые для разработки ПП рассчитываются по формуле: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36"/>
          <w:szCs w:val="36"/>
          <w:vertAlign w:val="subscript"/>
        </w:rPr>
        <w:drawing>
          <wp:inline distB="0" distT="0" distL="114300" distR="114300">
            <wp:extent cx="1135380" cy="579120"/>
            <wp:effectExtent b="0" l="0" r="0" t="0"/>
            <wp:docPr id="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579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ab/>
        <w:tab/>
        <w:t xml:space="preserve">(6)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Ц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ρ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цена ρ-го специального программного продукта.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Перечень программных продуктов специального назначения приведен в табл. 3.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42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Таблица 3 - Программные продукты специального назначения</w:t>
      </w:r>
    </w:p>
    <w:tbl>
      <w:tblPr>
        <w:tblStyle w:val="Table3"/>
        <w:tblW w:w="9571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9"/>
        <w:gridCol w:w="5343"/>
        <w:gridCol w:w="3289"/>
        <w:tblGridChange w:id="0">
          <w:tblGrid>
            <w:gridCol w:w="939"/>
            <w:gridCol w:w="5343"/>
            <w:gridCol w:w="3289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№п/п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Название ПП</w:t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Цена, руб.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40"/>
                <w:szCs w:val="40"/>
                <w:vertAlign w:val="subscript"/>
              </w:rPr>
              <w:drawing>
                <wp:inline distB="0" distT="0" distL="114300" distR="114300">
                  <wp:extent cx="1059180" cy="198120"/>
                  <wp:effectExtent b="0" l="0" r="0" t="0"/>
                  <wp:docPr id="5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180" cy="198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1000</w:t>
            </w:r>
          </w:p>
        </w:tc>
      </w:tr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righ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68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68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36"/>
          <w:szCs w:val="36"/>
          <w:vertAlign w:val="subscript"/>
        </w:rPr>
        <w:drawing>
          <wp:inline distB="0" distT="0" distL="114300" distR="114300">
            <wp:extent cx="1074420" cy="251459"/>
            <wp:effectExtent b="0" l="0" r="0" t="0"/>
            <wp:docPr id="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25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рублей.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696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1.5 Затраты на хозяйственно-организационные нужды (материальные затраты) приведены в табл. 3 и вычисляются по формуле: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819"/>
          <w:tab w:val="left" w:leader="none" w:pos="8850"/>
        </w:tabs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394460" cy="510540"/>
            <wp:effectExtent b="0" l="0" r="0" t="0"/>
            <wp:docPr id="5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510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 xml:space="preserve">(7)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где </w:t>
      </w: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Ц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τ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цена τ-го товара, руб.;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i w:val="1"/>
          <w:iCs w:val="1"/>
          <w:color w:val="000000"/>
          <w:sz w:val="28"/>
          <w:szCs w:val="28"/>
          <w:rtl w:val="0"/>
        </w:rPr>
        <w:t xml:space="preserve">К</w:t>
      </w:r>
      <w:r w:rsidDel="00000000" w:rsidR="00000000" w:rsidRPr="00000000">
        <w:rPr>
          <w:i w:val="1"/>
          <w:iCs w:val="1"/>
          <w:color w:val="000000"/>
          <w:sz w:val="28"/>
          <w:szCs w:val="28"/>
          <w:vertAlign w:val="subscript"/>
          <w:rtl w:val="0"/>
        </w:rPr>
        <w:t xml:space="preserve">τ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– количество τ-го товара.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426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Таблица 4 - Затраты на хозяйственно-организационные нужды</w:t>
      </w:r>
    </w:p>
    <w:tbl>
      <w:tblPr>
        <w:tblStyle w:val="Table4"/>
        <w:tblW w:w="9493.0" w:type="dxa"/>
        <w:jc w:val="left"/>
        <w:tblInd w:w="16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1"/>
        <w:gridCol w:w="2977"/>
        <w:gridCol w:w="1843"/>
        <w:gridCol w:w="1842"/>
        <w:tblGridChange w:id="0">
          <w:tblGrid>
            <w:gridCol w:w="2831"/>
            <w:gridCol w:w="2977"/>
            <w:gridCol w:w="1843"/>
            <w:gridCol w:w="1842"/>
          </w:tblGrid>
        </w:tblGridChange>
      </w:tblGrid>
      <w:tr>
        <w:trPr>
          <w:cantSplit w:val="1"/>
          <w:trHeight w:val="226" w:hRule="atLeast"/>
          <w:tblHeader w:val="1"/>
        </w:trPr>
        <w:tc>
          <w:tcPr/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Цена за единицу (руб.)</w:t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Кол-во (шт.)</w:t>
            </w:r>
          </w:p>
        </w:tc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Всего (руб.)</w:t>
            </w:r>
          </w:p>
        </w:tc>
      </w:tr>
      <w:tr>
        <w:trPr>
          <w:cantSplit w:val="1"/>
          <w:trHeight w:val="24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Диск CD-RW Digitex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1"/>
          <w:trHeight w:val="298" w:hRule="atLeast"/>
          <w:tblHeader w:val="1"/>
        </w:trPr>
        <w:tc>
          <w:tcPr/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Бумага</w:t>
            </w:r>
          </w:p>
        </w:tc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0,5</w:t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110</w:t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55</w:t>
            </w:r>
          </w:p>
        </w:tc>
      </w:tr>
      <w:tr>
        <w:trPr>
          <w:cantSplit w:val="1"/>
          <w:trHeight w:val="350" w:hRule="atLeast"/>
          <w:tblHeader w:val="1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Итого</w:t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760220" cy="228600"/>
            <wp:effectExtent b="0" l="0" r="0" t="0"/>
            <wp:docPr id="5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руб.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6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1.6 Накладные расходы: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819"/>
          <w:tab w:val="left" w:leader="none" w:pos="8910"/>
        </w:tabs>
        <w:spacing w:line="36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5)   </w:t>
      </w: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524000" cy="274320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7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 xml:space="preserve">(8)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46"/>
          <w:szCs w:val="46"/>
          <w:vertAlign w:val="subscript"/>
        </w:rPr>
        <w:drawing>
          <wp:inline distB="0" distT="0" distL="114300" distR="114300">
            <wp:extent cx="1821179" cy="251459"/>
            <wp:effectExtent b="0" l="0" r="0" t="0"/>
            <wp:docPr id="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1179" cy="251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руб.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44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Таким образом, затраты на разработку программного продукта составят: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44"/>
        <w:jc w:val="both"/>
        <w:rPr>
          <w:b w:val="1"/>
          <w:bCs w:val="1"/>
          <w:i w:val="1"/>
          <w:i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РПП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= 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ФОТР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ОВФ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ЭВМ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СПП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+З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6"/>
          <w:szCs w:val="16"/>
          <w:rtl w:val="0"/>
        </w:rPr>
        <w:t xml:space="preserve">ХОН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+Р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18"/>
          <w:szCs w:val="18"/>
          <w:rtl w:val="0"/>
        </w:rPr>
        <w:t xml:space="preserve">Н, =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44"/>
        <w:jc w:val="both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= 11550+3465+12958+1000+80+3465 = 32 518 руб.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ab/>
        <w:t xml:space="preserve">2.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Затраты структурного подразделения: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амортизация зданий;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амортизация оборудования;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расходы на содержание и эксплуатацию оборудования;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дополнительная заработная плата разработчиков;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электроэнергия;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заработная плата аппарата управления;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заработная плата обслуживающего персонала;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432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оплата коммунальных услуг;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43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- содержание и обслуживание технических средств управления;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Данные затраты по статистики составляют 30% от основной заработной платы разработчиков: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СП</m:t>
            </m:r>
          </m:sub>
        </m:sSub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=0,30⋅</m:t>
        </m:r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ФОТР</m:t>
            </m:r>
          </m:sub>
        </m:sSub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ab/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9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СП</m:t>
            </m:r>
          </m:sub>
        </m:sSub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=0,30⋅11550</m:t>
        </m:r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 = 3465 руб.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Коммерческие расходы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по статистики составляют 5-10% от основной заработной платы разработчиков: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КР</m:t>
            </m:r>
          </m:sub>
        </m:sSub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=0,10⋅</m:t>
        </m:r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ФОТР</m:t>
            </m:r>
          </m:sub>
        </m:sSub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,</w:t>
        <w:tab/>
        <w:tab/>
        <w:t xml:space="preserve">(</w:t>
      </w:r>
      <w:r w:rsidDel="00000000" w:rsidR="00000000" w:rsidRPr="00000000">
        <w:rPr>
          <w:sz w:val="28"/>
          <w:szCs w:val="28"/>
          <w:rtl w:val="0"/>
        </w:rPr>
        <w:t xml:space="preserve">10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З</m:t>
            </m:r>
          </m:e>
          <m:sub>
            <m:r>
              <w:rPr>
                <w:rFonts w:ascii="Cambria Math" w:cs="Cambria Math" w:eastAsia="Cambria Math" w:hAnsi="Cambria Math"/>
                <w:color w:val="000000"/>
                <w:sz w:val="28"/>
                <w:szCs w:val="28"/>
              </w:rPr>
              <m:t xml:space="preserve">КР</m:t>
            </m:r>
          </m:sub>
        </m:sSub>
        <m:r>
          <w:rPr>
            <w:rFonts w:ascii="Cambria Math" w:cs="Cambria Math" w:eastAsia="Cambria Math" w:hAnsi="Cambria Math"/>
            <w:color w:val="000000"/>
            <w:sz w:val="28"/>
            <w:szCs w:val="28"/>
          </w:rPr>
          <m:t xml:space="preserve">=0,10⋅11550</m:t>
        </m:r>
      </m:oMath>
      <w:r w:rsidDel="00000000" w:rsidR="00000000" w:rsidRPr="00000000">
        <w:rPr>
          <w:color w:val="000000"/>
          <w:sz w:val="28"/>
          <w:szCs w:val="28"/>
          <w:rtl w:val="0"/>
        </w:rPr>
        <w:t xml:space="preserve"> = 1155 руб.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360" w:lineRule="auto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Результаты расчетов представим в таблице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Таблица 5 – Калькуляция себестоимости программного продукта</w:t>
      </w:r>
    </w:p>
    <w:tbl>
      <w:tblPr>
        <w:tblStyle w:val="Table5"/>
        <w:tblW w:w="6559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1"/>
        <w:gridCol w:w="4172"/>
        <w:gridCol w:w="1226"/>
        <w:tblGridChange w:id="0">
          <w:tblGrid>
            <w:gridCol w:w="1161"/>
            <w:gridCol w:w="4172"/>
            <w:gridCol w:w="122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№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Статьи калькуляции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Разработка программного продукта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Затраты структурного подразделения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Коммерческие расходы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720" w:hanging="36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Полная себестоимость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bCs w:val="1"/>
          <w:color w:val="ff0000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Вывод:</w:t>
      </w:r>
    </w:p>
    <w:sectPr>
      <w:pgSz w:h="16838" w:w="11906" w:orient="portrait"/>
      <w:pgMar w:bottom="993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aa">
    <w:name w:val="Normal (Web)"/>
    <w:basedOn w:val="a"/>
    <w:uiPriority w:val="99"/>
    <w:semiHidden w:val="1"/>
    <w:unhideWhenUsed w:val="1"/>
    <w:rsid w:val="00807581"/>
    <w:pPr>
      <w:spacing w:after="100" w:afterAutospacing="1" w:before="100" w:beforeAutospacing="1"/>
    </w:pPr>
    <w:rPr>
      <w:sz w:val="24"/>
      <w:szCs w:val="24"/>
    </w:rPr>
  </w:style>
  <w:style w:type="character" w:styleId="ab">
    <w:name w:val="Emphasis"/>
    <w:basedOn w:val="a0"/>
    <w:uiPriority w:val="20"/>
    <w:qFormat w:val="1"/>
    <w:rsid w:val="00807581"/>
    <w:rPr>
      <w:i w:val="1"/>
      <w:iCs w:val="1"/>
    </w:rPr>
  </w:style>
  <w:style w:type="paragraph" w:styleId="stb-download-captionbox" w:customStyle="1">
    <w:name w:val="stb-download-caption_box"/>
    <w:basedOn w:val="a"/>
    <w:rsid w:val="00807581"/>
    <w:pPr>
      <w:spacing w:after="100" w:afterAutospacing="1" w:before="100" w:beforeAutospacing="1"/>
    </w:pPr>
    <w:rPr>
      <w:sz w:val="24"/>
      <w:szCs w:val="24"/>
    </w:rPr>
  </w:style>
  <w:style w:type="character" w:styleId="ac">
    <w:name w:val="Strong"/>
    <w:basedOn w:val="a0"/>
    <w:uiPriority w:val="22"/>
    <w:qFormat w:val="1"/>
    <w:rsid w:val="00807581"/>
    <w:rPr>
      <w:b w:val="1"/>
      <w:bCs w:val="1"/>
    </w:rPr>
  </w:style>
  <w:style w:type="character" w:styleId="ad">
    <w:name w:val="Hyperlink"/>
    <w:basedOn w:val="a0"/>
    <w:uiPriority w:val="99"/>
    <w:semiHidden w:val="1"/>
    <w:unhideWhenUsed w:val="1"/>
    <w:rsid w:val="00807581"/>
    <w:rPr>
      <w:color w:val="0000ff"/>
      <w:u w:val="single"/>
    </w:rPr>
  </w:style>
  <w:style w:type="paragraph" w:styleId="stb-custom-captionbox" w:customStyle="1">
    <w:name w:val="stb-custom-caption_box"/>
    <w:basedOn w:val="a"/>
    <w:rsid w:val="00807581"/>
    <w:pPr>
      <w:spacing w:after="100" w:afterAutospacing="1" w:before="100" w:beforeAutospacing="1"/>
    </w:pPr>
    <w:rPr>
      <w:sz w:val="24"/>
      <w:szCs w:val="24"/>
    </w:rPr>
  </w:style>
  <w:style w:type="paragraph" w:styleId="mb-15" w:customStyle="1">
    <w:name w:val="mb-1.5"/>
    <w:basedOn w:val="a"/>
    <w:rsid w:val="00F7022B"/>
    <w:pPr>
      <w:spacing w:after="100" w:afterAutospacing="1" w:before="100" w:beforeAutospacing="1"/>
    </w:pPr>
    <w:rPr>
      <w:sz w:val="24"/>
      <w:szCs w:val="24"/>
    </w:rPr>
  </w:style>
  <w:style w:type="character" w:styleId="sr-only" w:customStyle="1">
    <w:name w:val="sr-only"/>
    <w:basedOn w:val="a0"/>
    <w:rsid w:val="00F7022B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8.png"/><Relationship Id="rId21" Type="http://schemas.openxmlformats.org/officeDocument/2006/relationships/image" Target="media/image12.png"/><Relationship Id="rId24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5.png"/><Relationship Id="rId25" Type="http://schemas.openxmlformats.org/officeDocument/2006/relationships/image" Target="media/image2.png"/><Relationship Id="rId28" Type="http://schemas.openxmlformats.org/officeDocument/2006/relationships/image" Target="media/image1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11" Type="http://schemas.openxmlformats.org/officeDocument/2006/relationships/hyperlink" Target="https://sozd.duma.gov.ru/bill/1026190-8" TargetMode="External"/><Relationship Id="rId10" Type="http://schemas.openxmlformats.org/officeDocument/2006/relationships/hyperlink" Target="http://publication.pravo.gov.ru/document/0001202411290003" TargetMode="External"/><Relationship Id="rId13" Type="http://schemas.openxmlformats.org/officeDocument/2006/relationships/hyperlink" Target="https://ria.ru/20220706/lgoty-1800665789.html" TargetMode="External"/><Relationship Id="rId12" Type="http://schemas.openxmlformats.org/officeDocument/2006/relationships/hyperlink" Target="http://www.consultant.ru/document/cons_doc_LAW_28165/eb9180fc785448d58fe76ef323fb67d1832b9363/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BWGisqb/+gIXWTiWQpayEJVWg==">CgMxLjAyCGguZ2pkZ3hzOAByITFGMldlMVJDRDJsWGxOMXpTNXdhR0dZOHg4RlM1Q3NPcA==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2024-03-11T07:32:00Z</dcterms:created>
</cp:coreProperties>
</file>