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1"/>
      </w:pPr>
      <w:r>
        <w:t>Factors Report 20080102-20161230</w:t>
      </w:r>
    </w:p>
    <w:p>
      <w:r>
        <w:rPr>
          <w:b/>
        </w:rPr>
        <w:t>1. alpha_test</w:t>
      </w:r>
    </w:p>
    <w:p>
      <w:r>
        <w:rPr>
          <w:b/>
        </w:rPr>
        <w:t>截面指标累计曲线:</w:t>
      </w:r>
    </w:p>
    <w:p>
      <w:r>
        <w:drawing>
          <wp:inline distT="0" distB="0" distL="114300" distR="114300">
            <wp:extent cx="5486400" cy="5486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100.63%</w:t>
      </w:r>
    </w:p>
    <w:p>
      <w:r>
        <w:rPr>
          <w:b/>
        </w:rPr>
        <w:t>截面指标_OCDay1: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year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mean_IC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tstat_IC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-4.98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-0.61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-4.41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-0.88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1.75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-0.57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-3.74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-2.25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-2.33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-0.67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-6.41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-5.53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-5.82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-4.06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-3.45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-1.81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-1.95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-0.77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-3.18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-1.65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-0.29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-3.03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-0.35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-1.1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-0.67</w:t>
            </w:r>
          </w:p>
        </w:tc>
      </w:tr>
    </w:tbl>
    <w:p>
      <w:r>
        <w:rPr>
          <w:b/>
        </w:rPr>
        <w:br w:type="textWrapping"/>
      </w:r>
      <w:r>
        <w:rPr>
          <w:b/>
        </w:rPr>
        <w:t>截面指标_CCDay1Gap1: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year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annret_tbdf50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sharpe_tbdf50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maxdd_tbdf50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mean_IC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tstat_IC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0.64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3.72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3.75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4.78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0.85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5.68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7.75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7.45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0.83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5.39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4.87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5.66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0.27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5.89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6.2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3.94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3.27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0.69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4.91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4.21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0.62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5.36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4.61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5.64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1.0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4.48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0.54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4.77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" w:type="dxa"/>
          </w:tcPr>
          <w:p>
            <w:pPr>
              <w:spacing w:after="0" w:line="240" w:lineRule="auto"/>
            </w:pPr>
            <w:r>
              <w:t>2016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0.34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2.47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-0.13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0.15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2.29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-0.05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960" w:type="dxa"/>
          </w:tcPr>
          <w:p>
            <w:pPr>
              <w:spacing w:after="0" w:line="240" w:lineRule="auto"/>
            </w:pPr>
            <w:r>
              <w:t>3.01</w:t>
            </w:r>
          </w:p>
        </w:tc>
      </w:tr>
    </w:tbl>
    <w:p>
      <w:r>
        <w:rPr>
          <w:b/>
        </w:rPr>
        <w:br w:type="textWrapping"/>
      </w:r>
      <w:r>
        <w:rPr>
          <w:b/>
        </w:rPr>
        <w:t>风格暴露:</w:t>
      </w:r>
    </w:p>
    <w:tbl>
      <w:tblPr>
        <w:tblStyle w:val="33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728"/>
        <w:gridCol w:w="1728"/>
        <w:gridCol w:w="1728"/>
        <w:gridCol w:w="17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long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short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corr_OCDay1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corr_CCDay1Gap1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liquidity10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liquidity20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liquidity5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logmktcap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momentum15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0.37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-0.36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0.24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-0.23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-0.22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momentum5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0.72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-0.71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-0.44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spacing w:after="0" w:line="240" w:lineRule="auto"/>
            </w:pPr>
            <w:r>
              <w:t>retvolatility30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-0.04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0.04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0.12</w:t>
            </w:r>
          </w:p>
        </w:tc>
        <w:tc>
          <w:tcPr>
            <w:tcW w:w="1728" w:type="dxa"/>
          </w:tcPr>
          <w:p>
            <w:pPr>
              <w:spacing w:after="0" w:line="240" w:lineRule="auto"/>
            </w:pPr>
            <w:r>
              <w:t>0.05</w:t>
            </w:r>
          </w:p>
        </w:tc>
      </w:tr>
    </w:tbl>
    <w:p>
      <w:r>
        <w:br w:type="page"/>
      </w:r>
    </w:p>
    <w:p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3ED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>
        <w:tblLayout w:type="fixed"/>
      </w:tblPr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>
        <w:tblLayout w:type="fixed"/>
      </w:tbl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>
        <w:tblLayout w:type="fixed"/>
      </w:tblPr>
      <w:tcPr>
        <w:shd w:val="clear" w:color="auto" w:fill="D7D7D7" w:themeFill="background1" w:themeFillShade="D8"/>
      </w:tcPr>
    </w:tblStylePr>
    <w:tblStylePr w:type="neCell"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>
        <w:tblLayout w:type="fixed"/>
      </w:tblPr>
      <w:tcPr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>
        <w:tblLayout w:type="fixed"/>
      </w:tblPr>
      <w:tcPr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>
        <w:tblLayout w:type="fixed"/>
      </w:tblPr>
      <w:tcPr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>
        <w:tblLayout w:type="fixed"/>
      </w:tblPr>
      <w:tcPr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>
        <w:tblLayout w:type="fixed"/>
      </w:tblPr>
      <w:tcPr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>
        <w:tblLayout w:type="fixed"/>
      </w:tblPr>
      <w:tcPr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>
        <w:tblLayout w:type="fixed"/>
      </w:tbl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>
        <w:tblLayout w:type="fixed"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>
        <w:tblLayout w:type="fixed"/>
      </w:tblPr>
      <w:tcPr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7">
    <w:name w:val="Medium List 2 Accent 1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8">
    <w:name w:val="Medium List 2 Accent 2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79">
    <w:name w:val="Medium List 2 Accent 3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1">
    <w:name w:val="Medium List 2 Accent 5"/>
    <w:basedOn w:val="3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>
        <w:tblLayout w:type="fixed"/>
      </w:tblPr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>
        <w:tblLayout w:type="fixed"/>
      </w:tblPr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  <w:tblStylePr w:type="swCell">
      <w:tblPr>
        <w:tblLayout w:type="fixed"/>
      </w:tblPr>
      <w:tcPr>
        <w:tcBorders>
          <w:top w:val="nil"/>
        </w:tcBorders>
      </w:tcPr>
    </w:tblStylePr>
  </w:style>
  <w:style w:type="table" w:styleId="83">
    <w:name w:val="Medium Grid 1"/>
    <w:basedOn w:val="3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>
        <w:tblLayout w:type="fixed"/>
      </w:tbl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2">
    <w:name w:val="Medium Grid 2 Accent 2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3">
    <w:name w:val="Medium Grid 2 Accent 3"/>
    <w:basedOn w:val="3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>
        <w:tblLayout w:type="fixed"/>
      </w:tblPr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>
        <w:tblLayout w:type="fixed"/>
      </w:tbl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>
        <w:tblLayout w:type="fixed"/>
      </w:tblPr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>
        <w:tblLayout w:type="fixed"/>
      </w:tblPr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>
        <w:tblLayout w:type="fixed"/>
      </w:tblPr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999999" w:themeFill="text1" w:themeFillTint="66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>
        <w:tblLayout w:type="fixed"/>
      </w:tblPr>
      <w:tcPr>
        <w:shd w:val="clear" w:color="auto" w:fill="B8CCE4" w:themeFill="accent1" w:themeFillTint="66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>
        <w:tblLayout w:type="fixed"/>
      </w:tblPr>
      <w:tcPr>
        <w:shd w:val="clear" w:color="auto" w:fill="E5B8B7" w:themeFill="accent2" w:themeFillTint="66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>
        <w:tblLayout w:type="fixed"/>
      </w:tblPr>
      <w:tcPr>
        <w:shd w:val="clear" w:color="auto" w:fill="D6E3BC" w:themeFill="accent3" w:themeFillTint="66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>
        <w:tblLayout w:type="fixed"/>
      </w:tblPr>
      <w:tcPr>
        <w:shd w:val="clear" w:color="auto" w:fill="CCC0D9" w:themeFill="accent4" w:themeFillTint="66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>
        <w:tblLayout w:type="fixed"/>
      </w:tblPr>
      <w:tcPr>
        <w:shd w:val="clear" w:color="auto" w:fill="B6DDE8" w:themeFill="accent5" w:themeFillTint="66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>
        <w:tblLayout w:type="fixed"/>
      </w:tbl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>
        <w:tblLayout w:type="fixed"/>
      </w:tblPr>
      <w:tcPr>
        <w:shd w:val="clear" w:color="auto" w:fill="FBD4B4" w:themeFill="accent6" w:themeFillTint="66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>
        <w:tblLayout w:type="fixed"/>
      </w:tblPr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>
        <w:tblLayout w:type="fixed"/>
      </w:tblPr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>
        <w:tblLayout w:type="fixed"/>
      </w:tblPr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>
        <w:tblLayout w:type="fixed"/>
      </w:tblPr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>
        <w:tblLayout w:type="fixed"/>
      </w:tbl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>
        <w:tblLayout w:type="fixed"/>
      </w:tblPr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>
        <w:tblLayout w:type="fixed"/>
      </w:tbl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000000" w:themeFill="text1" w:themeFillShade="BF"/>
      </w:tcPr>
    </w:tblStylePr>
    <w:tblStylePr w:type="band1Vert">
      <w:tblPr>
        <w:tblLayout w:type="fixed"/>
      </w:tblPr>
      <w:tcPr>
        <w:shd w:val="clear" w:color="auto" w:fill="7F7F7F" w:themeFill="text1" w:themeFillTint="7F"/>
      </w:tcPr>
    </w:tblStylePr>
    <w:tblStylePr w:type="band1Horz">
      <w:tblPr>
        <w:tblLayout w:type="fixed"/>
      </w:tblPr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>
        <w:tblLayout w:type="fixed"/>
      </w:tbl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66091" w:themeFill="accent1" w:themeFillShade="BF"/>
      </w:tcPr>
    </w:tblStylePr>
    <w:tblStylePr w:type="band1Vert">
      <w:tblPr>
        <w:tblLayout w:type="fixed"/>
      </w:tblPr>
      <w:tcPr>
        <w:shd w:val="clear" w:color="auto" w:fill="A7C0DE" w:themeFill="accent1" w:themeFillTint="7F"/>
      </w:tcPr>
    </w:tblStylePr>
    <w:tblStylePr w:type="band1Horz">
      <w:tblPr>
        <w:tblLayout w:type="fixed"/>
      </w:tblPr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>
        <w:tblLayout w:type="fixed"/>
      </w:tbl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943734" w:themeFill="accent2" w:themeFillShade="BF"/>
      </w:tcPr>
    </w:tblStylePr>
    <w:tblStylePr w:type="band1Vert">
      <w:tblPr>
        <w:tblLayout w:type="fixed"/>
      </w:tblPr>
      <w:tcPr>
        <w:shd w:val="clear" w:color="auto" w:fill="DFA7A6" w:themeFill="accent2" w:themeFillTint="7F"/>
      </w:tcPr>
    </w:tblStylePr>
    <w:tblStylePr w:type="band1Horz">
      <w:tblPr>
        <w:tblLayout w:type="fixed"/>
      </w:tblPr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>
        <w:tblLayout w:type="fixed"/>
      </w:tbl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76923C" w:themeFill="accent3" w:themeFillShade="BF"/>
      </w:tcPr>
    </w:tblStylePr>
    <w:tblStylePr w:type="band1Vert">
      <w:tblPr>
        <w:tblLayout w:type="fixed"/>
      </w:tblPr>
      <w:tcPr>
        <w:shd w:val="clear" w:color="auto" w:fill="CDDDAC" w:themeFill="accent3" w:themeFillTint="7F"/>
      </w:tcPr>
    </w:tblStylePr>
    <w:tblStylePr w:type="band1Horz">
      <w:tblPr>
        <w:tblLayout w:type="fixed"/>
      </w:tblPr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>
        <w:tblLayout w:type="fixed"/>
      </w:tbl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5F497A" w:themeFill="accent4" w:themeFillShade="BF"/>
      </w:tcPr>
    </w:tblStylePr>
    <w:tblStylePr w:type="band1Vert">
      <w:tblPr>
        <w:tblLayout w:type="fixed"/>
      </w:tblPr>
      <w:tcPr>
        <w:shd w:val="clear" w:color="auto" w:fill="BFB1D0" w:themeFill="accent4" w:themeFillTint="7F"/>
      </w:tcPr>
    </w:tblStylePr>
    <w:tblStylePr w:type="band1Horz">
      <w:tblPr>
        <w:tblLayout w:type="fixed"/>
      </w:tblPr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>
        <w:tblLayout w:type="fixed"/>
      </w:tbl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31849B" w:themeFill="accent5" w:themeFillShade="BF"/>
      </w:tcPr>
    </w:tblStylePr>
    <w:tblStylePr w:type="band1Vert">
      <w:tblPr>
        <w:tblLayout w:type="fixed"/>
      </w:tblPr>
      <w:tcPr>
        <w:shd w:val="clear" w:color="auto" w:fill="A5D5E2" w:themeFill="accent5" w:themeFillTint="7F"/>
      </w:tcPr>
    </w:tblStylePr>
    <w:tblStylePr w:type="band1Horz">
      <w:tblPr>
        <w:tblLayout w:type="fixed"/>
      </w:tblPr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>
        <w:tblLayout w:type="fixed"/>
      </w:tbl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>
        <w:tblLayout w:type="fixed"/>
      </w:tbl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E36C09" w:themeFill="accent6" w:themeFillShade="BF"/>
      </w:tcPr>
    </w:tblStylePr>
    <w:tblStylePr w:type="band1Vert">
      <w:tblPr>
        <w:tblLayout w:type="fixed"/>
      </w:tblPr>
      <w:tcPr>
        <w:shd w:val="clear" w:color="auto" w:fill="FBCAA2" w:themeFill="accent6" w:themeFillTint="7F"/>
      </w:tcPr>
    </w:tblStylePr>
    <w:tblStylePr w:type="band1Horz">
      <w:tblPr>
        <w:tblLayout w:type="fixed"/>
      </w:tblPr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无</cp:lastModifiedBy>
  <dcterms:modified xsi:type="dcterms:W3CDTF">2019-07-11T02:40:13Z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