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6A93" w14:textId="77777777" w:rsidR="00CB5507" w:rsidRDefault="00CB5507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ОПРЕДЕЛЕНИЕ УГРОЗ БЕЗОПАСНОСТИ ПЕРСОНАЛЬНЫХ ДАННЫХ</w:t>
      </w:r>
    </w:p>
    <w:p w14:paraId="69C092D2" w14:textId="77777777" w:rsidR="00CB5507" w:rsidRDefault="00CB5507">
      <w:pPr>
        <w:jc w:val="center"/>
        <w:divId w:val="7372191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4_Модель_угроз_и_акт_УЗ.md</w:t>
      </w:r>
    </w:p>
    <w:p w14:paraId="1BCD613A" w14:textId="77777777" w:rsidR="00CB5507" w:rsidRDefault="00CB5507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 АКТ ОПРЕДЕЛЕНИЯ УРОВНЯ ЗАЩИЩЁННОСТИ</w:t>
      </w:r>
    </w:p>
    <w:p w14:paraId="3117A6DE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Утверждено:</w:t>
      </w:r>
      <w:r>
        <w:rPr>
          <w:color w:val="000000"/>
          <w:sz w:val="23"/>
          <w:szCs w:val="23"/>
        </w:rPr>
        <w:t xml:space="preserve"> «</w:t>
      </w:r>
      <w:r>
        <w:rPr>
          <w:rStyle w:val="a7"/>
          <w:b/>
          <w:bCs/>
          <w:color w:val="000000"/>
          <w:sz w:val="23"/>
          <w:szCs w:val="23"/>
        </w:rPr>
        <w:t>» _</w:t>
      </w:r>
      <w:r>
        <w:rPr>
          <w:color w:val="000000"/>
          <w:sz w:val="23"/>
          <w:szCs w:val="23"/>
        </w:rPr>
        <w:t xml:space="preserve"> 2026 г. </w:t>
      </w:r>
      <w:r>
        <w:rPr>
          <w:rStyle w:val="a6"/>
          <w:color w:val="000000"/>
          <w:sz w:val="23"/>
          <w:szCs w:val="23"/>
        </w:rPr>
        <w:t>Основание:</w:t>
      </w:r>
      <w:r>
        <w:rPr>
          <w:color w:val="000000"/>
          <w:sz w:val="23"/>
          <w:szCs w:val="23"/>
        </w:rPr>
        <w:t xml:space="preserve"> пункт 1 части 2 статьи 19 Федерального закона от 27.07.2006 № 152-ФЗ; постановление Правительства РФ от 01.11.2012 № 1119; методический документ ФСТЭК России по определению угроз безопасности информации.</w:t>
      </w:r>
    </w:p>
    <w:p w14:paraId="73696059" w14:textId="77777777" w:rsidR="00CB5507" w:rsidRDefault="00CB5507">
      <w:pPr>
        <w:shd w:val="clear" w:color="auto" w:fill="F4F4F4"/>
        <w:spacing w:after="80"/>
        <w:jc w:val="both"/>
        <w:divId w:val="1858734983"/>
        <w:rPr>
          <w:color w:val="000000"/>
          <w:sz w:val="21"/>
          <w:szCs w:val="21"/>
        </w:rPr>
      </w:pPr>
      <w:r>
        <w:rPr>
          <w:rFonts w:ascii="Segoe UI Symbol" w:hAnsi="Segoe UI Symbol" w:cs="Segoe UI Symbol"/>
          <w:color w:val="000000"/>
          <w:sz w:val="21"/>
          <w:szCs w:val="21"/>
        </w:rPr>
        <w:t>⚠</w:t>
      </w:r>
      <w:r>
        <w:rPr>
          <w:color w:val="000000"/>
          <w:sz w:val="21"/>
          <w:szCs w:val="21"/>
        </w:rPr>
        <w:t xml:space="preserve"> </w:t>
      </w:r>
      <w:r>
        <w:rPr>
          <w:rStyle w:val="a6"/>
          <w:color w:val="000000"/>
          <w:sz w:val="21"/>
          <w:szCs w:val="21"/>
        </w:rPr>
        <w:t>Требует сверки.</w:t>
      </w:r>
      <w:r>
        <w:rPr>
          <w:color w:val="000000"/>
          <w:sz w:val="21"/>
          <w:szCs w:val="21"/>
        </w:rPr>
        <w:t xml:space="preserve"> Определение уровня защищённости в разделе 7 сделано по логике постановления Правительства РФ № 1119, но </w:t>
      </w:r>
      <w:r>
        <w:rPr>
          <w:rStyle w:val="a6"/>
          <w:color w:val="000000"/>
          <w:sz w:val="21"/>
          <w:szCs w:val="21"/>
        </w:rPr>
        <w:t>текст постановления при подготовке не сверялся построчно</w:t>
      </w:r>
      <w:r>
        <w:rPr>
          <w:color w:val="000000"/>
          <w:sz w:val="21"/>
          <w:szCs w:val="21"/>
        </w:rPr>
        <w:t>. До утверждения акта сверить пункты о критериях уровней защищённости с действующей редакцией. Ошибка в уровне на одну ступень означает разницу между необязательностью и обязательностью сертифицированных средств защиты информации.</w:t>
      </w:r>
    </w:p>
    <w:p w14:paraId="2CA21E09" w14:textId="77777777" w:rsidR="00CB5507" w:rsidRDefault="00CB5507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2DD2320">
          <v:rect id="_x0000_i1025" style="width:0;height:1.5pt" o:hralign="center" o:hrstd="t" o:hr="t" fillcolor="#a0a0a0" stroked="f"/>
        </w:pict>
      </w:r>
    </w:p>
    <w:p w14:paraId="626701BB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I. ОПРЕДЕЛЕНИЕ УГРОЗ</w:t>
      </w:r>
    </w:p>
    <w:p w14:paraId="24BA4132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Описание информационной системы</w:t>
      </w:r>
    </w:p>
    <w:p w14:paraId="1863E1F9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Наименование:</w:t>
      </w:r>
      <w:r>
        <w:rPr>
          <w:color w:val="000000"/>
          <w:sz w:val="23"/>
          <w:szCs w:val="23"/>
        </w:rPr>
        <w:t xml:space="preserve"> информационная система персональных данных сервиса маскирования персональных данных в документах.</w:t>
      </w:r>
    </w:p>
    <w:p w14:paraId="4AE0D9E2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Назначение: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автоматизированное выявление и маскирование (псевдонимизация) персональных данных в документах, передаваемых заказчиками, с формированием таблицы соответствий.</w:t>
      </w:r>
    </w:p>
    <w:p w14:paraId="2F13976F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Состав: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4899"/>
        <w:gridCol w:w="2898"/>
      </w:tblGrid>
      <w:tr w:rsidR="00000000" w14:paraId="3B951E1D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5391F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D0BCA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A20B2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Размещение</w:t>
            </w:r>
          </w:p>
        </w:tc>
      </w:tr>
      <w:tr w:rsidR="00000000" w14:paraId="09D86BB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10305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Веб-интерфейс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DB168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Next.js, серверные маршруты </w:t>
            </w:r>
            <w:r>
              <w:rPr>
                <w:rStyle w:val="HTML"/>
                <w:color w:val="000000"/>
              </w:rPr>
              <w:t>/api/anonymize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/api/deanonymize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работают как серверный прокси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BAD6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Инфраструктура ООО «ИНТЕРФОНИКА», РФ</w:t>
            </w:r>
          </w:p>
        </w:tc>
      </w:tr>
      <w:tr w:rsidR="00000000" w14:paraId="18894A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810E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Сервер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D898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Python, </w:t>
            </w:r>
            <w:r>
              <w:rPr>
                <w:rStyle w:val="HTML"/>
                <w:color w:val="000000"/>
              </w:rPr>
              <w:t>http.server.ThreadingHTTPServer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слушает </w:t>
            </w:r>
            <w:r>
              <w:rPr>
                <w:rStyle w:val="HTML"/>
                <w:color w:val="000000"/>
              </w:rPr>
              <w:t>127.0.0.1:8010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за nginx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27D9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Там же</w:t>
            </w:r>
          </w:p>
        </w:tc>
      </w:tr>
      <w:tr w:rsidR="00000000" w14:paraId="2671B1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0446B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Инференс-эндпоинт LLM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D980F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oui.interfonica.cloud/v1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модель Qwen 3.5 35B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F537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ООО «ИНТЕРФОНИКА»,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территория подлежит подтверждению</w:t>
            </w:r>
          </w:p>
        </w:tc>
      </w:tr>
      <w:tr w:rsidR="00000000" w14:paraId="439102A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F00C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Инференс-эндпоинт GLiNER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EB7E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oui.interfonica.cloud/gliner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2D7E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Там же</w:t>
            </w:r>
          </w:p>
        </w:tc>
      </w:tr>
      <w:tr w:rsidR="00000000" w14:paraId="7B47628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046D8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Журналы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A957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logs/usage.jsonl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(потребление), </w:t>
            </w:r>
            <w:r>
              <w:rPr>
                <w:rStyle w:val="HTML"/>
                <w:color w:val="000000"/>
              </w:rPr>
              <w:t>logs/depersonalization.jsonl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(учёт операций)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4337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Файловая система сервера</w:t>
            </w:r>
          </w:p>
        </w:tc>
      </w:tr>
    </w:tbl>
    <w:p w14:paraId="7C9AB584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lastRenderedPageBreak/>
        <w:t>Хранилище:</w:t>
      </w:r>
      <w:r>
        <w:rPr>
          <w:color w:val="000000"/>
          <w:sz w:val="23"/>
          <w:szCs w:val="23"/>
        </w:rPr>
        <w:t xml:space="preserve"> постоянное хранилище персональных данных отсутствует. Задания, результаты и таблицы соответствий размещаются в оперативной памяти процесса и удаляются по истечении установленного срока жизни (600 секунд) либо после выдачи.</w:t>
      </w:r>
    </w:p>
    <w:p w14:paraId="5632943E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Границы контролируемой зоны:</w:t>
      </w:r>
      <w:r>
        <w:rPr>
          <w:color w:val="000000"/>
          <w:sz w:val="23"/>
          <w:szCs w:val="23"/>
        </w:rPr>
        <w:t xml:space="preserve"> центр обработки данных ООО «ИНТЕРФОНИКА». За пределы контролируемой зоны данные передаются на инференс-эндпоинты, принадлежащие тому же лицу.</w:t>
      </w:r>
    </w:p>
    <w:p w14:paraId="6D6E0223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Обрабатываемые персональные данные</w:t>
      </w:r>
    </w:p>
    <w:p w14:paraId="3054DCF8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Иные категории персональных данных (не специальные, не биометрические, не общедоступные): фамилия, имя, отчество; должность; сведения о документах, удостоверяющих личность; страховой номер индивидуального лицевого счёта; идентификационный номер налогоплательщика; адрес; контактные данные; банковские реквизиты.</w:t>
      </w:r>
    </w:p>
    <w:p w14:paraId="42ADF16E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Субъекты — </w:t>
      </w:r>
      <w:r>
        <w:rPr>
          <w:rStyle w:val="a6"/>
          <w:color w:val="000000"/>
          <w:sz w:val="23"/>
          <w:szCs w:val="23"/>
        </w:rPr>
        <w:t>лица, не являющиеся работниками оператора</w:t>
      </w:r>
      <w:r>
        <w:rPr>
          <w:color w:val="000000"/>
          <w:sz w:val="23"/>
          <w:szCs w:val="23"/>
        </w:rPr>
        <w:t xml:space="preserve">. Ориентировочное количество — </w:t>
      </w:r>
      <w:r>
        <w:rPr>
          <w:rStyle w:val="a6"/>
          <w:color w:val="000000"/>
          <w:sz w:val="23"/>
          <w:szCs w:val="23"/>
        </w:rPr>
        <w:t>менее 100 000</w:t>
      </w:r>
      <w:r>
        <w:rPr>
          <w:color w:val="000000"/>
          <w:sz w:val="23"/>
          <w:szCs w:val="23"/>
        </w:rPr>
        <w:t>.</w:t>
      </w:r>
    </w:p>
    <w:p w14:paraId="2613F2E9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Специальные категории и биометрические персональные данные не обрабатываются; их передача запрещена договором.</w:t>
      </w:r>
    </w:p>
    <w:p w14:paraId="665AA856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Модель нарушителя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696"/>
        <w:gridCol w:w="3977"/>
      </w:tblGrid>
      <w:tr w:rsidR="00000000" w14:paraId="3A8BA9D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8E753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CF2D32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Потенциал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5D365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Мотивация</w:t>
            </w:r>
          </w:p>
        </w:tc>
      </w:tr>
      <w:tr w:rsidR="00000000" w14:paraId="3CE733B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EDF38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Внешний нарушитель из сети «Интернет»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6197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Базовый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BFE4A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Получение персональных данных для последующего использования</w:t>
            </w:r>
          </w:p>
        </w:tc>
      </w:tr>
      <w:tr w:rsidR="00000000" w14:paraId="629AC3F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82E0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Недобросовестный пользователь сервиса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B8D81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Базовый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04D1A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Доступ к результатам обработки других пользователей</w:t>
            </w:r>
          </w:p>
        </w:tc>
      </w:tr>
      <w:tr w:rsidR="00000000" w14:paraId="73B9AF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D0617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Работник привлечённого лица (провайдер, оператор шлюза)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F8A02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Базовый повышенный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E268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Любопытство, корыстный интерес</w:t>
            </w:r>
          </w:p>
        </w:tc>
      </w:tr>
      <w:tr w:rsidR="00000000" w14:paraId="7729619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DC95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Разработчик, имеющий доступ к среде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A2B27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Базовый повышенный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4D26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Ошибка либо злоупотребление</w:t>
            </w:r>
          </w:p>
        </w:tc>
      </w:tr>
    </w:tbl>
    <w:p w14:paraId="0992787D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Нарушители с высоким потенциалом (специальные службы, обладающие возможностью внедрения недекларированных возможностей на этапе разработки системного и прикладного программного обеспечения) признаются </w:t>
      </w:r>
      <w:r>
        <w:rPr>
          <w:rStyle w:val="a6"/>
          <w:color w:val="000000"/>
          <w:sz w:val="23"/>
          <w:szCs w:val="23"/>
        </w:rPr>
        <w:t>неактуальными</w:t>
      </w:r>
      <w:r>
        <w:rPr>
          <w:color w:val="000000"/>
          <w:sz w:val="23"/>
          <w:szCs w:val="23"/>
        </w:rPr>
        <w:t>: система не относится к государственным информационным системам, не обрабатывает сведения, составляющие государственную тайну, и не входит в состав значимых объектов критической информационной инфраструктуры.</w:t>
      </w:r>
    </w:p>
    <w:p w14:paraId="53250C94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Актуальные угрозы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474"/>
        <w:gridCol w:w="2620"/>
        <w:gridCol w:w="3823"/>
      </w:tblGrid>
      <w:tr w:rsidR="00000000" w14:paraId="5757E60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07A4F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0FBCB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88572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Обоснование актуальности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43310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Меры нейтрализации</w:t>
            </w:r>
          </w:p>
        </w:tc>
      </w:tr>
      <w:tr w:rsidR="00000000" w14:paraId="28A4B22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1304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6E0E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Несанкционированный доступ к серверу обработки из сети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FAD9A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Отсутствует аутентификация входящих запросов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3CE0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Аутентификация каждого запроса; ограничение доступа средствами nginx; привязка к </w:t>
            </w:r>
            <w:r>
              <w:rPr>
                <w:rStyle w:val="HTML"/>
                <w:color w:val="000000"/>
              </w:rPr>
              <w:t>127.0.0.1</w:t>
            </w:r>
          </w:p>
        </w:tc>
      </w:tr>
      <w:tr w:rsidR="00000000" w14:paraId="4CC2481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3252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У-2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56910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Доступ к результату обработки другого пользователя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C7C7B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Идентификатор задания не привязан к субъекту доступа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0434B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Привязка </w:t>
            </w:r>
            <w:r>
              <w:rPr>
                <w:rStyle w:val="HTML"/>
                <w:color w:val="000000"/>
              </w:rPr>
              <w:t>job_id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 аутентифицированному субъекту; криптостойкий идентификатор</w:t>
            </w:r>
          </w:p>
        </w:tc>
      </w:tr>
      <w:tr w:rsidR="00000000" w14:paraId="3CA185C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4B53B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98395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Перехват или раскрытие таблицы соответствий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9BB3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Ключ деанонимизации передаётся в одном ответе с результатом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0809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Раздельная выдача документа и ключа; режим без формирования ключа; исключение </w:t>
            </w:r>
            <w:r>
              <w:rPr>
                <w:rStyle w:val="HTML"/>
                <w:color w:val="000000"/>
              </w:rPr>
              <w:t>spans[].text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из ответа</w:t>
            </w:r>
          </w:p>
        </w:tc>
      </w:tr>
      <w:tr w:rsidR="00000000" w14:paraId="5B400DD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71A1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0873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через дамп памяти процесса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F74C2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 дампе оказываются исходный текст и таблица соответствий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F3062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Запрет сброса core dump (реализовано); отдельный системный пользователь; запрет отладки процесса</w:t>
            </w:r>
          </w:p>
        </w:tc>
      </w:tr>
      <w:tr w:rsidR="00000000" w14:paraId="7B39F53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F128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755D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через файл подкачки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599F5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Страницы памяти с персональными данными могут попасть в swap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03F51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Отключение swap либо шифрование раздела подкачки</w:t>
            </w:r>
          </w:p>
        </w:tc>
      </w:tr>
      <w:tr w:rsidR="00000000" w14:paraId="4992BC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23E2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7A7C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Компрометация канала до инференс-эндпоинта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D358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Передаётся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сырой текст до маскирования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B0530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TLS; при необходимости — сертифицированные средства криптографической защиты; предварительное маскирование детерминированными детекторами до обращения к модели</w:t>
            </w:r>
          </w:p>
        </w:tc>
      </w:tr>
      <w:tr w:rsidR="00000000" w14:paraId="7793A4F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5591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70EA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Раскрытие данных на стороне привлечённого лица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949C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Оператор шлюза обрабатывает содержимое документов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0F4F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поручения; запрет логирования содержимого и использования для обучения; право проверки</w:t>
            </w:r>
          </w:p>
        </w:tc>
      </w:tr>
      <w:tr w:rsidR="00000000" w14:paraId="1572426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C78C2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1B35F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Компрометация аутентификационных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B17F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Реализовавшийся инцидент: токен доступа находился в исходном коде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2E0A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Хранение секретов только в окружении; ротация; автоматическая проверка кода на наличие секретов</w:t>
            </w:r>
          </w:p>
        </w:tc>
      </w:tr>
      <w:tr w:rsidR="00000000" w14:paraId="328090B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A8FD5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CC87B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Несанкционированный доступ к журналам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3D1F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logs/usage.jsonl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содержит имена файлов, способные включать персональные данные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A4B1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Замена имени файла хешем; права доступа 0600; отдельный пользователь</w:t>
            </w:r>
          </w:p>
        </w:tc>
      </w:tr>
      <w:tr w:rsidR="00000000" w14:paraId="17C0A9D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BCB7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У-10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A578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Отказ в обслуживании; загрузка вредоносных документов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D673A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Приём произвольных файлов от пользователей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E2650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объёма (50 МБ); ограничение частоты запросов; проверка типов; защита от архивных бомб</w:t>
            </w:r>
          </w:p>
        </w:tc>
      </w:tr>
    </w:tbl>
    <w:p w14:paraId="5540BB0E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Угрозы, признанные неактуальными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4506"/>
      </w:tblGrid>
      <w:tr w:rsidR="00000000" w14:paraId="74CB66A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4DE08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6997E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Обоснование</w:t>
            </w:r>
          </w:p>
        </w:tc>
      </w:tr>
      <w:tr w:rsidR="00000000" w14:paraId="0C2B924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D82B0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из системы управления базами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B5CFF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Персистентное хранилище персональных данных отсутствует</w:t>
            </w:r>
          </w:p>
        </w:tc>
      </w:tr>
      <w:tr w:rsidR="00000000" w14:paraId="791FF8E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7A081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Утечка из резервных копий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57897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Резервное копирование персональных данных не производится</w:t>
            </w:r>
          </w:p>
        </w:tc>
      </w:tr>
      <w:tr w:rsidR="00000000" w14:paraId="1498A31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D34D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Угрозы, связанные с недекларированными возможностями системного и прикладного программного обеспечения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05A6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Нарушитель с соответствующим потенциалом признан неактуальным, раздел 3</w:t>
            </w:r>
          </w:p>
        </w:tc>
      </w:tr>
      <w:tr w:rsidR="00000000" w14:paraId="46FEF53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49CD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Угрозы среды виртуализации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2B46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Средства виртуализации оператором не администрируются; относятся к зоне ответственности провайдера</w:t>
            </w:r>
          </w:p>
        </w:tc>
      </w:tr>
      <w:tr w:rsidR="00000000" w14:paraId="39CBBBE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2CC4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Угрозы каналов побочных электромагнитных излучений и наводок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36C3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Обработка ведётся в аттестованном центре обработки данных провайдера</w:t>
            </w:r>
          </w:p>
        </w:tc>
      </w:tr>
    </w:tbl>
    <w:p w14:paraId="57F41D53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Остаточные риски, принимаемые оператором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581"/>
      </w:tblGrid>
      <w:tr w:rsidR="00000000" w14:paraId="27FDC6A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5F0E3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71859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Причина невозможности полного устранения</w:t>
            </w:r>
          </w:p>
        </w:tc>
      </w:tr>
      <w:tr w:rsidR="00000000" w14:paraId="258919D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BCB77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Неполное затирание значений в оперативной памяти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96E4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 интерпретаторе CPython строки неизменяемы и копируются сборщиком мусора; гарантированное затирание средствами языка недостижимо. Компенсируется мерами У-4, У-5</w:t>
            </w:r>
          </w:p>
        </w:tc>
      </w:tr>
      <w:tr w:rsidR="00000000" w14:paraId="25E2EF8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080A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Пропуск отдельных персональных данных детектором (ложноотрицательные срабатывания)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5628F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Свойство методов машинного обучения. Компенсируется измерением полноты и обязательной проверкой результата заказчиком, закреплённой договором</w:t>
            </w:r>
          </w:p>
        </w:tc>
      </w:tr>
      <w:tr w:rsidR="00000000" w14:paraId="410CC9A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ADC64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Зависимость от добросовестности привлечённого лица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5A877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Компенсируется договором поручения и правом проверки</w:t>
            </w:r>
          </w:p>
        </w:tc>
      </w:tr>
    </w:tbl>
    <w:p w14:paraId="22A0DF24" w14:textId="77777777" w:rsidR="00CB5507" w:rsidRDefault="00CB5507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8996514">
          <v:rect id="_x0000_i1026" style="width:0;height:1.5pt" o:hralign="center" o:hrstd="t" o:hr="t" fillcolor="#a0a0a0" stroked="f"/>
        </w:pict>
      </w:r>
    </w:p>
    <w:p w14:paraId="109D28E5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ЧАСТЬ II. АКТ ОПРЕДЕЛЕНИЯ УРОВНЯ ЗАЩИЩЁННОСТИ</w:t>
      </w:r>
    </w:p>
    <w:p w14:paraId="7836913C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Исходные данные и вывод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3902"/>
        <w:gridCol w:w="3265"/>
      </w:tblGrid>
      <w:tr w:rsidR="00000000" w14:paraId="2CEFAEB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EA5E7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F798B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68F2F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Обоснование</w:t>
            </w:r>
          </w:p>
        </w:tc>
      </w:tr>
      <w:tr w:rsidR="00000000" w14:paraId="74B41CD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E04D0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Категория обрабатываемых персональных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B55B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Иные категории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4F3A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Специальные категории и биометрические данные не обрабатываются, их передача запрещена договором</w:t>
            </w:r>
          </w:p>
        </w:tc>
      </w:tr>
      <w:tr w:rsidR="00000000" w14:paraId="08E9218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44A57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Отношение субъектов к оператору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4AF6A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являются работниками оператора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A5E1C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Субъекты — лица, упомянутые в документах заказчиков</w:t>
            </w:r>
          </w:p>
        </w:tc>
      </w:tr>
      <w:tr w:rsidR="00000000" w14:paraId="117F22D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80B3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Количество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3084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Менее 100 000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1A120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Оценка на основании планируемого объёма</w:t>
            </w:r>
          </w:p>
        </w:tc>
      </w:tr>
      <w:tr w:rsidR="00000000" w14:paraId="638187B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86041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Тип актуальных угроз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188C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3-й тип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— угрозы, не связанные с наличием недекларированных возможностей в системном и прикладном программном обеспечении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870F1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 3: нарушитель с соответствующим потенциалом признан неактуальным</w:t>
            </w:r>
          </w:p>
        </w:tc>
      </w:tr>
    </w:tbl>
    <w:p w14:paraId="7B3F8FB4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ВЫВОД: требуется обеспечение 4-го уровня защищённости персональных данных (УЗ-4).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[ПРОВЕРИТЬ по тексту ПП РФ № 1119]</w:t>
      </w:r>
    </w:p>
    <w:p w14:paraId="5078D6A3" w14:textId="77777777" w:rsidR="00CB5507" w:rsidRDefault="00CB550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следует из УЗ-4</w:t>
      </w:r>
    </w:p>
    <w:p w14:paraId="46CF1AEF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Согласно приказу ФСТЭК России от 18.02.2013 № 21, для 3-го и 4-го уровней защищённости </w:t>
      </w:r>
      <w:r>
        <w:rPr>
          <w:rStyle w:val="a6"/>
          <w:color w:val="000000"/>
          <w:sz w:val="23"/>
          <w:szCs w:val="23"/>
        </w:rPr>
        <w:t>допускается применение средств защиты информации, прошедших оценку соответствия в форме, определяемой оператором</w:t>
      </w:r>
      <w:r>
        <w:rPr>
          <w:color w:val="000000"/>
          <w:sz w:val="23"/>
          <w:szCs w:val="23"/>
        </w:rPr>
        <w:t>, — обязательная сертификация не требуется. Это существенно снижает затраты.</w:t>
      </w:r>
    </w:p>
    <w:p w14:paraId="124915FF" w14:textId="77777777" w:rsidR="00CB5507" w:rsidRDefault="00CB550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Условия, при которых уровень повышается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1434"/>
        <w:gridCol w:w="4231"/>
      </w:tblGrid>
      <w:tr w:rsidR="00000000" w14:paraId="04E23BA6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DA2F1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0C016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Новый уровень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5B8E0" w14:textId="77777777" w:rsidR="00CB5507" w:rsidRDefault="00CB5507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Последствие</w:t>
            </w:r>
          </w:p>
        </w:tc>
      </w:tr>
      <w:tr w:rsidR="00000000" w14:paraId="3303576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713B6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Начинается обработка специальных категорий (статья 10)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C271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Повышается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4DF31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Обязательны сертифицированные средства защиты информации</w:t>
            </w:r>
          </w:p>
        </w:tc>
      </w:tr>
      <w:tr w:rsidR="00000000" w14:paraId="5A269FC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D0D3F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Число субъектов превышает 100 000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1E2E9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Повышается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AC0E3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Расширяется состав обязательных мер</w:t>
            </w:r>
          </w:p>
        </w:tc>
      </w:tr>
      <w:tr w:rsidR="00000000" w14:paraId="08DDC1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D656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Угрозы 2-го типа признаются актуальными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8B3ED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Повышается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B872E" w14:textId="77777777" w:rsidR="00CB5507" w:rsidRDefault="00CB5507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Обязательны сертифицированные средства защиты</w:t>
            </w:r>
          </w:p>
        </w:tc>
      </w:tr>
    </w:tbl>
    <w:p w14:paraId="3E5F0558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Договорный запрет на передачу специальных категорий персональных данных — не формальность, а условие сохранения УЗ-4.</w:t>
      </w:r>
      <w:r>
        <w:rPr>
          <w:color w:val="000000"/>
          <w:sz w:val="23"/>
          <w:szCs w:val="23"/>
        </w:rPr>
        <w:t xml:space="preserve"> Его исключение из договора влечёт пересмотр настоящего акта и кратный рост затрат на защиту.</w:t>
      </w:r>
    </w:p>
    <w:p w14:paraId="5E5CE0F3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Оценка эффективности принимаемых мер</w:t>
      </w:r>
    </w:p>
    <w:p w14:paraId="2C2EBE45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Пункт 4 части 2 статьи 19 требует проведения оценки эффективности </w:t>
      </w:r>
      <w:r>
        <w:rPr>
          <w:rStyle w:val="a6"/>
          <w:color w:val="000000"/>
          <w:sz w:val="23"/>
          <w:szCs w:val="23"/>
        </w:rPr>
        <w:t>до ввода информационной системы в эксплуатацию</w:t>
      </w:r>
      <w:r>
        <w:rPr>
          <w:color w:val="000000"/>
          <w:sz w:val="23"/>
          <w:szCs w:val="23"/>
        </w:rPr>
        <w:t>. Оценка проводится оператором самостоятельно; результаты оформляются отдельным актом.</w:t>
      </w:r>
    </w:p>
    <w:p w14:paraId="18461770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До завершения задач У-1, У-2, У-8 и У-9 положительная оценка эффективности дана быть не может.</w:t>
      </w:r>
    </w:p>
    <w:p w14:paraId="53FDEA45" w14:textId="77777777" w:rsidR="00CB5507" w:rsidRDefault="00CB5507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Подписи</w:t>
      </w:r>
    </w:p>
    <w:p w14:paraId="4F1136F3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Определение угроз и уровень защищённости определил:</w:t>
      </w:r>
    </w:p>
    <w:p w14:paraId="6275F8F8" w14:textId="77777777" w:rsidR="00CB5507" w:rsidRDefault="00CB5507">
      <w:pPr>
        <w:pStyle w:val="a5"/>
        <w:rPr>
          <w:color w:val="000000"/>
          <w:sz w:val="23"/>
          <w:szCs w:val="23"/>
        </w:rPr>
      </w:pPr>
      <w:r>
        <w:rPr>
          <w:rStyle w:val="a7"/>
          <w:b/>
          <w:bCs/>
          <w:color w:val="000000"/>
          <w:sz w:val="23"/>
          <w:szCs w:val="23"/>
        </w:rPr>
        <w:t>__ / ___</w:t>
      </w:r>
      <w:r>
        <w:rPr>
          <w:rStyle w:val="a6"/>
          <w:color w:val="000000"/>
          <w:sz w:val="23"/>
          <w:szCs w:val="23"/>
        </w:rPr>
        <w:t xml:space="preserve"> / «</w:t>
      </w:r>
      <w:r>
        <w:rPr>
          <w:color w:val="000000"/>
          <w:sz w:val="23"/>
          <w:szCs w:val="23"/>
        </w:rPr>
        <w:t xml:space="preserve">_» </w:t>
      </w:r>
      <w:r>
        <w:rPr>
          <w:rStyle w:val="a7"/>
          <w:b/>
          <w:bCs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>___ 2026 г.</w:t>
      </w:r>
    </w:p>
    <w:sectPr w:rsidR="00CB5507" w:rsidSect="00082A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F635" w14:textId="77777777" w:rsidR="00CB5507" w:rsidRDefault="00CB5507" w:rsidP="00082AE9">
      <w:r>
        <w:separator/>
      </w:r>
    </w:p>
  </w:endnote>
  <w:endnote w:type="continuationSeparator" w:id="0">
    <w:p w14:paraId="398F7E1E" w14:textId="77777777" w:rsidR="00CB5507" w:rsidRDefault="00CB5507" w:rsidP="00082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F01C" w14:textId="77777777" w:rsidR="00082AE9" w:rsidRDefault="00082AE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DF0B" w14:textId="3A7D4308" w:rsidR="00082AE9" w:rsidRPr="00082AE9" w:rsidRDefault="00082AE9" w:rsidP="00082AE9">
    <w:pPr>
      <w:pStyle w:val="aa"/>
      <w:jc w:val="right"/>
      <w:rPr>
        <w:color w:val="808080"/>
        <w:sz w:val="16"/>
      </w:rPr>
    </w:pPr>
    <w:r w:rsidRPr="00082AE9">
      <w:rPr>
        <w:color w:val="808080"/>
        <w:sz w:val="16"/>
      </w:rPr>
      <w:t xml:space="preserve">ГОТОВЫЕ_4_Модель_угроз_и_акт_УЗ   |   стр. </w:t>
    </w:r>
    <w:r w:rsidRPr="00082AE9">
      <w:rPr>
        <w:color w:val="808080"/>
        <w:sz w:val="16"/>
      </w:rPr>
      <w:fldChar w:fldCharType="begin"/>
    </w:r>
    <w:r w:rsidRPr="00082AE9">
      <w:rPr>
        <w:color w:val="808080"/>
        <w:sz w:val="16"/>
      </w:rPr>
      <w:instrText xml:space="preserve"> PAGE  \* MERGEFORMAT </w:instrText>
    </w:r>
    <w:r w:rsidRPr="00082AE9">
      <w:rPr>
        <w:color w:val="808080"/>
        <w:sz w:val="16"/>
      </w:rPr>
      <w:fldChar w:fldCharType="separate"/>
    </w:r>
    <w:r w:rsidRPr="00082AE9">
      <w:rPr>
        <w:noProof/>
        <w:color w:val="808080"/>
        <w:sz w:val="16"/>
      </w:rPr>
      <w:t>1</w:t>
    </w:r>
    <w:r w:rsidRPr="00082AE9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285F7" w14:textId="77777777" w:rsidR="00082AE9" w:rsidRDefault="00082AE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BBC1" w14:textId="77777777" w:rsidR="00CB5507" w:rsidRDefault="00CB5507" w:rsidP="00082AE9">
      <w:r>
        <w:separator/>
      </w:r>
    </w:p>
  </w:footnote>
  <w:footnote w:type="continuationSeparator" w:id="0">
    <w:p w14:paraId="70D963CC" w14:textId="77777777" w:rsidR="00CB5507" w:rsidRDefault="00CB5507" w:rsidP="00082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3428" w14:textId="77777777" w:rsidR="00082AE9" w:rsidRDefault="00082AE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C9239" w14:textId="77777777" w:rsidR="00082AE9" w:rsidRDefault="00082AE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AB6F" w14:textId="77777777" w:rsidR="00082AE9" w:rsidRDefault="00082AE9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8E"/>
    <w:rsid w:val="00082AE9"/>
    <w:rsid w:val="003F468E"/>
    <w:rsid w:val="00C00A91"/>
    <w:rsid w:val="00CB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597B86"/>
  <w15:chartTrackingRefBased/>
  <w15:docId w15:val="{D0CBEF24-AA54-4A9D-9B55-238CD7C5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082AE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82AE9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082AE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82AE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2191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185873498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4_Модель_угроз_и_акт_УЗ.md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