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5503" w14:textId="77777777" w:rsidR="004E7564" w:rsidRDefault="004E7564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Досье на внешний инференс-эндпоинт </w:t>
      </w:r>
      <w:r>
        <w:rPr>
          <w:rStyle w:val="HTML"/>
          <w:color w:val="000000"/>
        </w:rPr>
        <w:t>oui.interfonica.cloud</w:t>
      </w:r>
    </w:p>
    <w:p w14:paraId="38244096" w14:textId="77777777" w:rsidR="004E7564" w:rsidRDefault="004E7564">
      <w:pPr>
        <w:jc w:val="center"/>
        <w:divId w:val="1919708515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02_ДОСЬЕ_LLM-шлюз_и_запрос_в_Интерфонику.md</w:t>
      </w:r>
    </w:p>
    <w:p w14:paraId="61CE94EE" w14:textId="77777777" w:rsidR="004E7564" w:rsidRDefault="004E756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 формальный запрос в адрес ООО «ИНТЕРФОНИКА»</w:t>
      </w:r>
    </w:p>
    <w:p w14:paraId="4D345184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16.08.2026.</w:t>
      </w:r>
      <w:r>
        <w:rPr>
          <w:color w:val="000000"/>
          <w:sz w:val="23"/>
          <w:szCs w:val="23"/>
        </w:rPr>
        <w:t xml:space="preserve"> Основание: ч. 3 ст. 6, ст. 12, ст. 19 Федерального закона от 27.07.2006 № 152-ФЗ.</w:t>
      </w:r>
    </w:p>
    <w:p w14:paraId="6B2813BC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700F997">
          <v:rect id="_x0000_i1025" style="width:0;height:1.5pt" o:hralign="center" o:hrstd="t" o:hr="t" fillcolor="#a0a0a0" stroked="f"/>
        </w:pict>
      </w:r>
    </w:p>
    <w:p w14:paraId="7B8A0AE1" w14:textId="77777777" w:rsidR="004E7564" w:rsidRDefault="004E756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I. ЧТО УСТАНОВЛЕНО САМОСТОЯТЕЛЬНО</w:t>
      </w:r>
    </w:p>
    <w:p w14:paraId="79D0560B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Технические факты (из кодовой базы, проверено)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469"/>
        <w:gridCol w:w="3129"/>
      </w:tblGrid>
      <w:tr w:rsidR="00000000" w14:paraId="4F24AE5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1CB06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675BB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F4487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Источник в коде</w:t>
            </w:r>
          </w:p>
        </w:tc>
      </w:tr>
      <w:tr w:rsidR="00000000" w14:paraId="1D056CB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1C58E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Эндпоинт LLM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4B306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https://oui.interfonica.cloud/v1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POST /chat/completions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4D03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llm.py:414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конфигурация запуска</w:t>
            </w:r>
          </w:p>
        </w:tc>
      </w:tr>
      <w:tr w:rsidR="00000000" w14:paraId="4F0C94B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9211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Эндпоинт GLiNER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7636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https://oui.interfonica.cloud/gliner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POST /extract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DE7A6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gliner_remote.py:142, 361</w:t>
            </w:r>
          </w:p>
        </w:tc>
      </w:tr>
      <w:tr w:rsidR="00000000" w14:paraId="43A0C71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2CA7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Что передаётся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CF1DE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Сырой текст документа до маскирования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в поле </w:t>
            </w:r>
            <w:r>
              <w:rPr>
                <w:rStyle w:val="HTML"/>
                <w:color w:val="000000"/>
              </w:rPr>
              <w:t>messages[1].content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7C0E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llm.py:_request_once</w:t>
            </w:r>
          </w:p>
        </w:tc>
      </w:tr>
      <w:tr w:rsidR="00000000" w14:paraId="5DBA42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2C7C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5D70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Bearer-токен, заголовок </w:t>
            </w:r>
            <w:r>
              <w:rPr>
                <w:rStyle w:val="HTML"/>
                <w:color w:val="000000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7364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llm.py:417</w:t>
            </w:r>
          </w:p>
        </w:tc>
      </w:tr>
      <w:tr w:rsidR="00000000" w14:paraId="137CB8A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803A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(по тарификации)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001A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«Selectel Gemma 4 31B»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CD038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usage_log.py:49, 106</w:t>
            </w:r>
          </w:p>
        </w:tc>
      </w:tr>
      <w:tr w:rsidR="00000000" w14:paraId="173C19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5B7D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(дефолты CLI)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B6C2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gemma4:12b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google/gemma-4-12b-qat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1105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anonymize_document.py:37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profile_run.py:14</w:t>
            </w:r>
          </w:p>
        </w:tc>
      </w:tr>
      <w:tr w:rsidR="00000000" w14:paraId="0CB737C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E585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(дефолты сервера)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0EE82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qwen3.5:9b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ABB7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server.py:669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llm.py:248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review.py:344</w:t>
            </w:r>
          </w:p>
        </w:tc>
      </w:tr>
    </w:tbl>
    <w:p w14:paraId="6BE2811C" w14:textId="77777777" w:rsidR="004E7564" w:rsidRDefault="004E7564">
      <w:pPr>
        <w:pStyle w:val="3"/>
        <w:shd w:val="clear" w:color="auto" w:fill="F4F4F4"/>
        <w:divId w:val="2078625266"/>
        <w:rPr>
          <w:rFonts w:eastAsia="Times New Roman"/>
          <w:color w:val="000000"/>
        </w:rPr>
      </w:pPr>
      <w:r>
        <w:rPr>
          <w:rFonts w:ascii="Segoe UI Emoji" w:eastAsia="Times New Roman" w:hAnsi="Segoe UI Emoji" w:cs="Segoe UI Emoji"/>
          <w:color w:val="000000"/>
        </w:rPr>
        <w:t>✅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ЗАКРЫТО</w:t>
      </w:r>
      <w:r>
        <w:rPr>
          <w:rFonts w:eastAsia="Times New Roman"/>
          <w:color w:val="000000"/>
        </w:rPr>
        <w:t xml:space="preserve"> 16.08.2026 </w:t>
      </w:r>
      <w:r>
        <w:rPr>
          <w:rFonts w:eastAsia="Times New Roman"/>
          <w:color w:val="000000"/>
        </w:rPr>
        <w:t>—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файлу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.env</w:t>
      </w:r>
      <w:r>
        <w:rPr>
          <w:rFonts w:eastAsia="Times New Roman"/>
          <w:color w:val="000000"/>
        </w:rPr>
        <w:t xml:space="preserve"> продуктивного сервера</w:t>
      </w:r>
    </w:p>
    <w:p w14:paraId="6B80107F" w14:textId="77777777" w:rsidR="004E7564" w:rsidRDefault="004E7564">
      <w:pPr>
        <w:shd w:val="clear" w:color="auto" w:fill="F4F4F4"/>
        <w:spacing w:after="80"/>
        <w:jc w:val="both"/>
        <w:divId w:val="2078625266"/>
        <w:rPr>
          <w:color w:val="000000"/>
          <w:sz w:val="21"/>
          <w:szCs w:val="21"/>
        </w:rPr>
      </w:pPr>
      <w:r>
        <w:rPr>
          <w:rStyle w:val="HTML"/>
          <w:color w:val="000000"/>
        </w:rPr>
        <w:t>ANONYMIZER_LLM_MODEL=qwen3.5-35b</w:t>
      </w:r>
      <w:r>
        <w:rPr>
          <w:color w:val="000000"/>
          <w:sz w:val="21"/>
          <w:szCs w:val="21"/>
        </w:rPr>
        <w:t xml:space="preserve">. В продуктивной среде используется </w:t>
      </w:r>
      <w:r>
        <w:rPr>
          <w:rStyle w:val="a6"/>
          <w:color w:val="000000"/>
          <w:sz w:val="21"/>
          <w:szCs w:val="21"/>
        </w:rPr>
        <w:t>Qwen 3.5 35B</w:t>
      </w:r>
      <w:r>
        <w:rPr>
          <w:color w:val="000000"/>
          <w:sz w:val="21"/>
          <w:szCs w:val="21"/>
        </w:rPr>
        <w:t xml:space="preserve">, а не Gemma. Модель распространяется под </w:t>
      </w:r>
      <w:r>
        <w:rPr>
          <w:rStyle w:val="a6"/>
          <w:color w:val="000000"/>
          <w:sz w:val="21"/>
          <w:szCs w:val="21"/>
        </w:rPr>
        <w:t>Apache-2.0</w:t>
      </w:r>
      <w:r>
        <w:rPr>
          <w:color w:val="000000"/>
          <w:sz w:val="21"/>
          <w:szCs w:val="21"/>
        </w:rPr>
        <w:t>, коммерческое использование разрешено без дополнительных условий.</w:t>
      </w:r>
    </w:p>
    <w:p w14:paraId="2B05C5C2" w14:textId="77777777" w:rsidR="004E7564" w:rsidRDefault="004E7564">
      <w:pPr>
        <w:shd w:val="clear" w:color="auto" w:fill="F4F4F4"/>
        <w:spacing w:after="80"/>
        <w:jc w:val="both"/>
        <w:divId w:val="2078625266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Следствие: блок В.14 (Gemma Terms of Use) неприменим полностью.</w:t>
      </w:r>
      <w:r>
        <w:rPr>
          <w:color w:val="000000"/>
          <w:sz w:val="21"/>
          <w:szCs w:val="21"/>
        </w:rPr>
        <w:t xml:space="preserve"> Обязательства по переносу Prohibited Use Policy в оферту, предоставлению копии условий получателям и цепочке согласий не возникают.</w:t>
      </w:r>
    </w:p>
    <w:p w14:paraId="1780736E" w14:textId="77777777" w:rsidR="004E7564" w:rsidRDefault="004E7564">
      <w:pPr>
        <w:shd w:val="clear" w:color="auto" w:fill="F4F4F4"/>
        <w:spacing w:after="80"/>
        <w:jc w:val="both"/>
        <w:divId w:val="207862526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Строки </w:t>
      </w:r>
      <w:r>
        <w:rPr>
          <w:rStyle w:val="HTML"/>
          <w:color w:val="000000"/>
        </w:rPr>
        <w:t>gemma4:12b</w:t>
      </w:r>
      <w:r>
        <w:rPr>
          <w:color w:val="000000"/>
          <w:sz w:val="21"/>
          <w:szCs w:val="21"/>
        </w:rPr>
        <w:t xml:space="preserve"> и </w:t>
      </w:r>
      <w:r>
        <w:rPr>
          <w:rStyle w:val="HTML"/>
          <w:color w:val="000000"/>
        </w:rPr>
        <w:t>google/gemma-4-12b-qat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— дефолты CLI для локальной разработки с LM Studio. «Selectel Gemma 4 31B» в </w:t>
      </w:r>
      <w:r>
        <w:rPr>
          <w:rStyle w:val="HTML"/>
          <w:color w:val="000000"/>
        </w:rPr>
        <w:t>usage_log.py</w:t>
      </w:r>
      <w:r>
        <w:rPr>
          <w:color w:val="000000"/>
          <w:sz w:val="21"/>
          <w:szCs w:val="21"/>
        </w:rPr>
        <w:t xml:space="preserve"> — тариф для расчёта стоимости, а не используемая модель.</w:t>
      </w:r>
    </w:p>
    <w:p w14:paraId="35D8EF2B" w14:textId="77777777" w:rsidR="004E7564" w:rsidRDefault="004E7564">
      <w:pPr>
        <w:shd w:val="clear" w:color="auto" w:fill="F4F4F4"/>
        <w:spacing w:after="80"/>
        <w:jc w:val="both"/>
        <w:divId w:val="207862526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Остаётся подтвердить письменно: правомочность оператора шлюза предоставлять модель как сервис (Блок 2, вопрос 2.4) и модель, обслуживающую </w:t>
      </w:r>
      <w:r>
        <w:rPr>
          <w:rStyle w:val="HTML"/>
          <w:color w:val="000000"/>
        </w:rPr>
        <w:t>/gliner/extract</w:t>
      </w:r>
      <w:r>
        <w:rPr>
          <w:color w:val="000000"/>
          <w:sz w:val="21"/>
          <w:szCs w:val="21"/>
        </w:rPr>
        <w:t xml:space="preserve"> (вопрос 2.2).</w:t>
      </w:r>
    </w:p>
    <w:p w14:paraId="5E5C24E7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1.2. Юридическое лицо (проверено по открытым источникам)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53"/>
      </w:tblGrid>
      <w:tr w:rsidR="00000000" w14:paraId="64AAF55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09B6C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72820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Значение</w:t>
            </w:r>
          </w:p>
        </w:tc>
      </w:tr>
      <w:tr w:rsidR="00000000" w14:paraId="734AE75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300C6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16134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</w:t>
            </w:r>
          </w:p>
        </w:tc>
      </w:tr>
      <w:tr w:rsidR="00000000" w14:paraId="5F7D1B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A2AE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CDD94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3808196695</w:t>
            </w:r>
          </w:p>
        </w:tc>
      </w:tr>
      <w:tr w:rsidR="00000000" w14:paraId="2567267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E57EE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02D5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1163850088038</w:t>
            </w:r>
          </w:p>
        </w:tc>
      </w:tr>
      <w:tr w:rsidR="00000000" w14:paraId="5E7329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B52E4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Дата регистрации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7960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16.09.2016</w:t>
            </w:r>
          </w:p>
        </w:tc>
      </w:tr>
      <w:tr w:rsidR="00000000" w14:paraId="74B41B9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E664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Место нахождения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CFD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г. Иркутск (по ЕГРЮЛ — ул. Грязнова, 18Б, оф. 204; фактический адрес по сайту — ул. Декабрьских Событий, 57, оф. 801)</w:t>
            </w:r>
          </w:p>
        </w:tc>
      </w:tr>
      <w:tr w:rsidR="00000000" w14:paraId="7E84F56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44E12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Генеральный директор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3E21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Слуднев Тимофей Николаевич</w:t>
            </w:r>
          </w:p>
        </w:tc>
      </w:tr>
      <w:tr w:rsidR="00000000" w14:paraId="3634A94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8407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Заявляемые услуги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E2EC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Два собственных ЦОД, colocation, «Облако 152-ФЗ» с заявленным уровнем защищённости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УЗ-2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соответствие ФСТЭК / 152-ФЗ / ГОСТ Р 57580</w:t>
            </w:r>
          </w:p>
        </w:tc>
      </w:tr>
      <w:tr w:rsidR="00000000" w14:paraId="4B7FD20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F231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Отраслевые референсы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1434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КрайсНефть (нефтяная отрасль), ИрГУПС, Сервико, Слата</w:t>
            </w:r>
          </w:p>
        </w:tc>
      </w:tr>
    </w:tbl>
    <w:p w14:paraId="01A9A726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Значимо: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Интерфоника находится в Иркутске — том же городе, что и потенциальный заказчик ИНК, и уже имеет референс в нефтяной отрасли. Это усиливает переговорную позицию.</w:t>
      </w:r>
    </w:p>
    <w:p w14:paraId="647E1227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1.3. Чего установить самостоятельно НЕ удалось</w:t>
      </w:r>
    </w:p>
    <w:p w14:paraId="538B4898" w14:textId="77777777" w:rsidR="004E7564" w:rsidRDefault="004E756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 xml:space="preserve">Физическое расположение вычислительных мощностей, обслуживающих </w:t>
      </w:r>
      <w:r>
        <w:rPr>
          <w:rStyle w:val="HTML"/>
          <w:b/>
          <w:bCs/>
          <w:color w:val="000000"/>
        </w:rPr>
        <w:t>oui.interfonica.cloud</w:t>
      </w:r>
      <w:r>
        <w:rPr>
          <w:rStyle w:val="a6"/>
          <w:rFonts w:eastAsia="Times New Roman"/>
          <w:color w:val="000000"/>
          <w:sz w:val="23"/>
          <w:szCs w:val="23"/>
        </w:rPr>
        <w:t>.</w:t>
      </w:r>
      <w:r>
        <w:rPr>
          <w:rFonts w:eastAsia="Times New Roman"/>
          <w:color w:val="000000"/>
          <w:sz w:val="23"/>
          <w:szCs w:val="23"/>
        </w:rPr>
        <w:t xml:space="preserve"> Домен не отдаёт публичного контента; разрешение DNS из среды анализа недоступно.</w:t>
      </w:r>
    </w:p>
    <w:p w14:paraId="216CE023" w14:textId="77777777" w:rsidR="004E7564" w:rsidRDefault="004E756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Входит ли инференс-эндпоинт в область действия аттестата соответствия</w:t>
      </w:r>
      <w:r>
        <w:rPr>
          <w:rFonts w:eastAsia="Times New Roman"/>
          <w:color w:val="000000"/>
          <w:sz w:val="23"/>
          <w:szCs w:val="23"/>
        </w:rPr>
        <w:t xml:space="preserve"> (см. Часть II).</w:t>
      </w:r>
    </w:p>
    <w:p w14:paraId="68DF6E49" w14:textId="77777777" w:rsidR="004E7564" w:rsidRDefault="004E756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Наличие апстрима.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Тарификация по прайсу Selectel указывает на возможное проксирование инференса на мощности Selectel (российский провайдер, ЦОД в РФ). Если это так — трансграничной передачи нет. Если апстрим иной и находится за пределами РФ — возникает трансграничная передача по ст. 12 152-ФЗ с обязанностью предварительного уведомления Роскомнадзора.</w:t>
      </w:r>
    </w:p>
    <w:p w14:paraId="5E96E2F9" w14:textId="77777777" w:rsidR="004E7564" w:rsidRDefault="004E756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Логируются ли содержимое запросов и ответов</w:t>
      </w:r>
      <w:r>
        <w:rPr>
          <w:rFonts w:eastAsia="Times New Roman"/>
          <w:color w:val="000000"/>
          <w:sz w:val="23"/>
          <w:szCs w:val="23"/>
        </w:rPr>
        <w:t>, срок хранения, круг доступа, использование для обучения моделей.</w:t>
      </w:r>
    </w:p>
    <w:p w14:paraId="5D8E5F58" w14:textId="77777777" w:rsidR="004E7564" w:rsidRDefault="004E7564">
      <w:pPr>
        <w:shd w:val="clear" w:color="auto" w:fill="F4F4F4"/>
        <w:spacing w:after="80"/>
        <w:jc w:val="both"/>
        <w:divId w:val="41867350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Эти четыре пункта — </w:t>
      </w:r>
      <w:r>
        <w:rPr>
          <w:rStyle w:val="a6"/>
          <w:color w:val="000000"/>
          <w:sz w:val="21"/>
          <w:szCs w:val="21"/>
        </w:rPr>
        <w:t>блокирующие</w:t>
      </w:r>
      <w:r>
        <w:rPr>
          <w:color w:val="000000"/>
          <w:sz w:val="21"/>
          <w:szCs w:val="21"/>
        </w:rPr>
        <w:t xml:space="preserve">. До получения письменных ответов утверждать заказчику, что обработка полностью локализована в РФ, </w:t>
      </w:r>
      <w:r>
        <w:rPr>
          <w:rStyle w:val="a6"/>
          <w:color w:val="000000"/>
          <w:sz w:val="21"/>
          <w:szCs w:val="21"/>
        </w:rPr>
        <w:t>нельзя</w:t>
      </w:r>
      <w:r>
        <w:rPr>
          <w:color w:val="000000"/>
          <w:sz w:val="21"/>
          <w:szCs w:val="21"/>
        </w:rPr>
        <w:t>.</w:t>
      </w:r>
    </w:p>
    <w:p w14:paraId="39EC9A98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B73EA9A">
          <v:rect id="_x0000_i1026" style="width:0;height:1.5pt" o:hralign="center" o:hrstd="t" o:hr="t" fillcolor="#a0a0a0" stroked="f"/>
        </w:pict>
      </w:r>
    </w:p>
    <w:p w14:paraId="44F39B13" w14:textId="77777777" w:rsidR="004E7564" w:rsidRDefault="004E756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II. РАЗБОР ПРЕДОСТАВЛЕННЫХ ДОКУМЕНТОВ</w:t>
      </w:r>
    </w:p>
    <w:p w14:paraId="50910A48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Получено четыре документа. Ниже — что каждый из них доказывает и, что важнее, чего он не доказывает.</w:t>
      </w:r>
    </w:p>
    <w:p w14:paraId="674458F3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2.1. Аттестат соответствия АИС «Инфраструктура» № 1068.00022.2024 от 29.03.2024</w:t>
      </w:r>
    </w:p>
    <w:p w14:paraId="44155897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Это единственный из четырёх документов, имеющий прямое отношение к защите информации у провайдера, и он ценен.</w:t>
      </w:r>
    </w:p>
    <w:p w14:paraId="01F46B6E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Аттестат выдан на автоматизированную информационную систему «Инфраструктура» ООО «Интерфоника». По водяным знакам аттестующая организация — </w:t>
      </w:r>
      <w:r>
        <w:rPr>
          <w:rStyle w:val="a6"/>
          <w:color w:val="000000"/>
          <w:sz w:val="23"/>
          <w:szCs w:val="23"/>
        </w:rPr>
        <w:t>АО «Восточно-Сибирский центр ЕВРААС»</w:t>
      </w:r>
      <w:r>
        <w:rPr>
          <w:color w:val="000000"/>
          <w:sz w:val="23"/>
          <w:szCs w:val="23"/>
        </w:rPr>
        <w:t xml:space="preserve"> (ИНН 3808001025, ОГРН 1033801011419, г. Иркутск, пер. Пионерский, 11; работает с 1993 г.; имеет лицензии ФСТЭК России на техническую защиту конфиденциальной информации и на работы со сведениями, составляющими государственную тайну; выполняет аттестацию ГИС, ИСПДн и АС). </w:t>
      </w:r>
      <w:r>
        <w:rPr>
          <w:rStyle w:val="a6"/>
          <w:color w:val="000000"/>
          <w:sz w:val="23"/>
          <w:szCs w:val="23"/>
        </w:rPr>
        <w:t>Аттестующая организация — надлежащий лицензиат.</w:t>
      </w:r>
    </w:p>
    <w:p w14:paraId="18CA14E2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Однако предоставлена только титульная страница.</w:t>
      </w:r>
      <w:r>
        <w:rPr>
          <w:color w:val="000000"/>
          <w:sz w:val="23"/>
          <w:szCs w:val="23"/>
        </w:rPr>
        <w:t xml:space="preserve"> Юридическую силу аттестату придают приложения, которых нет: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6157"/>
      </w:tblGrid>
      <w:tr w:rsidR="00000000" w14:paraId="72CC6D8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FE53E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необходимо получить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A3C68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Почему это критично</w:t>
            </w:r>
          </w:p>
        </w:tc>
      </w:tr>
      <w:tr w:rsidR="00000000" w14:paraId="3D9D8E8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27E61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Область действия аттестата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(перечень аттестованных сегментов, помещений, технических средств)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71AD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Определяет,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входит ли в неё та площадка, где будет размещён наш сервис и инференс-эндпоинт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Аттестат на «Инфраструктуру» может покрывать корпоративную сеть провайдера и не покрывать GPU-контур с языковой моделью. Это вопрос № 1</w:t>
            </w:r>
          </w:p>
        </w:tc>
      </w:tr>
      <w:tr w:rsidR="00000000" w14:paraId="02D40BE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0FA5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Класс защищённости / уровень защищённости ПДн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на который аттестована система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1227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Сайт заявляет УЗ-2. Аттестат должен это подтверждать буквально. Разница между УЗ-2 и УЗ-3 определяет, требуются ли сертифицированные СЗИ</w:t>
            </w:r>
          </w:p>
        </w:tc>
      </w:tr>
      <w:tr w:rsidR="00000000" w14:paraId="5A9177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A044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Срок действия аттестата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3ADD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Выдан 29.03.2024. Типичный срок — 3 года (то есть до 29.03.2027) либо бессрочно с обязательным ежегодным контролем. Нужно знать дату и наличие отметок о контроле</w:t>
            </w:r>
          </w:p>
        </w:tc>
      </w:tr>
      <w:tr w:rsidR="00000000" w14:paraId="01D93F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864B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Перечень технических средств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(приложение к аттестату)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C7D8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Позволяет сопоставить с фактической площадкой размещения</w:t>
            </w:r>
          </w:p>
        </w:tc>
      </w:tr>
      <w:tr w:rsidR="00000000" w14:paraId="715F26B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76B6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Протоколы аттестационных испытаний и заключение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FC11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Запрашиваются при вендорском аудите заказчика уровня ИНК</w:t>
            </w:r>
          </w:p>
        </w:tc>
      </w:tr>
      <w:tr w:rsidR="00000000" w14:paraId="3C4463D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D6B8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Лицензия ФСТЭК АО «ВСЦ ЕВРААС»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(копия)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34901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Подтверждает правомочность выдачи аттестата</w:t>
            </w:r>
          </w:p>
        </w:tc>
      </w:tr>
    </w:tbl>
    <w:p w14:paraId="26B7C71D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Три сертификата АО «ИнфоТеКС» — что они на самом деле означают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4525"/>
        <w:gridCol w:w="1873"/>
      </w:tblGrid>
      <w:tr w:rsidR="00000000" w14:paraId="5E3608A6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E755B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90B63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69B07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Период</w:t>
            </w:r>
          </w:p>
        </w:tc>
      </w:tr>
      <w:tr w:rsidR="00000000" w14:paraId="5A4F5BA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6AF7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№ c6UJ9A00MG6W/1-1 от 01.07.2026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6EB8E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 ViPNet Administrator 4.x (КС2), 1 лицензия, сеть 21902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799A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02.07.2026 – 01.07.2027</w:t>
            </w:r>
          </w:p>
        </w:tc>
      </w:tr>
      <w:tr w:rsidR="00000000" w14:paraId="1A4E499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D40A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№ c6UJ9A00MG6W/1-2 от 01.07.2026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759E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 ViPNet Client for Windows 4.x (КС2), 1 лицензия, сеть 21902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1EFE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02.07.2026 – 01.07.2027</w:t>
            </w:r>
          </w:p>
        </w:tc>
      </w:tr>
      <w:tr w:rsidR="00000000" w14:paraId="2A8F9B0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9EE5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Идентификатор 3445587/2/1-IDSNS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83F5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ПАК ViPNet IDS NS1000 3.x, обновление баз решающих правил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2C2F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02.07.2026 – 02.07.2027</w:t>
            </w:r>
          </w:p>
        </w:tc>
      </w:tr>
    </w:tbl>
    <w:p w14:paraId="623B7F69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 и без смягчения: это не сертификаты соответствия и не подтверждение защищённости.</w:t>
      </w:r>
      <w:r>
        <w:rPr>
          <w:color w:val="000000"/>
          <w:sz w:val="23"/>
          <w:szCs w:val="23"/>
        </w:rPr>
        <w:t xml:space="preserve"> Это </w:t>
      </w:r>
      <w:r>
        <w:rPr>
          <w:rStyle w:val="a6"/>
          <w:color w:val="000000"/>
          <w:sz w:val="23"/>
          <w:szCs w:val="23"/>
        </w:rPr>
        <w:t>сертификаты активации сервисов технической поддержки и обновления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коммерческие документы о том, что оплачена подписка на поддержку и на обновление баз решающих правил. Партнёр первой линии поддержки — АО «Восточно-Сибирский центр ЕВРААС».</w:t>
      </w:r>
    </w:p>
    <w:p w14:paraId="1F93C280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из них всё же следует полезного:</w:t>
      </w:r>
    </w:p>
    <w:p w14:paraId="02997CCC" w14:textId="77777777" w:rsidR="004E7564" w:rsidRDefault="004E756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У ООО «ИНТЕРФОНИКА» есть </w:t>
      </w:r>
      <w:r>
        <w:rPr>
          <w:rStyle w:val="a6"/>
          <w:rFonts w:eastAsia="Times New Roman"/>
          <w:color w:val="000000"/>
          <w:sz w:val="23"/>
          <w:szCs w:val="23"/>
        </w:rPr>
        <w:t>лицензии на ViPNet Administrator и ViPNet Client класса КС2</w:t>
      </w:r>
      <w:r>
        <w:rPr>
          <w:rFonts w:eastAsia="Times New Roman"/>
          <w:color w:val="000000"/>
          <w:sz w:val="23"/>
          <w:szCs w:val="23"/>
        </w:rPr>
        <w:t xml:space="preserve"> и собственная защищённая сеть ViPNet № 21902. Это означает наличие сертифицированной ФСБ России криптографии по ГОСТ. Практическое следствие: </w:t>
      </w:r>
      <w:r>
        <w:rPr>
          <w:rStyle w:val="a6"/>
          <w:rFonts w:eastAsia="Times New Roman"/>
          <w:color w:val="000000"/>
          <w:sz w:val="23"/>
          <w:szCs w:val="23"/>
        </w:rPr>
        <w:t>технически возможно построить ГОСТ-VPN между нашим сервером и контуром провайдера или контуром заказчика.</w:t>
      </w:r>
      <w:r>
        <w:rPr>
          <w:rFonts w:eastAsia="Times New Roman"/>
          <w:color w:val="000000"/>
          <w:sz w:val="23"/>
          <w:szCs w:val="23"/>
        </w:rPr>
        <w:t xml:space="preserve"> Это прямой и сильный ответ на типовое требование службы информационной безопасности ИНК.</w:t>
      </w:r>
    </w:p>
    <w:p w14:paraId="55555ED9" w14:textId="77777777" w:rsidR="004E7564" w:rsidRDefault="004E756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Есть </w:t>
      </w:r>
      <w:r>
        <w:rPr>
          <w:rStyle w:val="a6"/>
          <w:rFonts w:eastAsia="Times New Roman"/>
          <w:color w:val="000000"/>
          <w:sz w:val="23"/>
          <w:szCs w:val="23"/>
        </w:rPr>
        <w:t>ПАК ViPNet IDS NS1000</w:t>
      </w:r>
      <w:r>
        <w:rPr>
          <w:rFonts w:eastAsia="Times New Roman"/>
          <w:color w:val="000000"/>
          <w:sz w:val="23"/>
          <w:szCs w:val="23"/>
        </w:rPr>
        <w:t xml:space="preserve"> — сертифицированная система обнаружения вторжений с актуализируемыми базами. Это закрывает группу мер «обнаружение вторжений» приказа ФСТЭК России от 18.02.2013 № 21 на уровне инфраструктуры провайдера.</w:t>
      </w:r>
    </w:p>
    <w:p w14:paraId="47248247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из них не следует:</w:t>
      </w:r>
    </w:p>
    <w:p w14:paraId="5EA6A74C" w14:textId="77777777" w:rsidR="004E7564" w:rsidRDefault="004E756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Это средства защиты </w:t>
      </w:r>
      <w:r>
        <w:rPr>
          <w:rStyle w:val="a6"/>
          <w:rFonts w:eastAsia="Times New Roman"/>
          <w:color w:val="000000"/>
          <w:sz w:val="23"/>
          <w:szCs w:val="23"/>
        </w:rPr>
        <w:t>у провайдера</w:t>
      </w:r>
      <w:r>
        <w:rPr>
          <w:rFonts w:eastAsia="Times New Roman"/>
          <w:color w:val="000000"/>
          <w:sz w:val="23"/>
          <w:szCs w:val="23"/>
        </w:rPr>
        <w:t>, а не предоставленные нам. Наш трафик они защищают только при фактическом включении в сеть ViPNet 21902 — что требует отдельного договора и отдельных лицензий.</w:t>
      </w:r>
    </w:p>
    <w:p w14:paraId="3A6CEFB8" w14:textId="77777777" w:rsidR="004E7564" w:rsidRDefault="004E756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Указано </w:t>
      </w:r>
      <w:r>
        <w:rPr>
          <w:rStyle w:val="a6"/>
          <w:rFonts w:eastAsia="Times New Roman"/>
          <w:color w:val="000000"/>
          <w:sz w:val="23"/>
          <w:szCs w:val="23"/>
        </w:rPr>
        <w:t>по одной лицензии</w:t>
      </w:r>
      <w:r>
        <w:rPr>
          <w:rFonts w:eastAsia="Times New Roman"/>
          <w:color w:val="000000"/>
          <w:sz w:val="23"/>
          <w:szCs w:val="23"/>
        </w:rPr>
        <w:t xml:space="preserve"> ViPNet Administrator и ViPNet Client. Это масштаб администрирования собственной сети, а не массового обслуживания клиентов. Наше подключение потребует </w:t>
      </w:r>
      <w:r>
        <w:rPr>
          <w:rStyle w:val="a6"/>
          <w:rFonts w:eastAsia="Times New Roman"/>
          <w:color w:val="000000"/>
          <w:sz w:val="23"/>
          <w:szCs w:val="23"/>
        </w:rPr>
        <w:t>дополнительных лицензий</w:t>
      </w:r>
      <w:r>
        <w:rPr>
          <w:rFonts w:eastAsia="Times New Roman"/>
          <w:color w:val="000000"/>
          <w:sz w:val="23"/>
          <w:szCs w:val="23"/>
        </w:rPr>
        <w:t>, и это отдельная статья затрат.</w:t>
      </w:r>
    </w:p>
    <w:p w14:paraId="003528E9" w14:textId="77777777" w:rsidR="004E7564" w:rsidRDefault="004E756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ViPNet Client указан </w:t>
      </w:r>
      <w:r>
        <w:rPr>
          <w:rStyle w:val="a6"/>
          <w:rFonts w:eastAsia="Times New Roman"/>
          <w:color w:val="000000"/>
          <w:sz w:val="23"/>
          <w:szCs w:val="23"/>
        </w:rPr>
        <w:t>для Windows</w:t>
      </w:r>
      <w:r>
        <w:rPr>
          <w:rFonts w:eastAsia="Times New Roman"/>
          <w:color w:val="000000"/>
          <w:sz w:val="23"/>
          <w:szCs w:val="23"/>
        </w:rPr>
        <w:t xml:space="preserve">. Наш бэкенд работает под Linux (systemd-юнит). Для защиты канала потребуется </w:t>
      </w:r>
      <w:r>
        <w:rPr>
          <w:rStyle w:val="a6"/>
          <w:rFonts w:eastAsia="Times New Roman"/>
          <w:color w:val="000000"/>
          <w:sz w:val="23"/>
          <w:szCs w:val="23"/>
        </w:rPr>
        <w:t>ViPNet Client for Linux либо ViPNet Coordinator</w:t>
      </w:r>
      <w:r>
        <w:rPr>
          <w:rFonts w:eastAsia="Times New Roman"/>
          <w:color w:val="000000"/>
          <w:sz w:val="23"/>
          <w:szCs w:val="23"/>
        </w:rPr>
        <w:t xml:space="preserve"> — иной продукт и иная лицензия.</w:t>
      </w:r>
    </w:p>
    <w:p w14:paraId="126F1590" w14:textId="77777777" w:rsidR="004E7564" w:rsidRDefault="004E756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Сертификаты активации </w:t>
      </w:r>
      <w:r>
        <w:rPr>
          <w:rStyle w:val="a6"/>
          <w:rFonts w:eastAsia="Times New Roman"/>
          <w:color w:val="000000"/>
          <w:sz w:val="23"/>
          <w:szCs w:val="23"/>
        </w:rPr>
        <w:t>ничего не говорят</w:t>
      </w:r>
      <w:r>
        <w:rPr>
          <w:rFonts w:eastAsia="Times New Roman"/>
          <w:color w:val="000000"/>
          <w:sz w:val="23"/>
          <w:szCs w:val="23"/>
        </w:rPr>
        <w:t xml:space="preserve"> ни о размещении инференс-эндпоинта, ни о логировании промптов, ни о наличии договора поручения обработки.</w:t>
      </w:r>
    </w:p>
    <w:p w14:paraId="4A9B0184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Итоговая оценка комплекта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11"/>
      </w:tblGrid>
      <w:tr w:rsidR="00000000" w14:paraId="012D82F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602BF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закрыто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4249E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не закрыто</w:t>
            </w:r>
          </w:p>
        </w:tc>
      </w:tr>
      <w:tr w:rsidR="00000000" w14:paraId="200A75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5EEB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Провайдер — реальное российское юридическое лицо с проверяемыми реквизитами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47431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Договор поручения обработки ПДн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отсутствует, блокирующий документ</w:t>
            </w:r>
          </w:p>
        </w:tc>
      </w:tr>
      <w:tr w:rsidR="00000000" w14:paraId="4C727E2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CCF28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Есть аттестат от надлежащего лицензиата ФСТЭК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4141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Область действия аттестата неизвестна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возможно, наш контур в неё не входит</w:t>
            </w:r>
          </w:p>
        </w:tc>
      </w:tr>
      <w:tr w:rsidR="00000000" w14:paraId="3126671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F98C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Есть сертифицированная ГОСТ-криптография КС2 и СОВ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503F9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Наш канал ими фактически не защищён; нужны отдельные лицензии и Linux-версия</w:t>
            </w:r>
          </w:p>
        </w:tc>
      </w:tr>
      <w:tr w:rsidR="00000000" w14:paraId="7D18322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C912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Отраслевой референс в нефтегазе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A464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Ничего не установлено о самом </w:t>
            </w:r>
            <w:r>
              <w:rPr>
                <w:rStyle w:val="HTML"/>
                <w:color w:val="000000"/>
              </w:rPr>
              <w:t>oui.interfonica.cloud</w:t>
            </w:r>
          </w:p>
        </w:tc>
      </w:tr>
      <w:tr w:rsidR="00000000" w14:paraId="11A3032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9840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9A88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Выписка из реестра операторов ПДн Роскомнадзора — отсутствует</w:t>
            </w:r>
          </w:p>
        </w:tc>
      </w:tr>
      <w:tr w:rsidR="00000000" w14:paraId="17F3E67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DE822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F33D2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Позиция по логированию промптов и обучению на данных — отсутствует</w:t>
            </w:r>
          </w:p>
        </w:tc>
      </w:tr>
    </w:tbl>
    <w:p w14:paraId="02DD41A5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Вывод: полученные документы улучшают картину, но ни один из них не закрывает главный риск.</w:t>
      </w:r>
      <w:r>
        <w:rPr>
          <w:color w:val="000000"/>
          <w:sz w:val="23"/>
          <w:szCs w:val="23"/>
        </w:rPr>
        <w:t xml:space="preserve"> Главный риск — передача сырых персональных данных на инференс-эндпоинт без оформленного поручения обработки — закрывается только договором и письменными ответами на запрос из Части III.</w:t>
      </w:r>
    </w:p>
    <w:p w14:paraId="7D2C0552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8FBDA20">
          <v:rect id="_x0000_i1027" style="width:0;height:1.5pt" o:hralign="center" o:hrstd="t" o:hr="t" fillcolor="#a0a0a0" stroked="f"/>
        </w:pict>
      </w:r>
    </w:p>
    <w:p w14:paraId="1CD50558" w14:textId="77777777" w:rsidR="004E7564" w:rsidRDefault="004E756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III. ЗАПРОС В АДРЕС ООО «ИНТЕРФОНИКА»</w:t>
      </w:r>
    </w:p>
    <w:p w14:paraId="333AB066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Направить на sales@interfonica.ru с копией техническому контакту. Ответ запросить в письменной форме на бланке организации — устные заверения для вендорского аудита непригодны.</w:t>
      </w:r>
    </w:p>
    <w:p w14:paraId="6D8E1211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0EC0910">
          <v:rect id="_x0000_i1028" style="width:0;height:1.5pt" o:hralign="center" o:hrstd="t" o:hr="t" fillcolor="#a0a0a0" stroked="f"/>
        </w:pict>
      </w:r>
    </w:p>
    <w:p w14:paraId="7E580E48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Исх. № </w:t>
      </w:r>
      <w:r>
        <w:rPr>
          <w:rStyle w:val="a7"/>
          <w:b/>
          <w:bCs/>
          <w:color w:val="000000"/>
          <w:sz w:val="23"/>
          <w:szCs w:val="23"/>
        </w:rPr>
        <w:t>_ от «</w:t>
      </w:r>
      <w:r>
        <w:rPr>
          <w:rStyle w:val="a6"/>
          <w:color w:val="000000"/>
          <w:sz w:val="23"/>
          <w:szCs w:val="23"/>
        </w:rPr>
        <w:t xml:space="preserve">» </w:t>
      </w:r>
      <w:r>
        <w:rPr>
          <w:rStyle w:val="a7"/>
          <w:b/>
          <w:bCs/>
          <w:color w:val="000000"/>
          <w:sz w:val="23"/>
          <w:szCs w:val="23"/>
        </w:rPr>
        <w:t>_</w:t>
      </w:r>
      <w:r>
        <w:rPr>
          <w:rStyle w:val="a6"/>
          <w:color w:val="000000"/>
          <w:sz w:val="23"/>
          <w:szCs w:val="23"/>
        </w:rPr>
        <w:t>___ 2026 г.</w:t>
      </w:r>
    </w:p>
    <w:p w14:paraId="1328E6F5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 ООО «ИНТЕРФОНИКА»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ИНН 3808196695</w:t>
      </w:r>
    </w:p>
    <w:p w14:paraId="2330EFCA" w14:textId="77777777" w:rsidR="004E7564" w:rsidRDefault="004E756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Запрос сведений и документов в целях исполнения требований Федерального закона № 152-ФЗ</w:t>
      </w:r>
    </w:p>
    <w:p w14:paraId="276BE75C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Уважаемые коллеги!</w:t>
      </w:r>
    </w:p>
    <w:p w14:paraId="71977921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Мы используем предоставляемый вами сервис инференса языковых моделей по адресам </w:t>
      </w:r>
      <w:r>
        <w:rPr>
          <w:rStyle w:val="HTML"/>
          <w:color w:val="000000"/>
        </w:rPr>
        <w:t>https://oui.interfonica.cloud/v1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https://oui.interfonica.cloud/gliner</w:t>
      </w:r>
      <w:r>
        <w:rPr>
          <w:color w:val="000000"/>
          <w:sz w:val="23"/>
          <w:szCs w:val="23"/>
        </w:rPr>
        <w:t>, а также планируем размещение нашего продуктивного контура на вашей инфраструктуре.</w:t>
      </w:r>
    </w:p>
    <w:p w14:paraId="5B0ED67B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Через указанные эндпоинты передаётся текст документов, содержащий персональные данные. В силу ч. 3 ст. 6 Федерального закона от 27.07.2006 № 152-ФЗ такая передача допустима исключительно на основании договора поручения обработки персональных данных. В целях его подготовки и в целях формирования пакета документов для нашего корпоративного заказчика просим предоставить следующие сведения и документы.</w:t>
      </w:r>
    </w:p>
    <w:p w14:paraId="6347114F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1. Размещение и юрисдикция</w:t>
      </w:r>
    </w:p>
    <w:p w14:paraId="387001BB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1.1. Точный адрес центра обработки данных, в котором физически размещены вычислительные мощности, обслуживающие эндпоинты </w:t>
      </w:r>
      <w:r>
        <w:rPr>
          <w:rStyle w:val="HTML"/>
          <w:color w:val="000000"/>
        </w:rPr>
        <w:t>oui.interfonica.cloud/v1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oui.interfonica.cloud/gliner</w:t>
      </w:r>
      <w:r>
        <w:rPr>
          <w:color w:val="000000"/>
          <w:sz w:val="23"/>
          <w:szCs w:val="23"/>
        </w:rPr>
        <w:t xml:space="preserve">. 1.2. Принадлежат ли эти мощности ООО «ИНТЕРФОНИКА» на праве собственности или ином вещном праве, либо арендуются у третьего лица. Если арендуются — наименование, ИНН и место нахождения арендодателя. 1.3. </w:t>
      </w:r>
      <w:r>
        <w:rPr>
          <w:rStyle w:val="a6"/>
          <w:color w:val="000000"/>
          <w:sz w:val="23"/>
          <w:szCs w:val="23"/>
        </w:rPr>
        <w:t>Осуществляется ли передача запросов на внешние сервисы за пределы вашей инфраструктуры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(проксирование, переадресация к стороннему провайдеру инференса)? Если да — наименование провайдера, его юрисдикция и государство размещения оборудования. 1.4. Осуществляется ли при обработке наших запросов передача данных за пределы территории Российской Федерации? Просим ответить однозначно: </w:t>
      </w:r>
      <w:r>
        <w:rPr>
          <w:rStyle w:val="a6"/>
          <w:color w:val="000000"/>
          <w:sz w:val="23"/>
          <w:szCs w:val="23"/>
        </w:rPr>
        <w:t>да / нет</w:t>
      </w:r>
      <w:r>
        <w:rPr>
          <w:color w:val="000000"/>
          <w:sz w:val="23"/>
          <w:szCs w:val="23"/>
        </w:rPr>
        <w:t>.</w:t>
      </w:r>
    </w:p>
    <w:p w14:paraId="3BFF2A57" w14:textId="77777777" w:rsidR="004E7564" w:rsidRDefault="004E7564">
      <w:pPr>
        <w:shd w:val="clear" w:color="auto" w:fill="F4F4F4"/>
        <w:spacing w:after="80"/>
        <w:jc w:val="both"/>
        <w:divId w:val="1712922283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Пояснение: в системе учёта потребления нашего продукта тарификация настроена по прайс-листу «Selectel Gemma 4 31B». Просим подтвердить либо опровергнуть использование мощностей ООО «Селектел» либо иного стороннего провайдера.</w:t>
      </w:r>
    </w:p>
    <w:p w14:paraId="4708296A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2. Модель и лицензия</w:t>
      </w:r>
    </w:p>
    <w:p w14:paraId="1F29B13C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2.1. Точное наименование и версия языковой модели, обслуживающей эндпоинт </w:t>
      </w:r>
      <w:r>
        <w:rPr>
          <w:rStyle w:val="HTML"/>
          <w:color w:val="000000"/>
        </w:rPr>
        <w:t>/v1/chat/completions</w:t>
      </w:r>
      <w:r>
        <w:rPr>
          <w:color w:val="000000"/>
          <w:sz w:val="23"/>
          <w:szCs w:val="23"/>
        </w:rPr>
        <w:t xml:space="preserve"> (например, Gemma 4 12B, Gemma 4 31B, Qwen 3.5 9B). 2.2. Точное наименование и версия модели, обслуживающей эндпоинт </w:t>
      </w:r>
      <w:r>
        <w:rPr>
          <w:rStyle w:val="HTML"/>
          <w:color w:val="000000"/>
        </w:rPr>
        <w:t>/gliner/extract</w:t>
      </w:r>
      <w:r>
        <w:rPr>
          <w:color w:val="000000"/>
          <w:sz w:val="23"/>
          <w:szCs w:val="23"/>
        </w:rPr>
        <w:t xml:space="preserve">. </w:t>
      </w:r>
      <w:r>
        <w:rPr>
          <w:color w:val="000000"/>
          <w:sz w:val="23"/>
          <w:szCs w:val="23"/>
        </w:rPr>
        <w:t>2.3. Лицензия, на условиях которой вы правомочны предоставлять данные модели в качестве сервиса. 2.4. Подтверждение наличия у вас прав на предоставление указанных моделей третьим лицам в коммерческих целях.</w:t>
      </w:r>
    </w:p>
    <w:p w14:paraId="1D810997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3. Логирование и использование данных</w:t>
      </w:r>
    </w:p>
    <w:p w14:paraId="7A59A192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3.1. Сохраняются ли на вашей стороне </w:t>
      </w:r>
      <w:r>
        <w:rPr>
          <w:rStyle w:val="a6"/>
          <w:color w:val="000000"/>
          <w:sz w:val="23"/>
          <w:szCs w:val="23"/>
        </w:rPr>
        <w:t>содержимое запросов</w:t>
      </w:r>
      <w:r>
        <w:rPr>
          <w:color w:val="000000"/>
          <w:sz w:val="23"/>
          <w:szCs w:val="23"/>
        </w:rPr>
        <w:t xml:space="preserve"> (тексты, передаваемые в поле </w:t>
      </w:r>
      <w:r>
        <w:rPr>
          <w:rStyle w:val="HTML"/>
          <w:color w:val="000000"/>
        </w:rPr>
        <w:t>messages</w:t>
      </w:r>
      <w:r>
        <w:rPr>
          <w:color w:val="000000"/>
          <w:sz w:val="23"/>
          <w:szCs w:val="23"/>
        </w:rPr>
        <w:t xml:space="preserve">) и </w:t>
      </w:r>
      <w:r>
        <w:rPr>
          <w:rStyle w:val="a6"/>
          <w:color w:val="000000"/>
          <w:sz w:val="23"/>
          <w:szCs w:val="23"/>
        </w:rPr>
        <w:t>содержимое ответов</w:t>
      </w:r>
      <w:r>
        <w:rPr>
          <w:color w:val="000000"/>
          <w:sz w:val="23"/>
          <w:szCs w:val="23"/>
        </w:rPr>
        <w:t xml:space="preserve"> модели? Если да — в каком объёме, где и в течение какого срока. 3.2. Круг лиц, имеющих доступ к таким записям. 3.3. </w:t>
      </w:r>
      <w:r>
        <w:rPr>
          <w:rStyle w:val="a6"/>
          <w:color w:val="000000"/>
          <w:sz w:val="23"/>
          <w:szCs w:val="23"/>
        </w:rPr>
        <w:t>Используются ли переданные данные для обучения, дообучения или иного улучшения моделей?</w:t>
      </w:r>
      <w:r>
        <w:rPr>
          <w:color w:val="000000"/>
          <w:sz w:val="23"/>
          <w:szCs w:val="23"/>
        </w:rPr>
        <w:t xml:space="preserve"> Просим ответить однозначно: </w:t>
      </w:r>
      <w:r>
        <w:rPr>
          <w:rStyle w:val="a6"/>
          <w:color w:val="000000"/>
          <w:sz w:val="23"/>
          <w:szCs w:val="23"/>
        </w:rPr>
        <w:t>да / нет</w:t>
      </w:r>
      <w:r>
        <w:rPr>
          <w:color w:val="000000"/>
          <w:sz w:val="23"/>
          <w:szCs w:val="23"/>
        </w:rPr>
        <w:t>. 3.4. Готовы ли вы принять договорное обязательство: не сохранять содержимое запросов и ответов, не использовать их для обучения, удалять после формирования ответа? 3.5. Состав технических журналов, которые вы ведёте по нашим обращениям, и срок их хранения.</w:t>
      </w:r>
    </w:p>
    <w:p w14:paraId="5B985553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4. Правовой статус обработки персональных данных</w:t>
      </w:r>
    </w:p>
    <w:p w14:paraId="7E0E3195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4.1. Состоит ли ООО «ИНТЕРФОНИКА» в реестре операторов, осуществляющих обработку персональных данных (Роскомнадзор)? Просим предоставить выписку либо регистрационный номер. 4.2. Назначено ли лицо, ответственное за организацию обработки персональных данных (ст. 22.1 152-ФЗ)? Контактные данные для направления уведомлений об инцидентах. 4.3. Действующая Политика в отношении обработки персональных данных (копия либо ссылка). 4.4. </w:t>
      </w:r>
      <w:r>
        <w:rPr>
          <w:rStyle w:val="a6"/>
          <w:color w:val="000000"/>
          <w:sz w:val="23"/>
          <w:szCs w:val="23"/>
        </w:rPr>
        <w:t>Готовность заключить договор поручения обработки персональных данных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 ч. 3 ст. 6 152-ФЗ. Проект договора прилагается. 4.5. Привлекаете ли вы третьих лиц к обработке (субподряд)? Если да — перечень с реквизитами и территорией обработки.</w:t>
      </w:r>
    </w:p>
    <w:p w14:paraId="01911892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5. Аттестат соответствия</w:t>
      </w:r>
    </w:p>
    <w:p w14:paraId="36683AD5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По аттестату № 1068.00022.2024 от 29.03.2024, выданному АО «ВСЦ ЕВРААС», предоставлена только титульная страница. Просим предоставить:</w:t>
      </w:r>
    </w:p>
    <w:p w14:paraId="57A5D425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5.1. </w:t>
      </w:r>
      <w:r>
        <w:rPr>
          <w:rStyle w:val="a6"/>
          <w:color w:val="000000"/>
          <w:sz w:val="23"/>
          <w:szCs w:val="23"/>
        </w:rPr>
        <w:t>Приложение с областью действия аттестата</w:t>
      </w:r>
      <w:r>
        <w:rPr>
          <w:color w:val="000000"/>
          <w:sz w:val="23"/>
          <w:szCs w:val="23"/>
        </w:rPr>
        <w:t xml:space="preserve"> — перечень аттестованных сегментов, помещений и технических средств. 5.2. Прямой ответ на вопрос: </w:t>
      </w:r>
      <w:r>
        <w:rPr>
          <w:rStyle w:val="a6"/>
          <w:color w:val="000000"/>
          <w:sz w:val="23"/>
          <w:szCs w:val="23"/>
        </w:rPr>
        <w:t xml:space="preserve">входят ли в область действия аттестата вычислительные мощности, обслуживающие эндпоинты </w:t>
      </w:r>
      <w:r>
        <w:rPr>
          <w:rStyle w:val="HTML"/>
          <w:b/>
          <w:bCs/>
          <w:color w:val="000000"/>
        </w:rPr>
        <w:t>oui.interfonica.cloud</w:t>
      </w:r>
      <w:r>
        <w:rPr>
          <w:rStyle w:val="a6"/>
          <w:color w:val="000000"/>
          <w:sz w:val="23"/>
          <w:szCs w:val="23"/>
        </w:rPr>
        <w:t>, и мощности, на которых будет размещён наш продуктивный контур?</w:t>
      </w:r>
      <w:r>
        <w:rPr>
          <w:color w:val="000000"/>
          <w:sz w:val="23"/>
          <w:szCs w:val="23"/>
        </w:rPr>
        <w:t xml:space="preserve"> 5.3. Класс защищённости и (или) уровень защищённости персональных данных, на который аттестована система. 5.4. Срок действия аттестата и сведения о проведённом периодическом контроле. 5.5. Приложение с перечнем технических средств. </w:t>
      </w:r>
      <w:r>
        <w:rPr>
          <w:color w:val="000000"/>
          <w:sz w:val="23"/>
          <w:szCs w:val="23"/>
        </w:rPr>
        <w:t>5.6. Копия лицензии ФСТЭК России АО «ВСЦ ЕВРААС» на деятельность по технической защите конфиденциальной информации.</w:t>
      </w:r>
    </w:p>
    <w:p w14:paraId="0FC881C9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6. Средства защиты и каналы</w:t>
      </w:r>
    </w:p>
    <w:p w14:paraId="1A27B68B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6.1. Возможность организации защищённого канала между нашим сервером и вашей инфраструктурой с использованием ViPNet (сеть № 21902) либо иного сертифицированного средства криптографической защиты. Условия, стоимость, требуемые лицензии. 6.2. Доступна ли </w:t>
      </w:r>
      <w:r>
        <w:rPr>
          <w:rStyle w:val="a6"/>
          <w:color w:val="000000"/>
          <w:sz w:val="23"/>
          <w:szCs w:val="23"/>
        </w:rPr>
        <w:t>Linux-версия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ViPNet Client либо ViPNet Coordinator для защиты канала от нашего сервера (бэкенд работает под Linux; в предоставленных сертификатах указан ViPNet Client for Windows). 6.3. Распространяется ли защита ПАК ViPNet IDS NS1000 на сегмент, где будет размещён наш контур. 6.4. Перечень применяемых средств защиты информации с указанием реквизитов сертификатов соответствия.</w:t>
      </w:r>
    </w:p>
    <w:p w14:paraId="0092A0A8" w14:textId="77777777" w:rsidR="004E7564" w:rsidRDefault="004E756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7. Инциденты и уничтожение</w:t>
      </w:r>
    </w:p>
    <w:p w14:paraId="1429FC50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7.1. Порядок и </w:t>
      </w:r>
      <w:r>
        <w:rPr>
          <w:rStyle w:val="a6"/>
          <w:color w:val="000000"/>
          <w:sz w:val="23"/>
          <w:szCs w:val="23"/>
        </w:rPr>
        <w:t>срок уведомления нас</w:t>
      </w:r>
      <w:r>
        <w:rPr>
          <w:color w:val="000000"/>
          <w:sz w:val="23"/>
          <w:szCs w:val="23"/>
        </w:rPr>
        <w:t xml:space="preserve"> о фактах неправомерной или случайной передачи персональных данных. </w:t>
      </w:r>
      <w:r>
        <w:rPr>
          <w:rStyle w:val="a7"/>
          <w:color w:val="000000"/>
          <w:sz w:val="23"/>
          <w:szCs w:val="23"/>
        </w:rPr>
        <w:t>Нам требуется срок не более 6 часов: закон отводит нам 24 часа на уведомление Роскомнадзора (ст. 21 152-ФЗ), и мы должны успеть.</w:t>
      </w:r>
      <w:r>
        <w:rPr>
          <w:color w:val="000000"/>
          <w:sz w:val="23"/>
          <w:szCs w:val="23"/>
        </w:rPr>
        <w:t xml:space="preserve"> 7.2. Порядок уничтожения данных при прекращении договора; форма подтверждения уничтожения. 7.3. Готовность предоставить право на проверку (аудит) — самостоятельно либо через привлечённую организацию.</w:t>
      </w:r>
    </w:p>
    <w:p w14:paraId="29C15425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A24AC5D">
          <v:rect id="_x0000_i1029" style="width:0;height:1.5pt" o:hralign="center" o:hrstd="t" o:hr="t" fillcolor="#a0a0a0" stroked="f"/>
        </w:pict>
      </w:r>
    </w:p>
    <w:p w14:paraId="78C5CE91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Просим направить ответ в письменной форме в срок до «</w:t>
      </w:r>
      <w:r>
        <w:rPr>
          <w:rStyle w:val="a7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</w:t>
      </w:r>
    </w:p>
    <w:p w14:paraId="57927EEF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 уважением, </w:t>
      </w:r>
      <w:r>
        <w:rPr>
          <w:rStyle w:val="a7"/>
          <w:b/>
          <w:bCs/>
          <w:color w:val="000000"/>
          <w:sz w:val="23"/>
          <w:szCs w:val="23"/>
        </w:rPr>
        <w:t>__ / __</w:t>
      </w:r>
      <w:r>
        <w:rPr>
          <w:color w:val="000000"/>
          <w:sz w:val="23"/>
          <w:szCs w:val="23"/>
        </w:rPr>
        <w:t>_____ /</w:t>
      </w:r>
    </w:p>
    <w:p w14:paraId="2A1C686C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Приложение:</w:t>
      </w:r>
      <w:r>
        <w:rPr>
          <w:color w:val="000000"/>
          <w:sz w:val="23"/>
          <w:szCs w:val="23"/>
        </w:rPr>
        <w:t xml:space="preserve"> проект договора поручения обработки персональных данных — на ___ л.</w:t>
      </w:r>
    </w:p>
    <w:p w14:paraId="1EDEC9A8" w14:textId="77777777" w:rsidR="004E7564" w:rsidRDefault="004E756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BF547DF">
          <v:rect id="_x0000_i1030" style="width:0;height:1.5pt" o:hralign="center" o:hrstd="t" o:hr="t" fillcolor="#a0a0a0" stroked="f"/>
        </w:pict>
      </w:r>
    </w:p>
    <w:p w14:paraId="63EB0460" w14:textId="77777777" w:rsidR="004E7564" w:rsidRDefault="004E756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IV. ФОРМА ФИКСАЦИИ ОТВЕТОВ</w:t>
      </w:r>
    </w:p>
    <w:p w14:paraId="4A13C89E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Заполняется по получении ответа. Этот раздел — доказательство должной осмотрительности при вендорском аудите заказчика.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923"/>
        <w:gridCol w:w="886"/>
        <w:gridCol w:w="3238"/>
        <w:gridCol w:w="755"/>
      </w:tblGrid>
      <w:tr w:rsidR="00000000" w14:paraId="694276D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424E5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85AAD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B97DC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D93CF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Подтверждающий 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C5194" w14:textId="77777777" w:rsidR="004E7564" w:rsidRDefault="004E756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</w:t>
            </w:r>
          </w:p>
        </w:tc>
      </w:tr>
      <w:tr w:rsidR="00000000" w14:paraId="5390B3F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66C1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DF24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Адрес ЦОД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500B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91B75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F5370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CB8A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436F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D525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Наличие апстрима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D68E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EBC83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2CFD2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BA6CA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FABFE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6277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Передача за пределы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49AD4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4A36F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ED33B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28B1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723E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A0C18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и версия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EDC1F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F5E36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E2C5C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4AAA8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EC03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1817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Логирование содержимого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0402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A8338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8CDC5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1C87F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DAE9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0197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Обучение на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CF98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DF5C8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AC60C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E838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9AF4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623BD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Реестр операторов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5E7B2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66FED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0D640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EBE4F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D86B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69F28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4989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F01F8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B5F82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A008E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B3F9C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3E46A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Наш контур в области аттестата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E9ED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F560D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4E4F3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2F723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282D3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1AAA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Уровень защищённости по аттестату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B8B07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14948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542C7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F3B6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D31A5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67158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ViPNet для Linux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6EDC0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B9BBE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29C51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A329A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E307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6DDEB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уведомления об инциденте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C34E6" w14:textId="77777777" w:rsidR="004E7564" w:rsidRDefault="004E756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61BB2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141B9" w14:textId="77777777" w:rsidR="004E7564" w:rsidRDefault="004E7564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82B907" w14:textId="77777777" w:rsidR="004E7564" w:rsidRDefault="004E756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Итоговый вывод по результатам (заполнить):</w:t>
      </w:r>
      <w:r>
        <w:rPr>
          <w:color w:val="000000"/>
          <w:sz w:val="23"/>
          <w:szCs w:val="23"/>
        </w:rPr>
        <w:t xml:space="preserve"> - Трансграничная передача при использовании эндпоинта: </w:t>
      </w:r>
      <w:r>
        <w:rPr>
          <w:rStyle w:val="a6"/>
          <w:color w:val="000000"/>
          <w:sz w:val="23"/>
          <w:szCs w:val="23"/>
        </w:rPr>
        <w:t>имеет место / отсутствует</w:t>
      </w:r>
      <w:r>
        <w:rPr>
          <w:color w:val="000000"/>
          <w:sz w:val="23"/>
          <w:szCs w:val="23"/>
        </w:rPr>
        <w:t xml:space="preserve"> - Уведомление Роскомнадзора по ч. 3 ст. 12 152-ФЗ: </w:t>
      </w:r>
      <w:r>
        <w:rPr>
          <w:rStyle w:val="a6"/>
          <w:color w:val="000000"/>
          <w:sz w:val="23"/>
          <w:szCs w:val="23"/>
        </w:rPr>
        <w:t>требуется / не требуется</w:t>
      </w:r>
      <w:r>
        <w:rPr>
          <w:color w:val="000000"/>
          <w:sz w:val="23"/>
          <w:szCs w:val="23"/>
        </w:rPr>
        <w:t xml:space="preserve"> - Допустимо ли заявлять заказчику о полной локализации обработки в РФ: </w:t>
      </w:r>
      <w:r>
        <w:rPr>
          <w:rStyle w:val="a6"/>
          <w:color w:val="000000"/>
          <w:sz w:val="23"/>
          <w:szCs w:val="23"/>
        </w:rPr>
        <w:t>да / нет</w:t>
      </w:r>
    </w:p>
    <w:sectPr w:rsidR="004E7564" w:rsidSect="009140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AB66" w14:textId="77777777" w:rsidR="004E7564" w:rsidRDefault="004E7564" w:rsidP="009140FF">
      <w:r>
        <w:separator/>
      </w:r>
    </w:p>
  </w:endnote>
  <w:endnote w:type="continuationSeparator" w:id="0">
    <w:p w14:paraId="73174DD4" w14:textId="77777777" w:rsidR="004E7564" w:rsidRDefault="004E7564" w:rsidP="0091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0FFC" w14:textId="77777777" w:rsidR="009140FF" w:rsidRDefault="009140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AF8F" w14:textId="3D141CE3" w:rsidR="009140FF" w:rsidRPr="009140FF" w:rsidRDefault="009140FF" w:rsidP="009140FF">
    <w:pPr>
      <w:pStyle w:val="aa"/>
      <w:jc w:val="right"/>
      <w:rPr>
        <w:color w:val="808080"/>
        <w:sz w:val="16"/>
      </w:rPr>
    </w:pPr>
    <w:r w:rsidRPr="009140FF">
      <w:rPr>
        <w:color w:val="808080"/>
        <w:sz w:val="16"/>
      </w:rPr>
      <w:t xml:space="preserve">02_ДОСЬЕ_LLM-шлюз_и_запрос_в_Интерфонику   |   стр. </w:t>
    </w:r>
    <w:r w:rsidRPr="009140FF">
      <w:rPr>
        <w:color w:val="808080"/>
        <w:sz w:val="16"/>
      </w:rPr>
      <w:fldChar w:fldCharType="begin"/>
    </w:r>
    <w:r w:rsidRPr="009140FF">
      <w:rPr>
        <w:color w:val="808080"/>
        <w:sz w:val="16"/>
      </w:rPr>
      <w:instrText xml:space="preserve"> PAGE  \* MERGEFORMAT </w:instrText>
    </w:r>
    <w:r w:rsidRPr="009140FF">
      <w:rPr>
        <w:color w:val="808080"/>
        <w:sz w:val="16"/>
      </w:rPr>
      <w:fldChar w:fldCharType="separate"/>
    </w:r>
    <w:r w:rsidRPr="009140FF">
      <w:rPr>
        <w:noProof/>
        <w:color w:val="808080"/>
        <w:sz w:val="16"/>
      </w:rPr>
      <w:t>1</w:t>
    </w:r>
    <w:r w:rsidRPr="009140FF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CB3E" w14:textId="77777777" w:rsidR="009140FF" w:rsidRDefault="009140F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60F8" w14:textId="77777777" w:rsidR="004E7564" w:rsidRDefault="004E7564" w:rsidP="009140FF">
      <w:r>
        <w:separator/>
      </w:r>
    </w:p>
  </w:footnote>
  <w:footnote w:type="continuationSeparator" w:id="0">
    <w:p w14:paraId="10E5EE0C" w14:textId="77777777" w:rsidR="004E7564" w:rsidRDefault="004E7564" w:rsidP="0091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17F9" w14:textId="77777777" w:rsidR="009140FF" w:rsidRDefault="009140F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3460" w14:textId="77777777" w:rsidR="009140FF" w:rsidRDefault="009140F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CFE4" w14:textId="77777777" w:rsidR="009140FF" w:rsidRDefault="009140F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28DB"/>
    <w:multiLevelType w:val="multilevel"/>
    <w:tmpl w:val="491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76F01"/>
    <w:multiLevelType w:val="multilevel"/>
    <w:tmpl w:val="A0C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E61CC"/>
    <w:multiLevelType w:val="multilevel"/>
    <w:tmpl w:val="A13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367326">
    <w:abstractNumId w:val="2"/>
  </w:num>
  <w:num w:numId="2" w16cid:durableId="2105606775">
    <w:abstractNumId w:val="1"/>
  </w:num>
  <w:num w:numId="3" w16cid:durableId="164026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36"/>
    <w:rsid w:val="004E7564"/>
    <w:rsid w:val="007B7FB5"/>
    <w:rsid w:val="009140FF"/>
    <w:rsid w:val="00EC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33A9B6"/>
  <w15:chartTrackingRefBased/>
  <w15:docId w15:val="{ADBC9D43-DB5F-4A59-B801-033F5F3A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9140F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140FF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140F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140F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67350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71292228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919708515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207862526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2322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02_ДОСЬЕ_LLM-шлюз_и_запрос_в_Интерфонику.md</dc:title>
  <dc:subject/>
  <dc:creator>JacobV</dc:creator>
  <cp:keywords/>
  <dc:description/>
  <cp:lastModifiedBy>JacobV</cp:lastModifiedBy>
  <cp:revision>3</cp:revision>
  <dcterms:created xsi:type="dcterms:W3CDTF">2026-09-11T04:51:00Z</dcterms:created>
  <dcterms:modified xsi:type="dcterms:W3CDTF">2026-09-11T04:51:00Z</dcterms:modified>
</cp:coreProperties>
</file>