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8E96" w14:textId="77777777" w:rsidR="004B3801" w:rsidRDefault="004B3801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Соответствие приказу Роскомнадзора № 140 от 19.06.2025</w:t>
      </w:r>
    </w:p>
    <w:p w14:paraId="6D5BF5B8" w14:textId="77777777" w:rsidR="004B3801" w:rsidRDefault="004B3801">
      <w:pPr>
        <w:jc w:val="center"/>
        <w:divId w:val="909728198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07_Соответствие_приказу_РКН_140.md</w:t>
      </w:r>
    </w:p>
    <w:p w14:paraId="7BEE7CE4" w14:textId="77777777" w:rsidR="004B3801" w:rsidRDefault="004B380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 текущей реализации и план доведения до полного соответствия</w:t>
      </w:r>
    </w:p>
    <w:p w14:paraId="073A2A26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Дата: 16.08.2026.</w:t>
      </w:r>
      <w:r>
        <w:rPr>
          <w:color w:val="000000"/>
          <w:sz w:val="23"/>
          <w:szCs w:val="23"/>
        </w:rPr>
        <w:t xml:space="preserve"> Приказ действует с 01.09.2025 (зарегистрирован в Минюсте 31.07.2025, № 83110), заменил приказ РКН № 996 от 05.09.2013.</w:t>
      </w:r>
    </w:p>
    <w:p w14:paraId="5D6F95E5" w14:textId="77777777" w:rsidR="004B3801" w:rsidRDefault="004B3801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D2AD277">
          <v:rect id="_x0000_i1025" style="width:0;height:1.5pt" o:hralign="center" o:hrstd="t" o:hr="t" fillcolor="#a0a0a0" stroked="f"/>
        </w:pict>
      </w:r>
    </w:p>
    <w:p w14:paraId="1CD664D6" w14:textId="77777777" w:rsidR="004B3801" w:rsidRDefault="004B380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0. Главный вывод, снимающий прежнюю оценку</w:t>
      </w:r>
    </w:p>
    <w:p w14:paraId="67E715C5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В </w:t>
      </w:r>
      <w:r>
        <w:rPr>
          <w:rStyle w:val="HTML"/>
          <w:color w:val="000000"/>
        </w:rPr>
        <w:t>ЮРИДИЧЕСКИЙ_АНАЛИЗ.md</w:t>
      </w:r>
      <w:r>
        <w:rPr>
          <w:color w:val="000000"/>
          <w:sz w:val="23"/>
          <w:szCs w:val="23"/>
        </w:rPr>
        <w:t xml:space="preserve"> (п. А.3) утверждалось, что результат работы сервиса не может называться обезличиванием, </w:t>
      </w:r>
      <w:r>
        <w:rPr>
          <w:rStyle w:val="a6"/>
          <w:color w:val="000000"/>
          <w:sz w:val="23"/>
          <w:szCs w:val="23"/>
        </w:rPr>
        <w:t>потому что операция обратима</w:t>
      </w:r>
      <w:r>
        <w:rPr>
          <w:color w:val="000000"/>
          <w:sz w:val="23"/>
          <w:szCs w:val="23"/>
        </w:rPr>
        <w:t xml:space="preserve">. </w:t>
      </w:r>
      <w:r>
        <w:rPr>
          <w:rStyle w:val="a6"/>
          <w:color w:val="000000"/>
          <w:sz w:val="23"/>
          <w:szCs w:val="23"/>
        </w:rPr>
        <w:t>Это утверждение было слишком категоричным и снимается.</w:t>
      </w:r>
    </w:p>
    <w:p w14:paraId="273B10F7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Приложение № 2 к приказу № 140, пункт 3, прямо предусматривает обратный механизм:</w:t>
      </w:r>
    </w:p>
    <w:p w14:paraId="2006AAE0" w14:textId="77777777" w:rsidR="004B3801" w:rsidRDefault="004B3801">
      <w:pPr>
        <w:shd w:val="clear" w:color="auto" w:fill="F4F4F4"/>
        <w:spacing w:after="80"/>
        <w:jc w:val="both"/>
        <w:divId w:val="84918180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«В случае применения метода введения идентификаторов </w:t>
      </w:r>
      <w:r>
        <w:rPr>
          <w:rStyle w:val="a6"/>
          <w:color w:val="000000"/>
          <w:sz w:val="21"/>
          <w:szCs w:val="21"/>
        </w:rPr>
        <w:t>должно предусматриваться создание ключа</w:t>
      </w:r>
      <w:r>
        <w:rPr>
          <w:color w:val="000000"/>
          <w:sz w:val="21"/>
          <w:szCs w:val="21"/>
        </w:rPr>
        <w:t xml:space="preserve">, позволяющего сопоставить идентификаторы и персональные данные, в отношении которых были произведены действия по обезличиванию персональных данных, который </w:t>
      </w:r>
      <w:r>
        <w:rPr>
          <w:rStyle w:val="a6"/>
          <w:color w:val="000000"/>
          <w:sz w:val="21"/>
          <w:szCs w:val="21"/>
        </w:rPr>
        <w:t>хранится оператором отдельно</w:t>
      </w:r>
      <w:r>
        <w:rPr>
          <w:color w:val="000000"/>
          <w:sz w:val="21"/>
          <w:szCs w:val="21"/>
        </w:rPr>
        <w:t xml:space="preserve"> от массива персональных данных, подлежащих обезличиванию, ... и </w:t>
      </w:r>
      <w:r>
        <w:rPr>
          <w:rStyle w:val="a6"/>
          <w:color w:val="000000"/>
          <w:sz w:val="21"/>
          <w:szCs w:val="21"/>
        </w:rPr>
        <w:t>не передаваться третьим лицам</w:t>
      </w:r>
      <w:r>
        <w:rPr>
          <w:color w:val="000000"/>
          <w:sz w:val="21"/>
          <w:szCs w:val="21"/>
        </w:rPr>
        <w:t>.»</w:t>
      </w:r>
    </w:p>
    <w:p w14:paraId="3AD6105E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Иначе говоря, </w:t>
      </w:r>
      <w:r>
        <w:rPr>
          <w:rStyle w:val="a6"/>
          <w:color w:val="000000"/>
          <w:sz w:val="23"/>
          <w:szCs w:val="23"/>
        </w:rPr>
        <w:t>создание ключа — не порок метода, а его обязательный элемент</w:t>
      </w:r>
      <w:r>
        <w:rPr>
          <w:color w:val="000000"/>
          <w:sz w:val="23"/>
          <w:szCs w:val="23"/>
        </w:rPr>
        <w:t>. Определение п. 9 ст. 3 152-ФЗ требует невозможности идентификации «без использования дополнительной информации» — а не отсутствия такой информации в природе.</w:t>
      </w:r>
    </w:p>
    <w:p w14:paraId="413EBA71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Правильная формулировка проблемы:</w:t>
      </w:r>
      <w:r>
        <w:rPr>
          <w:color w:val="000000"/>
          <w:sz w:val="23"/>
          <w:szCs w:val="23"/>
        </w:rPr>
        <w:t xml:space="preserve"> обезличивание не состоялось не из-за обратимости, а из-за того, что </w:t>
      </w:r>
      <w:r>
        <w:rPr>
          <w:rStyle w:val="a6"/>
          <w:color w:val="000000"/>
          <w:sz w:val="23"/>
          <w:szCs w:val="23"/>
        </w:rPr>
        <w:t>ключ доставляется получателю в том же объекте, что и результат</w:t>
      </w:r>
      <w:r>
        <w:rPr>
          <w:color w:val="000000"/>
          <w:sz w:val="23"/>
          <w:szCs w:val="23"/>
        </w:rPr>
        <w:t>. Как только они разнесены — обезличивание состоялось в полном юридическом смысле.</w:t>
      </w:r>
    </w:p>
    <w:p w14:paraId="1E836828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Это существенно улучшает позицию: путь к легальному использованию термина «обезличивание» короче, чем предполагалось, и не требует отказа от обратимости.</w:t>
      </w:r>
    </w:p>
    <w:p w14:paraId="323F779C" w14:textId="77777777" w:rsidR="004B3801" w:rsidRDefault="004B3801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ED8FEB1">
          <v:rect id="_x0000_i1026" style="width:0;height:1.5pt" o:hralign="center" o:hrstd="t" o:hr="t" fillcolor="#a0a0a0" stroked="f"/>
        </w:pict>
      </w:r>
    </w:p>
    <w:p w14:paraId="47DC7489" w14:textId="77777777" w:rsidR="004B3801" w:rsidRDefault="004B380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0-бис. Кому адресованы требования приказа — и являетесь ли вы этим лицом</w:t>
      </w:r>
    </w:p>
    <w:p w14:paraId="6F6F95F1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Пункт 1 требований начинается словами: «При обезличивании персональных данных оператор </w:t>
      </w:r>
      <w:r>
        <w:rPr>
          <w:rStyle w:val="HTML"/>
          <w:color w:val="000000"/>
        </w:rPr>
        <w:t>&lt;2&gt;</w:t>
      </w:r>
      <w:r>
        <w:rPr>
          <w:color w:val="000000"/>
          <w:sz w:val="23"/>
          <w:szCs w:val="23"/>
        </w:rPr>
        <w:t xml:space="preserve"> должен обеспечить», где сноска </w:t>
      </w:r>
      <w:r>
        <w:rPr>
          <w:rStyle w:val="HTML"/>
          <w:color w:val="000000"/>
        </w:rPr>
        <w:t>&lt;2&gt;</w:t>
      </w:r>
      <w:r>
        <w:rPr>
          <w:color w:val="000000"/>
          <w:sz w:val="23"/>
          <w:szCs w:val="23"/>
        </w:rPr>
        <w:t xml:space="preserve"> отсылает к пункту 2 статьи 3 152-ФЗ. </w:t>
      </w:r>
      <w:r>
        <w:rPr>
          <w:rStyle w:val="a6"/>
          <w:color w:val="000000"/>
          <w:sz w:val="23"/>
          <w:szCs w:val="23"/>
        </w:rPr>
        <w:t>Адресат требований — оператор.</w:t>
      </w:r>
      <w:r>
        <w:rPr>
          <w:color w:val="000000"/>
          <w:sz w:val="23"/>
          <w:szCs w:val="23"/>
        </w:rPr>
        <w:t xml:space="preserve"> Лицо, осуществляющее обработку по поручению, оператором не является.</w:t>
      </w:r>
    </w:p>
    <w:p w14:paraId="26D82727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Оператор определяется не размещением оборудования, а целями обработки.</w:t>
      </w:r>
      <w:r>
        <w:rPr>
          <w:color w:val="000000"/>
          <w:sz w:val="23"/>
          <w:szCs w:val="23"/>
        </w:rPr>
        <w:t xml:space="preserve"> П. 2 ст. 3 152-ФЗ: «оператор — ... юридическое или физическое лицо, самостоятельно или совместно с другими лицами организующие и (или) осуществляющие обработку персональных данных, а также </w:t>
      </w:r>
      <w:r>
        <w:rPr>
          <w:rStyle w:val="a6"/>
          <w:color w:val="000000"/>
          <w:sz w:val="23"/>
          <w:szCs w:val="23"/>
        </w:rPr>
        <w:t>определяющие цели обработки</w:t>
      </w:r>
      <w:r>
        <w:rPr>
          <w:color w:val="000000"/>
          <w:sz w:val="23"/>
          <w:szCs w:val="23"/>
        </w:rPr>
        <w:t xml:space="preserve"> персональных данных, </w:t>
      </w:r>
      <w:r>
        <w:rPr>
          <w:rStyle w:val="a6"/>
          <w:color w:val="000000"/>
          <w:sz w:val="23"/>
          <w:szCs w:val="23"/>
        </w:rPr>
        <w:t>состав</w:t>
      </w:r>
      <w:r>
        <w:rPr>
          <w:color w:val="000000"/>
          <w:sz w:val="23"/>
          <w:szCs w:val="23"/>
        </w:rPr>
        <w:t xml:space="preserve"> персональных данных, подлежащих обработке, </w:t>
      </w:r>
      <w:r>
        <w:rPr>
          <w:rStyle w:val="a6"/>
          <w:color w:val="000000"/>
          <w:sz w:val="23"/>
          <w:szCs w:val="23"/>
        </w:rPr>
        <w:t>действия (операции)</w:t>
      </w:r>
      <w:r>
        <w:rPr>
          <w:color w:val="000000"/>
          <w:sz w:val="23"/>
          <w:szCs w:val="23"/>
        </w:rPr>
        <w:t>, совершаемые с персональными данными». Слов про серверы, ЦОД и место размещения в определении нет.</w:t>
      </w:r>
    </w:p>
    <w:p w14:paraId="4D62CC86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Отсюда — распределение ролей по конфигурациям: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1756"/>
        <w:gridCol w:w="2397"/>
        <w:gridCol w:w="2547"/>
      </w:tblGrid>
      <w:tr w:rsidR="00000000" w14:paraId="1DAA8871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4D03D9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lastRenderedPageBreak/>
              <w:t>Конфигурация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998D80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Оператор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63009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Ваша роль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FD7627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Адресат приказа № 140</w:t>
            </w:r>
          </w:p>
        </w:tc>
      </w:tr>
      <w:tr w:rsidR="00000000" w14:paraId="62797C6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126F7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Сервис работает самостоятельно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пользователи загружают документы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808DA4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Вы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определяете цели, состав, операции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C67560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Оператор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91CD30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Вы, напрямую</w:t>
            </w:r>
          </w:p>
        </w:tc>
      </w:tr>
      <w:tr w:rsidR="00000000" w14:paraId="02501D9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A6970B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Работа по поручению заказчика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(модель для ИНК)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FD651A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Заказчик (ИНК)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1C63B3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Лицо, осуществляющее обработку по поручению (ч. 3 ст. 6)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2987EC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Заказчик.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Требования приходят к вам договорным путём, а не напрямую из приказа</w:t>
            </w:r>
          </w:p>
        </w:tc>
      </w:tr>
      <w:tr w:rsidR="00000000" w14:paraId="0E936BC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8AD2F6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Собственные данные (клиенты, контрагенты, журналы)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CC034F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Вы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всегда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7B34E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Оператор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6ADB8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</w:t>
            </w:r>
          </w:p>
        </w:tc>
      </w:tr>
    </w:tbl>
    <w:p w14:paraId="48995AA0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ООО «ИНТЕРФОНИКА» оператором ваших данных не становится ни в одной конфигурации</w:t>
      </w:r>
      <w:r>
        <w:rPr>
          <w:color w:val="000000"/>
          <w:sz w:val="23"/>
          <w:szCs w:val="23"/>
        </w:rPr>
        <w:t xml:space="preserve"> — она не определяет цели обработки. Она лицо, осуществляющее обработку по поручению (хостинг и инференс-шлюз), и одновременно оператор в отношении собственных данных: ваших платежей, контактов, реквизитов.</w:t>
      </w:r>
    </w:p>
    <w:p w14:paraId="3E36769B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Практические следствия:</w:t>
      </w:r>
    </w:p>
    <w:p w14:paraId="4A70E0EA" w14:textId="77777777" w:rsidR="004B3801" w:rsidRDefault="004B3801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Размещение на чужой инфраструктуре </w:t>
      </w:r>
      <w:r>
        <w:rPr>
          <w:rStyle w:val="a6"/>
          <w:rFonts w:eastAsia="Times New Roman"/>
          <w:color w:val="000000"/>
          <w:sz w:val="23"/>
          <w:szCs w:val="23"/>
        </w:rPr>
        <w:t>не снимает</w:t>
      </w:r>
      <w:r>
        <w:rPr>
          <w:rFonts w:eastAsia="Times New Roman"/>
          <w:color w:val="000000"/>
          <w:sz w:val="23"/>
          <w:szCs w:val="23"/>
        </w:rPr>
        <w:t xml:space="preserve"> обязанностей по ст. 18.1 и 19 152-ФЗ. Наоборот — порождает необходимость договора поручения с провайдером.</w:t>
      </w:r>
    </w:p>
    <w:p w14:paraId="67714B38" w14:textId="77777777" w:rsidR="004B3801" w:rsidRDefault="004B3801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По ч. 5 ст. 6 ответственность перед субъектом несёт оператор, а лицо, осуществляющее обработку, отвечает </w:t>
      </w:r>
      <w:r>
        <w:rPr>
          <w:rStyle w:val="a6"/>
          <w:rFonts w:eastAsia="Times New Roman"/>
          <w:color w:val="000000"/>
          <w:sz w:val="23"/>
          <w:szCs w:val="23"/>
        </w:rPr>
        <w:t>перед оператором</w:t>
      </w:r>
      <w:r>
        <w:rPr>
          <w:rFonts w:eastAsia="Times New Roman"/>
          <w:color w:val="000000"/>
          <w:sz w:val="23"/>
          <w:szCs w:val="23"/>
        </w:rPr>
        <w:t>. В модели поручения вы — регрессное звено.</w:t>
      </w:r>
    </w:p>
    <w:p w14:paraId="005F97DD" w14:textId="77777777" w:rsidR="004B3801" w:rsidRDefault="004B3801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Готовить соответствие приказу № 140 нужно в любом случае: до сделки вы оператор напрямую; после — заказчик возложит те же требования договором, поскольку операцию физически выполняете вы.</w:t>
      </w:r>
    </w:p>
    <w:p w14:paraId="6E5197B4" w14:textId="77777777" w:rsidR="004B3801" w:rsidRDefault="004B3801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Приложение № 2, п. 3 в модели поручения складывается в вашу пользу.</w:t>
      </w:r>
      <w:r>
        <w:rPr>
          <w:rFonts w:eastAsia="Times New Roman"/>
          <w:color w:val="000000"/>
          <w:sz w:val="23"/>
          <w:szCs w:val="23"/>
        </w:rPr>
        <w:t xml:space="preserve"> Требование «ключ хранится </w:t>
      </w:r>
      <w:r>
        <w:rPr>
          <w:rStyle w:val="a6"/>
          <w:rFonts w:eastAsia="Times New Roman"/>
          <w:color w:val="000000"/>
          <w:sz w:val="23"/>
          <w:szCs w:val="23"/>
        </w:rPr>
        <w:t>оператором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 xml:space="preserve">отдельно... и не передаваться третьим лицам» при операторе-заказчике означает, что ключ должен храниться у заказчика. Возврат </w:t>
      </w:r>
      <w:r>
        <w:rPr>
          <w:rStyle w:val="HTML"/>
          <w:color w:val="000000"/>
        </w:rPr>
        <w:t>mapping</w:t>
      </w:r>
      <w:r>
        <w:rPr>
          <w:rFonts w:eastAsia="Times New Roman"/>
          <w:color w:val="000000"/>
          <w:sz w:val="23"/>
          <w:szCs w:val="23"/>
        </w:rPr>
        <w:t xml:space="preserve"> оператору — не нарушение, а исполнение требования: третьим лицам ключ при этом не передаётся.</w:t>
      </w:r>
    </w:p>
    <w:p w14:paraId="4B35CADA" w14:textId="77777777" w:rsidR="004B3801" w:rsidRDefault="004B3801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5AF8F83">
          <v:rect id="_x0000_i1027" style="width:0;height:1.5pt" o:hralign="center" o:hrstd="t" o:hr="t" fillcolor="#a0a0a0" stroked="f"/>
        </w:pict>
      </w:r>
    </w:p>
    <w:p w14:paraId="69B3FC29" w14:textId="77777777" w:rsidR="004B3801" w:rsidRDefault="004B380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Применяемый метод</w:t>
      </w:r>
    </w:p>
    <w:p w14:paraId="38DDB179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Реализация в </w:t>
      </w:r>
      <w:r>
        <w:rPr>
          <w:rStyle w:val="HTML"/>
          <w:color w:val="000000"/>
        </w:rPr>
        <w:t>mapping.py</w:t>
      </w:r>
      <w:r>
        <w:rPr>
          <w:color w:val="000000"/>
          <w:sz w:val="23"/>
          <w:szCs w:val="23"/>
        </w:rPr>
        <w:t xml:space="preserve"> (</w:t>
      </w:r>
      <w:r>
        <w:rPr>
          <w:rStyle w:val="HTML"/>
          <w:color w:val="000000"/>
        </w:rPr>
        <w:t>assign_placeholders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placeholder_for</w:t>
      </w:r>
      <w:r>
        <w:rPr>
          <w:color w:val="000000"/>
          <w:sz w:val="23"/>
          <w:szCs w:val="23"/>
        </w:rPr>
        <w:t xml:space="preserve">) соответствует </w:t>
      </w:r>
      <w:r>
        <w:rPr>
          <w:rStyle w:val="a6"/>
          <w:color w:val="000000"/>
          <w:sz w:val="23"/>
          <w:szCs w:val="23"/>
        </w:rPr>
        <w:t>методу введения идентификаторов</w:t>
      </w:r>
      <w:r>
        <w:rPr>
          <w:color w:val="000000"/>
          <w:sz w:val="23"/>
          <w:szCs w:val="23"/>
        </w:rPr>
        <w:t xml:space="preserve"> — пункт 2 приложения № 2:</w:t>
      </w:r>
    </w:p>
    <w:p w14:paraId="2BEE3D1C" w14:textId="77777777" w:rsidR="004B3801" w:rsidRDefault="004B3801">
      <w:pPr>
        <w:shd w:val="clear" w:color="auto" w:fill="F4F4F4"/>
        <w:spacing w:after="80"/>
        <w:jc w:val="both"/>
        <w:divId w:val="165678409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«...выделения из состава персональных данных, подлежащих обезличиванию, ... персональных данных, которые без использования дополнительной информации позволяют определить субъекта персональных данных, и их замены на идентификаторы </w:t>
      </w:r>
      <w:r>
        <w:rPr>
          <w:rStyle w:val="a6"/>
          <w:color w:val="000000"/>
          <w:sz w:val="21"/>
          <w:szCs w:val="21"/>
        </w:rPr>
        <w:t>в виде кода, номера или иного обозначения</w:t>
      </w:r>
      <w:r>
        <w:rPr>
          <w:color w:val="000000"/>
          <w:sz w:val="21"/>
          <w:szCs w:val="21"/>
        </w:rPr>
        <w:t xml:space="preserve">, имеющего постоянное или переменное значение, </w:t>
      </w:r>
      <w:r>
        <w:rPr>
          <w:rStyle w:val="a6"/>
          <w:color w:val="000000"/>
          <w:sz w:val="21"/>
          <w:szCs w:val="21"/>
        </w:rPr>
        <w:t>присваиваемые на основании заданных оператором алгоритмов</w:t>
      </w:r>
      <w:r>
        <w:rPr>
          <w:color w:val="000000"/>
          <w:sz w:val="21"/>
          <w:szCs w:val="21"/>
        </w:rPr>
        <w:t>.»</w:t>
      </w:r>
    </w:p>
    <w:p w14:paraId="6DAB1FF4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Плейсхолдеры вида </w:t>
      </w:r>
      <w:r>
        <w:rPr>
          <w:rStyle w:val="HTML"/>
          <w:color w:val="000000"/>
        </w:rPr>
        <w:t>[PASSPORT_1]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[PERSON_2]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— идентификаторы в виде обозначения; нумерация по порядку первого появления в тексте — заданный оператором алгоритм. Метод входит в разрешённый перечень (п. 1 приложения № 2 допускает методы из пунктов 2, 4, 10, 11 и 12).</w:t>
      </w:r>
    </w:p>
    <w:p w14:paraId="58F5CA1A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Метод менять не нужно.</w:t>
      </w:r>
      <w:r>
        <w:rPr>
          <w:color w:val="000000"/>
          <w:sz w:val="23"/>
          <w:szCs w:val="23"/>
        </w:rPr>
        <w:t xml:space="preserve"> Его нужно зафиксировать в локальном акте — сейчас нигде не задокументировано, что применяется именно он.</w:t>
      </w:r>
    </w:p>
    <w:p w14:paraId="68572807" w14:textId="77777777" w:rsidR="004B3801" w:rsidRDefault="004B3801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lastRenderedPageBreak/>
        <w:pict w14:anchorId="4B216BCE">
          <v:rect id="_x0000_i1028" style="width:0;height:1.5pt" o:hralign="center" o:hrstd="t" o:hr="t" fillcolor="#a0a0a0" stroked="f"/>
        </w:pict>
      </w:r>
    </w:p>
    <w:p w14:paraId="72A7738D" w14:textId="77777777" w:rsidR="004B3801" w:rsidRDefault="004B380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Матрица соответствия</w:t>
      </w:r>
    </w:p>
    <w:p w14:paraId="1D08CE5A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Легенда: </w:t>
      </w:r>
      <w:r>
        <w:rPr>
          <w:rFonts w:ascii="Segoe UI Emoji" w:hAnsi="Segoe UI Emoji" w:cs="Segoe UI Emoji"/>
          <w:color w:val="000000"/>
          <w:sz w:val="23"/>
          <w:szCs w:val="23"/>
        </w:rPr>
        <w:t>✅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выполнено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·</w:t>
      </w:r>
      <w:r>
        <w:rPr>
          <w:color w:val="000000"/>
          <w:sz w:val="23"/>
          <w:szCs w:val="23"/>
        </w:rPr>
        <w:t xml:space="preserve"> </w:t>
      </w:r>
      <w:r>
        <w:rPr>
          <w:rFonts w:ascii="Segoe UI Emoji" w:hAnsi="Segoe UI Emoji" w:cs="Segoe UI Emoji"/>
          <w:color w:val="000000"/>
          <w:sz w:val="23"/>
          <w:szCs w:val="23"/>
        </w:rPr>
        <w:t>🟡</w:t>
      </w:r>
      <w:r>
        <w:rPr>
          <w:color w:val="000000"/>
          <w:sz w:val="23"/>
          <w:szCs w:val="23"/>
        </w:rPr>
        <w:t xml:space="preserve"> частично · </w:t>
      </w:r>
      <w:r>
        <w:rPr>
          <w:rFonts w:ascii="Segoe UI Emoji" w:hAnsi="Segoe UI Emoji" w:cs="Segoe UI Emoji"/>
          <w:color w:val="000000"/>
          <w:sz w:val="23"/>
          <w:szCs w:val="23"/>
        </w:rPr>
        <w:t>❌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не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выполнено</w:t>
      </w:r>
      <w:r>
        <w:rPr>
          <w:color w:val="000000"/>
          <w:sz w:val="23"/>
          <w:szCs w:val="23"/>
        </w:rPr>
        <w:t xml:space="preserve"> · </w:t>
      </w:r>
      <w:r>
        <w:rPr>
          <w:rFonts w:ascii="Segoe UI Emoji" w:hAnsi="Segoe UI Emoji" w:cs="Segoe UI Emoji"/>
          <w:color w:val="000000"/>
          <w:sz w:val="23"/>
          <w:szCs w:val="23"/>
        </w:rPr>
        <w:t>⚠</w:t>
      </w:r>
      <w:r>
        <w:rPr>
          <w:rFonts w:ascii="Segoe UI Emoji" w:hAnsi="Segoe UI Emoji" w:cs="Segoe UI Emoji"/>
          <w:color w:val="000000"/>
          <w:sz w:val="23"/>
          <w:szCs w:val="23"/>
        </w:rPr>
        <w:t>️</w:t>
      </w:r>
      <w:r>
        <w:rPr>
          <w:color w:val="000000"/>
          <w:sz w:val="23"/>
          <w:szCs w:val="23"/>
        </w:rPr>
        <w:t xml:space="preserve"> зависит от роли</w:t>
      </w:r>
    </w:p>
    <w:p w14:paraId="75E11C59" w14:textId="77777777" w:rsidR="004B3801" w:rsidRDefault="004B380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 1 требований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544"/>
        <w:gridCol w:w="799"/>
        <w:gridCol w:w="5241"/>
      </w:tblGrid>
      <w:tr w:rsidR="00000000" w14:paraId="59FAB831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097160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4F5134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B3638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BE5C5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Фактическое положение</w:t>
            </w:r>
          </w:p>
        </w:tc>
      </w:tr>
      <w:tr w:rsidR="00000000" w14:paraId="6A9F44E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7912C9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D25A78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Использование методов из приложения № 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5A94E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🟡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9CDB8C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Метод введения идентификаторов фактически реализован (</w:t>
            </w:r>
            <w:r>
              <w:rPr>
                <w:rStyle w:val="HTML"/>
                <w:color w:val="000000"/>
              </w:rPr>
              <w:t>mapping.py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), но не зафиксирован документально</w:t>
            </w:r>
          </w:p>
        </w:tc>
      </w:tr>
      <w:tr w:rsidR="00000000" w14:paraId="772C1EF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330D9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5FA5C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Определение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до начала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состава ПДн, подлежащих обезличиванию, и субъектов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3242E9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DB3EB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Состав определяется детекторами на лету. При этом закрытый перечень меток существует: </w:t>
            </w:r>
            <w:r>
              <w:rPr>
                <w:rStyle w:val="HTML"/>
                <w:color w:val="000000"/>
              </w:rPr>
              <w:t>EMAIL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URL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IP_ADDRESS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PHONE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CREDIT_CARD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INN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SNILS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OMS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PASSPORT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DRIVER_LICENSE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MILITARY_ID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BIRTH_CERTIFICATE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PERSON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и др. Этот перечень и есть «состав» — его достаточно оформить актом</w:t>
            </w:r>
          </w:p>
        </w:tc>
      </w:tr>
      <w:tr w:rsidR="00000000" w14:paraId="1FE3F67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AC55A6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EA76E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Оценка достаточности выбранного метода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A16FB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🟡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6063DE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Инструмент готов (</w:t>
            </w:r>
            <w:r>
              <w:rPr>
                <w:rStyle w:val="HTML"/>
                <w:color w:val="000000"/>
              </w:rPr>
              <w:t>eval_benchmark.py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), протокол оценки не оформлен</w:t>
            </w:r>
          </w:p>
        </w:tc>
      </w:tr>
      <w:tr w:rsidR="00000000" w14:paraId="25E1727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323A0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2A7648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Невозможность идентификации без дополнительной информации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089B18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🟡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32D9FC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Алгоритмически достигается, но обнуляется доставкой ключа вместе с результатом</w:t>
            </w:r>
          </w:p>
        </w:tc>
      </w:tr>
      <w:tr w:rsidR="00000000" w14:paraId="29C3D19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F0F182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6DDD7F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ИС обеспечивает безопасность и конфиденциальность исходного массива и результата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71FBD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E95DE5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Нет аутентификации входящих запросов; </w:t>
            </w:r>
            <w:r>
              <w:rPr>
                <w:rStyle w:val="HTML"/>
                <w:color w:val="000000"/>
              </w:rPr>
              <w:t>Access-Control-Allow-Origin: *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; </w:t>
            </w:r>
            <w:r>
              <w:rPr>
                <w:rStyle w:val="HTML"/>
                <w:color w:val="000000"/>
              </w:rPr>
              <w:t>job_id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не привязан к субъекту (IDOR)</w:t>
            </w:r>
          </w:p>
        </w:tc>
      </w:tr>
      <w:tr w:rsidR="00000000" w14:paraId="3CAA877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4B6411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4AC973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Исключение совместного хранения исходного массива и результата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1F227C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AC37D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_JOBS[job_id]["result"]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содержит </w:t>
            </w:r>
            <w:r>
              <w:rPr>
                <w:rStyle w:val="HTML"/>
                <w:color w:val="000000"/>
              </w:rPr>
              <w:t>anonymized_text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mapping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spans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(с исходными подстроками и смещениями) и </w:t>
            </w:r>
            <w:r>
              <w:rPr>
                <w:rStyle w:val="HTML"/>
                <w:color w:val="000000"/>
              </w:rPr>
              <w:t>document_base64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одновременно; TTL 600 с, очистка ленивая</w:t>
            </w:r>
          </w:p>
        </w:tc>
      </w:tr>
      <w:tr w:rsidR="00000000" w14:paraId="14F08DF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B1620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CB12D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Учёт действий по обезличиванию в определённой оператором форме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95E662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4320A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usage_log.py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ведёт учёт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потребления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(токены, стоимость, длительность), а не учёт операций обезличивания. Формы, подтверждающей осуществлённые действия, нет</w:t>
            </w:r>
          </w:p>
        </w:tc>
      </w:tr>
    </w:tbl>
    <w:p w14:paraId="6B82F885" w14:textId="77777777" w:rsidR="004B3801" w:rsidRDefault="004B380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Приложение № 2, пункт 3 (ключ)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799"/>
        <w:gridCol w:w="6517"/>
      </w:tblGrid>
      <w:tr w:rsidR="00000000" w14:paraId="7C0388D0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850493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0D316C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2DFB04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Фактическое положение</w:t>
            </w:r>
          </w:p>
        </w:tc>
      </w:tr>
      <w:tr w:rsidR="00000000" w14:paraId="5B66C56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A494E4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Создание ключа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F0B615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8639DD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mapping.py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формирует </w:t>
            </w:r>
            <w:r>
              <w:rPr>
                <w:rStyle w:val="HTML"/>
                <w:color w:val="000000"/>
              </w:rPr>
              <w:t>placeholder → original</w:t>
            </w:r>
          </w:p>
        </w:tc>
      </w:tr>
      <w:tr w:rsidR="00000000" w14:paraId="29AC699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AFCC79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lastRenderedPageBreak/>
              <w:t>Хранится оператором отдельно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от массива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43FF72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AB88D0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Хранится в одной структуре с результатом и передаётся в одном ответе</w:t>
            </w:r>
          </w:p>
        </w:tc>
      </w:tr>
      <w:tr w:rsidR="00000000" w14:paraId="3C7328F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5B40AF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 передаётся третьим лицам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CD6553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B4DC46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Зависит от роли. Если оператор — вы, передача ключа клиенту недопустима. Если вы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обработчик по поручению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а оператор — заказчик, ключ возвращается оператору и третьим лицам не передаётся.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Модель поручения закрывает этот пункт сама</w:t>
            </w:r>
          </w:p>
        </w:tc>
      </w:tr>
    </w:tbl>
    <w:p w14:paraId="28F78D22" w14:textId="77777777" w:rsidR="004B3801" w:rsidRDefault="004B380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 2 требований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3070"/>
        <w:gridCol w:w="847"/>
        <w:gridCol w:w="4663"/>
      </w:tblGrid>
      <w:tr w:rsidR="00000000" w14:paraId="672233C4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EE1F6D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387CC7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17B283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282BB8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Комментарий</w:t>
            </w:r>
          </w:p>
        </w:tc>
      </w:tr>
      <w:tr w:rsidR="00000000" w14:paraId="135ECBB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28E535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EDF787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Локальные акты о порядке обработки, обезличивания, оценки достаточности метода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D9E48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EDF864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Отсутствуют</w:t>
            </w:r>
          </w:p>
        </w:tc>
      </w:tr>
      <w:tr w:rsidR="00000000" w14:paraId="379FCDD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B974C9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2.2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C205EF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Исключение доступа третьих лиц к информации о методе, используемых ИС и процедуре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6A5D2B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850F11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README.md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ПРЕЗЕНТАЦИЯ.md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МАТЧАСТЬ.md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публично описывают алгоритм, метки и архитектуру.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Прямой конфликт с маркетингом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требует решения</w:t>
            </w:r>
          </w:p>
        </w:tc>
      </w:tr>
      <w:tr w:rsidR="00000000" w14:paraId="20E9DCC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8F366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2.3–2.5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8E434E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Локальные акты для методов 4, 10, 11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8EA77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n/a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7BCFD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 применяются, если ограничиться методом введения идентификаторов</w:t>
            </w:r>
          </w:p>
        </w:tc>
      </w:tr>
      <w:tr w:rsidR="00000000" w14:paraId="4FE11D7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C8625D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2.6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72707A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Хранение локальных актов отдельно от результата, без доступа третьих лиц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51BCA8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n/a → </w:t>
            </w: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F45B0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Станет применимо после появления актов</w:t>
            </w:r>
          </w:p>
        </w:tc>
      </w:tr>
      <w:tr w:rsidR="00000000" w14:paraId="047114B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337436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2.7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DEE44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Требования при использовании метода 12 (обобщение)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AA9ED1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n/a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9B71FF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 применяется</w:t>
            </w:r>
          </w:p>
        </w:tc>
      </w:tr>
    </w:tbl>
    <w:p w14:paraId="01345221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Итог: полное соответствие — примерно 1,5 пункта из 7 по разделу 1.</w:t>
      </w:r>
    </w:p>
    <w:p w14:paraId="4F3F5E74" w14:textId="77777777" w:rsidR="004B3801" w:rsidRDefault="004B3801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C31A828">
          <v:rect id="_x0000_i1029" style="width:0;height:1.5pt" o:hralign="center" o:hrstd="t" o:hr="t" fillcolor="#a0a0a0" stroked="f"/>
        </w:pict>
      </w:r>
    </w:p>
    <w:p w14:paraId="4D177743" w14:textId="77777777" w:rsidR="004B3801" w:rsidRDefault="004B380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Что реализовать в коде</w:t>
      </w:r>
    </w:p>
    <w:p w14:paraId="18471298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Порядок — по убыванию отдачи на единицу трудозатрат.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3544"/>
        <w:gridCol w:w="1237"/>
        <w:gridCol w:w="1415"/>
        <w:gridCol w:w="2706"/>
      </w:tblGrid>
      <w:tr w:rsidR="00000000" w14:paraId="6CAEA9FE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A10F1B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CD805C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C22583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Закрывает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25CF23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Трудоёмкость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881C33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Ломает совместимость</w:t>
            </w:r>
          </w:p>
        </w:tc>
      </w:tr>
      <w:tr w:rsidR="00000000" w14:paraId="65EE3A9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C6179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F41D85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Убрать </w:t>
            </w:r>
            <w:r>
              <w:rPr>
                <w:rStyle w:val="HTML"/>
                <w:b/>
                <w:bCs/>
                <w:color w:val="000000"/>
              </w:rPr>
              <w:t>text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из сериализуемых спанов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ввести флаг </w:t>
            </w:r>
            <w:r>
              <w:rPr>
                <w:rStyle w:val="HTML"/>
                <w:color w:val="000000"/>
              </w:rPr>
              <w:t>include_span_text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(по умолчанию </w:t>
            </w:r>
            <w:r>
              <w:rPr>
                <w:rStyle w:val="HTML"/>
                <w:color w:val="000000"/>
              </w:rPr>
              <w:t>false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D6ADA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1.4, 1.6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9930FF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0,5 дня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96D97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Частично: </w:t>
            </w:r>
            <w:r>
              <w:rPr>
                <w:rStyle w:val="HTML"/>
                <w:color w:val="000000"/>
              </w:rPr>
              <w:t>remote_client.py:99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читает </w:t>
            </w:r>
            <w:r>
              <w:rPr>
                <w:rStyle w:val="HTML"/>
                <w:color w:val="000000"/>
              </w:rPr>
              <w:t>s.get("text","")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клиент должен выставлять флаг. Фронтенд поле не использует (проверено)</w:t>
            </w:r>
          </w:p>
        </w:tc>
      </w:tr>
      <w:tr w:rsidR="00000000" w14:paraId="420A0AC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4A425D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lastRenderedPageBreak/>
              <w:t>3.2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0DAA0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Развести выдачу результата и ключа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: </w:t>
            </w:r>
            <w:r>
              <w:rPr>
                <w:rStyle w:val="HTML"/>
                <w:color w:val="000000"/>
              </w:rPr>
              <w:t>GET /jobs/{id}/document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и </w:t>
            </w:r>
            <w:r>
              <w:rPr>
                <w:rStyle w:val="HTML"/>
                <w:color w:val="000000"/>
              </w:rPr>
              <w:t>GET /jobs/{id}/key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; ключ выдаётся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один раз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и немедленно стирается из </w:t>
            </w:r>
            <w:r>
              <w:rPr>
                <w:rStyle w:val="HTML"/>
                <w:color w:val="000000"/>
              </w:rPr>
              <w:t>_JOBS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301B3E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1.6, прил. 2 п. 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9201AD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1–2 дня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70FE8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Да — новый контракт. Рекомендуется добавить рядом со старым и объявить старый устаревшим</w:t>
            </w:r>
          </w:p>
        </w:tc>
      </w:tr>
      <w:tr w:rsidR="00000000" w14:paraId="07F4D6F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4B4EEE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FB881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Уничтожение исходного массива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сразу после формирования результата: явное освобождение </w:t>
            </w:r>
            <w:r>
              <w:rPr>
                <w:rStyle w:val="HTML"/>
                <w:color w:val="000000"/>
              </w:rPr>
              <w:t>raw</w:t>
            </w:r>
            <w:r>
              <w:rPr>
                <w:rFonts w:eastAsia="Times New Roman"/>
                <w:color w:val="000000"/>
                <w:sz w:val="19"/>
                <w:szCs w:val="19"/>
              </w:rPr>
              <w:t>/</w:t>
            </w:r>
            <w:r>
              <w:rPr>
                <w:rStyle w:val="HTML"/>
                <w:color w:val="000000"/>
              </w:rPr>
              <w:t>text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отключение core dumps (</w:t>
            </w:r>
            <w:r>
              <w:rPr>
                <w:rStyle w:val="HTML"/>
                <w:color w:val="000000"/>
              </w:rPr>
              <w:t>RLIMIT_CORE=0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), </w:t>
            </w:r>
            <w:r>
              <w:rPr>
                <w:rStyle w:val="HTML"/>
                <w:color w:val="000000"/>
              </w:rPr>
              <w:t>mlock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для страниц с ключом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F627F8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1.6 (разделение во времени)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83FA3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 день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5E5BCE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  <w:tr w:rsidR="00000000" w14:paraId="026137A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E76F23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9F6E68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Детерминированный TTL</w:t>
            </w:r>
            <w:r>
              <w:rPr>
                <w:rFonts w:eastAsia="Times New Roman"/>
                <w:color w:val="000000"/>
                <w:sz w:val="19"/>
                <w:szCs w:val="19"/>
              </w:rPr>
              <w:t>: фоновый сборщик вместо ленивой очистки; удаление задания сразу после первой успешной выдачи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5B3359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1.5, 1.6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D8D36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0,5 дня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F2D14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  <w:tr w:rsidR="00000000" w14:paraId="749196A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0BDE9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A26EFC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Аутентификация входящих запросов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Access-Control-Allow-Origin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из белого списка, привязка </w:t>
            </w:r>
            <w:r>
              <w:rPr>
                <w:rStyle w:val="HTML"/>
                <w:color w:val="000000"/>
              </w:rPr>
              <w:t>job_id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к субъекту, криптостойкий идентификатор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889422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7CD57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 дня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D7F84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Да, для клиентов — нужен токен</w:t>
            </w:r>
          </w:p>
        </w:tc>
      </w:tr>
      <w:tr w:rsidR="00000000" w14:paraId="3F4B537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4CC116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822C2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Журнал операций обезличивания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отдельный от </w:t>
            </w:r>
            <w:r>
              <w:rPr>
                <w:rStyle w:val="HTML"/>
                <w:color w:val="000000"/>
              </w:rPr>
              <w:t>usage.jsonl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: </w:t>
            </w:r>
            <w:r>
              <w:rPr>
                <w:rStyle w:val="HTML"/>
                <w:color w:val="000000"/>
              </w:rPr>
              <w:t>request_id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дата и время начала и окончания, субъект доступа, применённый метод, перечень задействованных меток, количество замен по меткам, факт выдачи ключа с отметкой времени, факт уничтожения исходного массива и ключа.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Без содержимого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7A6E67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EA3E0E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1–2 дня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B9AB7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  <w:tr w:rsidR="00000000" w14:paraId="6646231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CD04B8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3AEB8D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Режим без формирования ключа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</w:t>
            </w:r>
            <w:r>
              <w:rPr>
                <w:rStyle w:val="HTML"/>
                <w:color w:val="000000"/>
              </w:rPr>
              <w:t>irreversible=true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): маппинг не создаётся и не возвращается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6B387F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1.4 в жёстком варианте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63236C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0,5 дня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52C46C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Нет, новый флаг</w:t>
            </w:r>
          </w:p>
        </w:tc>
      </w:tr>
      <w:tr w:rsidR="00000000" w14:paraId="3256434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BC6074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CCFFBB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Опционально: шифрование ключа при выдаче ключом клиента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7B8E9C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усиление прил. 2 п. 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1AE33E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2–3 дня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8CA301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</w:tbl>
    <w:p w14:paraId="325F62BE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Совокупно — </w:t>
      </w:r>
      <w:r>
        <w:rPr>
          <w:rStyle w:val="a6"/>
          <w:color w:val="000000"/>
          <w:sz w:val="23"/>
          <w:szCs w:val="23"/>
        </w:rPr>
        <w:t>7–11 рабочих дней</w:t>
      </w:r>
      <w:r>
        <w:rPr>
          <w:color w:val="000000"/>
          <w:sz w:val="23"/>
          <w:szCs w:val="23"/>
        </w:rPr>
        <w:t>. Пункты 3.1, 3.3, 3.4, 3.6, 3.7 совместимость не ломают и могут быть сделаны сразу.</w:t>
      </w:r>
    </w:p>
    <w:p w14:paraId="105BE11A" w14:textId="77777777" w:rsidR="004B3801" w:rsidRDefault="004B3801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80CFD11">
          <v:rect id="_x0000_i1030" style="width:0;height:1.5pt" o:hralign="center" o:hrstd="t" o:hr="t" fillcolor="#a0a0a0" stroked="f"/>
        </w:pict>
      </w:r>
    </w:p>
    <w:p w14:paraId="2FD76043" w14:textId="77777777" w:rsidR="004B3801" w:rsidRDefault="004B380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Что оформить документально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2119"/>
        <w:gridCol w:w="1175"/>
        <w:gridCol w:w="5608"/>
      </w:tblGrid>
      <w:tr w:rsidR="00000000" w14:paraId="129E4B79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4BE8E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5F5416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298545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Закрывает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EA612A" w14:textId="77777777" w:rsidR="004B3801" w:rsidRDefault="004B3801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Содержание</w:t>
            </w:r>
          </w:p>
        </w:tc>
      </w:tr>
      <w:tr w:rsidR="00000000" w14:paraId="0767F42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C211CF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321C85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Локальный акт «Порядок обезличивания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lastRenderedPageBreak/>
              <w:t>персональных данных»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7D10DB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lastRenderedPageBreak/>
              <w:t>2.1, 1.1, 1.2, 1.6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FC62D2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Применяемый метод со ссылкой на п. 2 приложения № 2 к приказу № 140; алгоритм присвоения идентификаторов;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состав ПДн, подлежащих обезличиванию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— закрытый перечень меток; </w:t>
            </w:r>
            <w:r>
              <w:rPr>
                <w:rFonts w:eastAsia="Times New Roman"/>
                <w:color w:val="000000"/>
                <w:sz w:val="19"/>
                <w:szCs w:val="19"/>
              </w:rPr>
              <w:lastRenderedPageBreak/>
              <w:t xml:space="preserve">категории субъектов; порядок создания, хранения, выдачи и уничтожения ключа;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избранный способ исключения совместного хранения с обоснованием</w:t>
            </w:r>
            <w:r>
              <w:rPr>
                <w:rFonts w:eastAsia="Times New Roman"/>
                <w:color w:val="000000"/>
                <w:sz w:val="19"/>
                <w:szCs w:val="19"/>
              </w:rPr>
              <w:t>; форма учёта</w:t>
            </w:r>
          </w:p>
        </w:tc>
      </w:tr>
      <w:tr w:rsidR="00000000" w14:paraId="2C25C28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E11D3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lastRenderedPageBreak/>
              <w:t>4.2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CE9216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Протокол оценки достаточности метода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C725F1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07611F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Методика измерения, состав и объём эталонного набора, полученные значения полноты и точности по каждой метке, дата, версия моделей, вывод о достаточности для заявленных целей. Формируется на базе </w:t>
            </w:r>
            <w:r>
              <w:rPr>
                <w:rStyle w:val="HTML"/>
                <w:color w:val="000000"/>
              </w:rPr>
              <w:t>eval_benchmark.py</w:t>
            </w:r>
          </w:p>
        </w:tc>
      </w:tr>
      <w:tr w:rsidR="00000000" w14:paraId="3F15828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A53812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64E1C2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Форма журнала учёта действий по обезличиванию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35936F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65FFDD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Утверждается как приложение к акту 4.1; заполняется автоматически по задаче 3.6</w:t>
            </w:r>
          </w:p>
        </w:tc>
      </w:tr>
      <w:tr w:rsidR="00000000" w14:paraId="6F02585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3E16B7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FA4CDC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Акт об определении состава ПДн и категорий субъектов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6380B9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1.2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4DE2CB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Фиксируется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до начала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обработки. Поимённо субъектов определить нельзя — указываются категории, и это допустимо</w:t>
            </w:r>
          </w:p>
        </w:tc>
      </w:tr>
      <w:tr w:rsidR="00000000" w14:paraId="0341913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02FBB5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F3854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Порядок хранения локальных актов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A0C5BB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2.6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CE8141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Отдельно от результатов обезличивания, с ограничением доступа</w:t>
            </w:r>
          </w:p>
        </w:tc>
      </w:tr>
      <w:tr w:rsidR="00000000" w14:paraId="5DFE431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D263B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055D7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Решение по публичной документации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C9F09D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2.2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208795" w14:textId="77777777" w:rsidR="004B3801" w:rsidRDefault="004B3801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См. раздел 5</w:t>
            </w:r>
          </w:p>
        </w:tc>
      </w:tr>
    </w:tbl>
    <w:p w14:paraId="7E60624E" w14:textId="77777777" w:rsidR="004B3801" w:rsidRDefault="004B3801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5555CA7">
          <v:rect id="_x0000_i1031" style="width:0;height:1.5pt" o:hralign="center" o:hrstd="t" o:hr="t" fillcolor="#a0a0a0" stroked="f"/>
        </w:pict>
      </w:r>
    </w:p>
    <w:p w14:paraId="52A836D5" w14:textId="77777777" w:rsidR="004B3801" w:rsidRDefault="004B380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Конфликт пункта 2.2 с открытой документацией</w:t>
      </w:r>
    </w:p>
    <w:p w14:paraId="1A4C63D2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Пункт 2.2 требует исключить доступ третьих лиц к информации об используемом методе, об используемых информационных системах и программах, «а равно иной информации о процедуре проведения обезличивания».</w:t>
      </w:r>
    </w:p>
    <w:p w14:paraId="7F9E2BFA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Сейчас в открытом доступе: </w:t>
      </w:r>
      <w:r>
        <w:rPr>
          <w:rStyle w:val="HTML"/>
          <w:color w:val="000000"/>
        </w:rPr>
        <w:t>README.md</w:t>
      </w:r>
      <w:r>
        <w:rPr>
          <w:color w:val="000000"/>
          <w:sz w:val="23"/>
          <w:szCs w:val="23"/>
        </w:rPr>
        <w:t xml:space="preserve"> (перечень меток, состав модулей), </w:t>
      </w:r>
      <w:r>
        <w:rPr>
          <w:rStyle w:val="HTML"/>
          <w:color w:val="000000"/>
        </w:rPr>
        <w:t>ПРЕЗЕНТАЦИЯ.md</w:t>
      </w:r>
      <w:r>
        <w:rPr>
          <w:color w:val="000000"/>
          <w:sz w:val="23"/>
          <w:szCs w:val="23"/>
        </w:rPr>
        <w:t xml:space="preserve"> (описание трёхслойной архитектуры), </w:t>
      </w:r>
      <w:r>
        <w:rPr>
          <w:rStyle w:val="HTML"/>
          <w:color w:val="000000"/>
        </w:rPr>
        <w:t>МАТЧАСТЬ.md</w:t>
      </w:r>
      <w:r>
        <w:rPr>
          <w:color w:val="000000"/>
          <w:sz w:val="23"/>
          <w:szCs w:val="23"/>
        </w:rPr>
        <w:t xml:space="preserve"> (детальное описание меток и логики).</w:t>
      </w:r>
    </w:p>
    <w:p w14:paraId="720A1AF7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Три возможных решения:</w:t>
      </w:r>
    </w:p>
    <w:p w14:paraId="08B96D65" w14:textId="77777777" w:rsidR="004B3801" w:rsidRDefault="004B3801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Закрыть детальное описание.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МАТЧАСТЬ.md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 xml:space="preserve">и подробности алгоритма перевести в закрытую часть, предоставляемую заказчику под NDA. В публичных материалах оставить функциональное описание без процедурных деталей. </w:t>
      </w:r>
      <w:r>
        <w:rPr>
          <w:rStyle w:val="a7"/>
          <w:rFonts w:eastAsia="Times New Roman"/>
          <w:color w:val="000000"/>
          <w:sz w:val="23"/>
          <w:szCs w:val="23"/>
        </w:rPr>
        <w:t>Рекомендуется при выборе режима «обезличивание».</w:t>
      </w:r>
    </w:p>
    <w:p w14:paraId="4CA67250" w14:textId="77777777" w:rsidR="004B3801" w:rsidRDefault="004B3801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Не применять режим обезличивания.</w:t>
      </w:r>
      <w:r>
        <w:rPr>
          <w:rFonts w:eastAsia="Times New Roman"/>
          <w:color w:val="000000"/>
          <w:sz w:val="23"/>
          <w:szCs w:val="23"/>
        </w:rPr>
        <w:t xml:space="preserve"> Позиционировать продукт как маскирование — тогда приказ № 140 не применяется, и требование 2.2 тоже. Документация остаётся открытой.</w:t>
      </w:r>
    </w:p>
    <w:p w14:paraId="287C50DD" w14:textId="77777777" w:rsidR="004B3801" w:rsidRDefault="004B3801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Два режима.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 xml:space="preserve">Публичная документация описывает режим маскирования; режим обезличивания документируется закрыто и поставляется отдельно. </w:t>
      </w:r>
      <w:r>
        <w:rPr>
          <w:rStyle w:val="a7"/>
          <w:rFonts w:eastAsia="Times New Roman"/>
          <w:color w:val="000000"/>
          <w:sz w:val="23"/>
          <w:szCs w:val="23"/>
        </w:rPr>
        <w:t>Наиболее гибко, но требует дисциплины при поддержке двух комплектов документации.</w:t>
      </w:r>
    </w:p>
    <w:p w14:paraId="4436F40B" w14:textId="77777777" w:rsidR="004B3801" w:rsidRDefault="004B3801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6D046A9">
          <v:rect id="_x0000_i1032" style="width:0;height:1.5pt" o:hralign="center" o:hrstd="t" o:hr="t" fillcolor="#a0a0a0" stroked="f"/>
        </w:pict>
      </w:r>
    </w:p>
    <w:p w14:paraId="0B3D27F6" w14:textId="77777777" w:rsidR="004B3801" w:rsidRDefault="004B380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6. Рекомендуемая последовательность</w:t>
      </w:r>
    </w:p>
    <w:p w14:paraId="4432B34D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Этап 1 — без изменения контракта API (3–4 дня).</w:t>
      </w:r>
      <w:r>
        <w:rPr>
          <w:color w:val="000000"/>
          <w:sz w:val="23"/>
          <w:szCs w:val="23"/>
        </w:rPr>
        <w:t xml:space="preserve"> Задачи 3.1, 3.3, 3.4, 3.6, 3.7. К концу этапа закрыты п. 1.7 и частично 1.6.</w:t>
      </w:r>
    </w:p>
    <w:p w14:paraId="68156DE2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Этап 2 — документы (5–7 дней, параллельно).</w:t>
      </w:r>
      <w:r>
        <w:rPr>
          <w:color w:val="000000"/>
          <w:sz w:val="23"/>
          <w:szCs w:val="23"/>
        </w:rPr>
        <w:t xml:space="preserve"> Документы 4.1, 4.2, 4.3, 4.4. К концу этапа закрыты п. 1.1, 1.2, 1.3, 2.1.</w:t>
      </w:r>
    </w:p>
    <w:p w14:paraId="192559EF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Этап 3 — изменение контракта (3–4 дня).</w:t>
      </w:r>
      <w:r>
        <w:rPr>
          <w:color w:val="000000"/>
          <w:sz w:val="23"/>
          <w:szCs w:val="23"/>
        </w:rPr>
        <w:t xml:space="preserve"> Задачи 3.2 и 3.5. Закрывают п. 1.5, 1.6 и приложение № 2 п. 3 полностью.</w:t>
      </w:r>
    </w:p>
    <w:p w14:paraId="48F7EFB4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Этап 4 — решение по документации (1 день).</w:t>
      </w:r>
      <w:r>
        <w:rPr>
          <w:color w:val="000000"/>
          <w:sz w:val="23"/>
          <w:szCs w:val="23"/>
        </w:rPr>
        <w:t xml:space="preserve"> Раздел 5, закрывает п. 2.2.</w:t>
      </w:r>
    </w:p>
    <w:p w14:paraId="6AB3A9F9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После всех четырёх этапов соответствие приказу № 140 полное, и </w:t>
      </w:r>
      <w:r>
        <w:rPr>
          <w:rStyle w:val="a6"/>
          <w:color w:val="000000"/>
          <w:sz w:val="23"/>
          <w:szCs w:val="23"/>
        </w:rPr>
        <w:t>термин «обезличивание» становится юридически корректным</w:t>
      </w:r>
      <w:r>
        <w:rPr>
          <w:color w:val="000000"/>
          <w:sz w:val="23"/>
          <w:szCs w:val="23"/>
        </w:rPr>
        <w:t xml:space="preserve"> — при условии, что ключ хранится отдельно и не передаётся третьим лицам (что обеспечивается либо режимом 3.7, либо моделью поручения обработки).</w:t>
      </w:r>
    </w:p>
    <w:p w14:paraId="098CB0A5" w14:textId="77777777" w:rsidR="004B3801" w:rsidRDefault="004B3801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F33B2FD">
          <v:rect id="_x0000_i1033" style="width:0;height:1.5pt" o:hralign="center" o:hrstd="t" o:hr="t" fillcolor="#a0a0a0" stroked="f"/>
        </w:pict>
      </w:r>
    </w:p>
    <w:p w14:paraId="75614EBA" w14:textId="77777777" w:rsidR="004B3801" w:rsidRDefault="004B380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Оговорка</w:t>
      </w:r>
    </w:p>
    <w:p w14:paraId="31163CE4" w14:textId="77777777" w:rsidR="004B3801" w:rsidRDefault="004B3801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Приказ № 140 действует менее года, правоприменительная практика по нему не сформирована. Толкование пунктов 1.2 (определение состава «до начала» при потоковой обработке произвольных документов) и 2.2 (граница «информации о процедуре») </w:t>
      </w:r>
      <w:r>
        <w:rPr>
          <w:rStyle w:val="a6"/>
          <w:color w:val="000000"/>
          <w:sz w:val="23"/>
          <w:szCs w:val="23"/>
        </w:rPr>
        <w:t>спорно</w:t>
      </w:r>
      <w:r>
        <w:rPr>
          <w:color w:val="000000"/>
          <w:sz w:val="23"/>
          <w:szCs w:val="23"/>
        </w:rPr>
        <w:t>. Приведённые выше решения — консервативные. До вендорского аудита заказчика уровня ИНК рекомендуется согласовать позицию с практикующим юристом по персональным данным.</w:t>
      </w:r>
    </w:p>
    <w:sectPr w:rsidR="004B3801" w:rsidSect="00DD2D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50E7D" w14:textId="77777777" w:rsidR="004B3801" w:rsidRDefault="004B3801" w:rsidP="00DD2D20">
      <w:r>
        <w:separator/>
      </w:r>
    </w:p>
  </w:endnote>
  <w:endnote w:type="continuationSeparator" w:id="0">
    <w:p w14:paraId="023A892B" w14:textId="77777777" w:rsidR="004B3801" w:rsidRDefault="004B3801" w:rsidP="00DD2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91868" w14:textId="77777777" w:rsidR="00DD2D20" w:rsidRDefault="00DD2D2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C9E9A" w14:textId="14050CFA" w:rsidR="00DD2D20" w:rsidRPr="00DD2D20" w:rsidRDefault="00DD2D20" w:rsidP="00DD2D20">
    <w:pPr>
      <w:pStyle w:val="aa"/>
      <w:jc w:val="right"/>
      <w:rPr>
        <w:color w:val="808080"/>
        <w:sz w:val="16"/>
      </w:rPr>
    </w:pPr>
    <w:r w:rsidRPr="00DD2D20">
      <w:rPr>
        <w:color w:val="808080"/>
        <w:sz w:val="16"/>
      </w:rPr>
      <w:t xml:space="preserve">07_Соответствие_приказу_РКН_140   |   стр. </w:t>
    </w:r>
    <w:r w:rsidRPr="00DD2D20">
      <w:rPr>
        <w:color w:val="808080"/>
        <w:sz w:val="16"/>
      </w:rPr>
      <w:fldChar w:fldCharType="begin"/>
    </w:r>
    <w:r w:rsidRPr="00DD2D20">
      <w:rPr>
        <w:color w:val="808080"/>
        <w:sz w:val="16"/>
      </w:rPr>
      <w:instrText xml:space="preserve"> PAGE  \* MERGEFORMAT </w:instrText>
    </w:r>
    <w:r w:rsidRPr="00DD2D20">
      <w:rPr>
        <w:color w:val="808080"/>
        <w:sz w:val="16"/>
      </w:rPr>
      <w:fldChar w:fldCharType="separate"/>
    </w:r>
    <w:r w:rsidRPr="00DD2D20">
      <w:rPr>
        <w:noProof/>
        <w:color w:val="808080"/>
        <w:sz w:val="16"/>
      </w:rPr>
      <w:t>7</w:t>
    </w:r>
    <w:r w:rsidRPr="00DD2D20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2199B" w14:textId="77777777" w:rsidR="00DD2D20" w:rsidRDefault="00DD2D2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85EE7" w14:textId="77777777" w:rsidR="004B3801" w:rsidRDefault="004B3801" w:rsidP="00DD2D20">
      <w:r>
        <w:separator/>
      </w:r>
    </w:p>
  </w:footnote>
  <w:footnote w:type="continuationSeparator" w:id="0">
    <w:p w14:paraId="3A23B72E" w14:textId="77777777" w:rsidR="004B3801" w:rsidRDefault="004B3801" w:rsidP="00DD2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4C35E" w14:textId="77777777" w:rsidR="00DD2D20" w:rsidRDefault="00DD2D20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9B3FB" w14:textId="77777777" w:rsidR="00DD2D20" w:rsidRDefault="00DD2D20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56152" w14:textId="77777777" w:rsidR="00DD2D20" w:rsidRDefault="00DD2D20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C5880"/>
    <w:multiLevelType w:val="multilevel"/>
    <w:tmpl w:val="EE72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D51079"/>
    <w:multiLevelType w:val="multilevel"/>
    <w:tmpl w:val="ECEA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482468">
    <w:abstractNumId w:val="1"/>
  </w:num>
  <w:num w:numId="2" w16cid:durableId="1057432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A4"/>
    <w:rsid w:val="004B3801"/>
    <w:rsid w:val="00D879A4"/>
    <w:rsid w:val="00DD2D20"/>
    <w:rsid w:val="00E6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DBE211"/>
  <w15:chartTrackingRefBased/>
  <w15:docId w15:val="{2125324D-645E-4E76-959E-C03027A62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a9"/>
    <w:uiPriority w:val="99"/>
    <w:unhideWhenUsed/>
    <w:rsid w:val="00DD2D2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DD2D20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DD2D2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DD2D2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78409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84918180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909728198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1963</Words>
  <Characters>11193</Characters>
  <Application>Microsoft Office Word</Application>
  <DocSecurity>0</DocSecurity>
  <Lines>93</Lines>
  <Paragraphs>26</Paragraphs>
  <ScaleCrop>false</ScaleCrop>
  <Company/>
  <LinksUpToDate>false</LinksUpToDate>
  <CharactersWithSpaces>13130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07_Соответствие_приказу_РКН_140.md</dc:title>
  <dc:subject/>
  <dc:creator>JacobV</dc:creator>
  <cp:keywords/>
  <dc:description/>
  <cp:lastModifiedBy>JacobV</cp:lastModifiedBy>
  <cp:revision>3</cp:revision>
  <dcterms:created xsi:type="dcterms:W3CDTF">2026-09-11T04:52:00Z</dcterms:created>
  <dcterms:modified xsi:type="dcterms:W3CDTF">2026-09-11T04:52:00Z</dcterms:modified>
</cp:coreProperties>
</file>