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8F76" w14:textId="77777777" w:rsidR="004E74B8" w:rsidRDefault="004E74B8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Подсистема авторизации и биллинга: правовая фиксация</w:t>
      </w:r>
    </w:p>
    <w:p w14:paraId="67A17436" w14:textId="77777777" w:rsidR="004E74B8" w:rsidRDefault="004E74B8">
      <w:pPr>
        <w:jc w:val="center"/>
        <w:divId w:val="1716157669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10_Авторизация_и_биллинг_правовая_фиксация.md</w:t>
      </w:r>
    </w:p>
    <w:p w14:paraId="37F42D5C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17.08.2026.</w:t>
      </w:r>
      <w:r>
        <w:rPr>
          <w:color w:val="000000"/>
          <w:sz w:val="23"/>
          <w:szCs w:val="23"/>
        </w:rPr>
        <w:t xml:space="preserve"> Основание для составления: принято решение о вводе регистрации пользователей, ролевой модели (root / admin / member), учёта потребления и лимитов, а также будущих онлайн-платежей.</w:t>
      </w:r>
    </w:p>
    <w:p w14:paraId="2D7CF1EC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Документ фиксирует, что меняется в обязанностях по 152-ФЗ, и что нужно дописать в уже составленные документы. </w:t>
      </w:r>
      <w:r>
        <w:rPr>
          <w:rStyle w:val="a6"/>
          <w:color w:val="000000"/>
          <w:sz w:val="23"/>
          <w:szCs w:val="23"/>
        </w:rPr>
        <w:t>Составлен до реализации намеренно</w:t>
      </w:r>
      <w:r>
        <w:rPr>
          <w:color w:val="000000"/>
          <w:sz w:val="23"/>
          <w:szCs w:val="23"/>
        </w:rPr>
        <w:t xml:space="preserve"> — дешевле учесть в схеме данных, чем переделывать после.</w:t>
      </w:r>
    </w:p>
    <w:p w14:paraId="2D59B9DC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2D9EA9D">
          <v:rect id="_x0000_i1025" style="width:0;height:1.5pt" o:hralign="center" o:hrstd="t" o:hr="t" fillcolor="#a0a0a0" stroked="f"/>
        </w:pict>
      </w:r>
    </w:p>
    <w:p w14:paraId="663BFF91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Главное: появляется вторая, независимая обработка ПДн</w:t>
      </w:r>
    </w:p>
    <w:p w14:paraId="26C844EE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 сих пор все документы описывали одну обработку — содержимое документов, загружаемых пользователями, где вы выступаете </w:t>
      </w:r>
      <w:r>
        <w:rPr>
          <w:rStyle w:val="a6"/>
          <w:color w:val="000000"/>
          <w:sz w:val="23"/>
          <w:szCs w:val="23"/>
        </w:rPr>
        <w:t>обработчиком по поручению</w:t>
      </w:r>
      <w:r>
        <w:rPr>
          <w:color w:val="000000"/>
          <w:sz w:val="23"/>
          <w:szCs w:val="23"/>
        </w:rPr>
        <w:t>.</w:t>
      </w:r>
    </w:p>
    <w:p w14:paraId="6C091D79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Подсистема авторизации создаёт </w:t>
      </w:r>
      <w:r>
        <w:rPr>
          <w:rStyle w:val="a6"/>
          <w:color w:val="000000"/>
          <w:sz w:val="23"/>
          <w:szCs w:val="23"/>
        </w:rPr>
        <w:t>вторую обработку</w:t>
      </w:r>
      <w:r>
        <w:rPr>
          <w:color w:val="000000"/>
          <w:sz w:val="23"/>
          <w:szCs w:val="23"/>
        </w:rPr>
        <w:t xml:space="preserve">, где вы — </w:t>
      </w:r>
      <w:r>
        <w:rPr>
          <w:rStyle w:val="a6"/>
          <w:color w:val="000000"/>
          <w:sz w:val="23"/>
          <w:szCs w:val="23"/>
        </w:rPr>
        <w:t>оператор без каких-либо оговорок</w:t>
      </w:r>
      <w:r>
        <w:rPr>
          <w:color w:val="000000"/>
          <w:sz w:val="23"/>
          <w:szCs w:val="23"/>
        </w:rPr>
        <w:t>. Email, хеш пароля, IP-адрес, история платежей и потребления принадлежат вашим пользователям, вы сами определяете цели их обработки, и отвечаете перед этими субъектами напрямую.</w:t>
      </w:r>
    </w:p>
    <w:p w14:paraId="34BCA1F2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Практическое следствие: </w:t>
      </w:r>
      <w:r>
        <w:rPr>
          <w:rStyle w:val="a6"/>
          <w:color w:val="000000"/>
          <w:sz w:val="23"/>
          <w:szCs w:val="23"/>
        </w:rPr>
        <w:t>обе обработки указываются в уведомлении Роскомнадзора и в Политике раздельно</w:t>
      </w:r>
      <w:r>
        <w:rPr>
          <w:color w:val="000000"/>
          <w:sz w:val="23"/>
          <w:szCs w:val="23"/>
        </w:rPr>
        <w:t xml:space="preserve">, с разными целями, основаниями, категориями субъектов и сроками хранения. Часть 3.1 статьи 22 требует указывать сведения </w:t>
      </w:r>
      <w:r>
        <w:rPr>
          <w:rStyle w:val="a6"/>
          <w:color w:val="000000"/>
          <w:sz w:val="23"/>
          <w:szCs w:val="23"/>
        </w:rPr>
        <w:t>для каждой цели обработки</w:t>
      </w:r>
      <w:r>
        <w:rPr>
          <w:color w:val="000000"/>
          <w:sz w:val="23"/>
          <w:szCs w:val="23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910"/>
        <w:gridCol w:w="4019"/>
      </w:tblGrid>
      <w:tr w:rsidR="00000000" w14:paraId="39920FC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D8579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Признак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65484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Обработка № 1: документы пользователей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51276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Обработка № 2: учётные записи</w:t>
            </w:r>
          </w:p>
        </w:tc>
      </w:tr>
      <w:tr w:rsidR="00000000" w14:paraId="0CBB981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46078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Ваша роль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5BC41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Обработчик по поручению (ч. 3 ст. 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3C93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Оператор</w:t>
            </w:r>
          </w:p>
        </w:tc>
      </w:tr>
      <w:tr w:rsidR="00000000" w14:paraId="18773E2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6013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Субъекты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9A5E6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Лица, упомянутые в документах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E3941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Сами пользователи</w:t>
            </w:r>
          </w:p>
        </w:tc>
      </w:tr>
      <w:tr w:rsidR="00000000" w14:paraId="4FFBB5E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7C884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436D6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Основание пользователя-оператора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88324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(оферта) — п. 5 ч. 1 ст. 6; согласие — для необязательного</w:t>
            </w:r>
          </w:p>
        </w:tc>
      </w:tr>
      <w:tr w:rsidR="00000000" w14:paraId="2B09426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F0145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Ответственность перед субъектом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07913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Пользователь (ч. 5 ст. 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1B2E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</w:tr>
      <w:tr w:rsidR="00000000" w14:paraId="05D9092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628D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Хранение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98065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хранится (stateless)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F76B0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Постоянное</w:t>
            </w:r>
          </w:p>
        </w:tc>
      </w:tr>
    </w:tbl>
    <w:p w14:paraId="7241782E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D0A7503">
          <v:rect id="_x0000_i1026" style="width:0;height:1.5pt" o:hralign="center" o:hrstd="t" o:hr="t" fillcolor="#a0a0a0" stroked="f"/>
        </w:pict>
      </w:r>
    </w:p>
    <w:p w14:paraId="54AC7A71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2. Категории персональных данных подсистемы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4076"/>
        <w:gridCol w:w="2807"/>
      </w:tblGrid>
      <w:tr w:rsidR="00000000" w14:paraId="558B0CB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21318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37BF3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6F96A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Обязательность</w:t>
            </w:r>
          </w:p>
        </w:tc>
      </w:tr>
      <w:tr w:rsidR="00000000" w14:paraId="7E3703E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3543E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3BC38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Исполнение договора — п. 5 ч. 1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8872F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 для оказания услуги</w:t>
            </w:r>
          </w:p>
        </w:tc>
      </w:tr>
      <w:tr w:rsidR="00000000" w14:paraId="7FFC5C2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E332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D1E7C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То же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7412E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</w:t>
            </w:r>
          </w:p>
        </w:tc>
      </w:tr>
      <w:tr w:rsidR="00000000" w14:paraId="27E456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800D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IP-адрес, User-Agent, время входа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5D6DC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Обеспечение безопасности — ст. 19 ч. 2 п. 8 (регистрация действий); законный интерес — п. 7 ч. 1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06EB8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</w:t>
            </w:r>
          </w:p>
        </w:tc>
      </w:tr>
      <w:tr w:rsidR="00000000" w14:paraId="7917DEA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8FA3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История потребления (страницы, токены, стоимость)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338FE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Исполнение договора; расчёты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E203E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</w:t>
            </w:r>
          </w:p>
        </w:tc>
      </w:tr>
      <w:tr w:rsidR="00000000" w14:paraId="0A435E9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5E83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Платёжные данные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A5254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Исполнение договора; законодательство о налогах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5643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</w:t>
            </w:r>
          </w:p>
        </w:tc>
      </w:tr>
      <w:tr w:rsidR="00000000" w14:paraId="30D596B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085F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Фамилия, имя, наименование организации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F6C8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Согласие — ст. 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277A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Только если запрашиваются; для оказания услуги не нужны</w:t>
            </w:r>
          </w:p>
        </w:tc>
      </w:tr>
    </w:tbl>
    <w:p w14:paraId="0D02C74A" w14:textId="77777777" w:rsidR="004E74B8" w:rsidRDefault="004E74B8">
      <w:pPr>
        <w:shd w:val="clear" w:color="auto" w:fill="F4F4F4"/>
        <w:spacing w:after="80"/>
        <w:jc w:val="both"/>
        <w:divId w:val="137577136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Хеш пароля — это персональные данные.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Необратимость не выводит его из-под 152-ФЗ: он привязан к идентифицируемому субъекту. Формулировка «мы не храним пароли» в Политике недопустима — корректно: «пароли хранятся исключительно в виде необратимого хеша; восстановление исходного пароля невозможно».</w:t>
      </w:r>
    </w:p>
    <w:p w14:paraId="3EA42432" w14:textId="77777777" w:rsidR="004E74B8" w:rsidRDefault="004E74B8">
      <w:pPr>
        <w:shd w:val="clear" w:color="auto" w:fill="F4F4F4"/>
        <w:spacing w:after="80"/>
        <w:jc w:val="both"/>
        <w:divId w:val="137577136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IP-адрес</w:t>
      </w:r>
      <w:r>
        <w:rPr>
          <w:color w:val="000000"/>
          <w:sz w:val="21"/>
          <w:szCs w:val="21"/>
        </w:rPr>
        <w:t xml:space="preserve"> Роскомнадзор устойчиво относит к персональным данным. Журналы входов — часть ИСПДн, а не «технические логи вне периметра».</w:t>
      </w:r>
    </w:p>
    <w:p w14:paraId="3A0D627D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5379DBF">
          <v:rect id="_x0000_i1027" style="width:0;height:1.5pt" o:hralign="center" o:hrstd="t" o:hr="t" fillcolor="#a0a0a0" stroked="f"/>
        </w:pict>
      </w:r>
    </w:p>
    <w:p w14:paraId="2E882476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Что дописать в уже составленные документы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516"/>
      </w:tblGrid>
      <w:tr w:rsidR="00000000" w14:paraId="3A930AA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B8E8C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855DE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добавить</w:t>
            </w:r>
          </w:p>
        </w:tc>
      </w:tr>
      <w:tr w:rsidR="00000000" w14:paraId="2E178F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C7CD0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Политика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ГОТОВЫЕ_ДОКУМЕНТЫ/1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D10BB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о второй обработке: цели, основания, категории данных и субъектов, сроки хранения, порядок удаления учётной записи. Формулировка про хеш паролей. Указание, что IP и журналы входов обрабатываются в целях безопасности</w:t>
            </w:r>
          </w:p>
        </w:tc>
      </w:tr>
      <w:tr w:rsidR="00000000" w14:paraId="4EC8627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F88B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Уведомление РКН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ГОТОВЫЕ_ДОКУМЕНТЫ/2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D38C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Вторая цель обработки со своим набором сведений по ч. 3.1 ст. 22. Категория субъектов — «пользователи сервиса». Место нахождения базы данных</w:t>
            </w:r>
          </w:p>
        </w:tc>
      </w:tr>
      <w:tr w:rsidR="00000000" w14:paraId="5BA44F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65B33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Модель угроз и акт УЗ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ГОТОВЫЕ_ДОКУМЕНТЫ/4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5A9E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База данных пользователей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новый объект защиты с постоянным хранением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Прежняя формулировка «персистентное хранилище отсутствует» становится неверной и должна быть исправлена. Новые угрозы — раздел 5 настоящего документа</w:t>
            </w:r>
          </w:p>
        </w:tc>
      </w:tr>
      <w:tr w:rsidR="00000000" w14:paraId="5BB47BE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C8A1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lastRenderedPageBreak/>
              <w:t>Оферта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AAB90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об обработке данных пользователя; порядок удаления учётной записи; сроки хранения после расторжения</w:t>
            </w:r>
          </w:p>
        </w:tc>
      </w:tr>
      <w:tr w:rsidR="00000000" w14:paraId="638F66B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2C096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Регламент инцидентов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ГОТОВЫЕ_ДОКУМЕНТЫ/3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308A5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Компрометация базы учётных записей как отдельный тип инцидента — он затрагивает идентифицируемых субъектов, то есть уведомление по ч. 3.1 ст. 21 обязательно</w:t>
            </w:r>
          </w:p>
        </w:tc>
      </w:tr>
    </w:tbl>
    <w:p w14:paraId="0F64BDAC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1ABA84B">
          <v:rect id="_x0000_i1028" style="width:0;height:1.5pt" o:hralign="center" o:hrstd="t" o:hr="t" fillcolor="#a0a0a0" stroked="f"/>
        </w:pict>
      </w:r>
    </w:p>
    <w:p w14:paraId="26CD29A1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Локализация базы данных</w:t>
      </w:r>
    </w:p>
    <w:p w14:paraId="27C2DD88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Часть 5 статьи 18 в редакции ФЗ от 28.02.2025 № 23-ФЗ: запись, систематизация, накопление, хранение, уточнение и извлечение персональных данных граждан РФ </w:t>
      </w:r>
      <w:r>
        <w:rPr>
          <w:rStyle w:val="a6"/>
          <w:color w:val="000000"/>
          <w:sz w:val="23"/>
          <w:szCs w:val="23"/>
        </w:rPr>
        <w:t>с использованием баз данных, находящихся за пределами территории Российской Федерации, не допускаются</w:t>
      </w:r>
      <w:r>
        <w:rPr>
          <w:color w:val="000000"/>
          <w:sz w:val="23"/>
          <w:szCs w:val="23"/>
        </w:rPr>
        <w:t>.</w:t>
      </w:r>
    </w:p>
    <w:p w14:paraId="79B96E4A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Формулировка прямая и касается именно </w:t>
      </w:r>
      <w:r>
        <w:rPr>
          <w:rStyle w:val="a6"/>
          <w:color w:val="000000"/>
          <w:sz w:val="23"/>
          <w:szCs w:val="23"/>
        </w:rPr>
        <w:t>баз данных</w:t>
      </w:r>
      <w:r>
        <w:rPr>
          <w:color w:val="000000"/>
          <w:sz w:val="23"/>
          <w:szCs w:val="23"/>
        </w:rPr>
        <w:t xml:space="preserve">. Раньше этот запрет применительно к сервису был предметом толкования, поскольку персистентного хранилища не было. </w:t>
      </w:r>
      <w:r>
        <w:rPr>
          <w:rStyle w:val="a6"/>
          <w:color w:val="000000"/>
          <w:sz w:val="23"/>
          <w:szCs w:val="23"/>
        </w:rPr>
        <w:t>С появлением базы пользователей он применяется буквально и без оговорок.</w:t>
      </w:r>
    </w:p>
    <w:p w14:paraId="59C8FC73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Отсюда:</w:t>
      </w:r>
    </w:p>
    <w:p w14:paraId="0E89B374" w14:textId="77777777" w:rsidR="004E74B8" w:rsidRDefault="004E74B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Продуктивная база — </w:t>
      </w:r>
      <w:r>
        <w:rPr>
          <w:rStyle w:val="a6"/>
          <w:rFonts w:eastAsia="Times New Roman"/>
          <w:color w:val="000000"/>
          <w:sz w:val="23"/>
          <w:szCs w:val="23"/>
        </w:rPr>
        <w:t>только на территории РФ</w:t>
      </w:r>
      <w:r>
        <w:rPr>
          <w:rFonts w:eastAsia="Times New Roman"/>
          <w:color w:val="000000"/>
          <w:sz w:val="23"/>
          <w:szCs w:val="23"/>
        </w:rPr>
        <w:t>, в контуре ООО «ИНТЕРФОНИКА».</w:t>
      </w:r>
    </w:p>
    <w:p w14:paraId="53B61D4A" w14:textId="77777777" w:rsidR="004E74B8" w:rsidRDefault="004E74B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Локальная база на личном устройстве разработчика для продуктива не подходит.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Формально требование локализации она не нарушает (устройство в РФ), но делает личный компьютер информационной системой персональных данных со всеми обязанностями по статье 19 и с соответствующими последствиями при инциденте.</w:t>
      </w:r>
    </w:p>
    <w:p w14:paraId="0C8E89E9" w14:textId="77777777" w:rsidR="004E74B8" w:rsidRDefault="004E74B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Для разработки использовать </w:t>
      </w:r>
      <w:r>
        <w:rPr>
          <w:rStyle w:val="a6"/>
          <w:rFonts w:eastAsia="Times New Roman"/>
          <w:color w:val="000000"/>
          <w:sz w:val="23"/>
          <w:szCs w:val="23"/>
        </w:rPr>
        <w:t>синтетические данные</w:t>
      </w:r>
      <w:r>
        <w:rPr>
          <w:rFonts w:eastAsia="Times New Roman"/>
          <w:color w:val="000000"/>
          <w:sz w:val="23"/>
          <w:szCs w:val="23"/>
        </w:rPr>
        <w:t>. Реальные учётные записи в среде разработки не размещать.</w:t>
      </w:r>
    </w:p>
    <w:p w14:paraId="534D63F2" w14:textId="77777777" w:rsidR="004E74B8" w:rsidRDefault="004E74B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Управляемые базы данных зарубежных провайдеров — исключены.</w:t>
      </w:r>
    </w:p>
    <w:p w14:paraId="5B000C82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163FB0B">
          <v:rect id="_x0000_i1029" style="width:0;height:1.5pt" o:hralign="center" o:hrstd="t" o:hr="t" fillcolor="#a0a0a0" stroked="f"/>
        </w:pict>
      </w:r>
    </w:p>
    <w:p w14:paraId="2BECD003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Новые угрозы для модели угроз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926"/>
        <w:gridCol w:w="5941"/>
      </w:tblGrid>
      <w:tr w:rsidR="00000000" w14:paraId="2BEA27F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4D570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CF510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25CAD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Меры</w:t>
            </w:r>
          </w:p>
        </w:tc>
      </w:tr>
      <w:tr w:rsidR="00000000" w14:paraId="2F14329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C4E1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D22B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базы учётных записей (email, хеши паролей)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8EC0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argon2id с индивидуальной солью; шифрование хранилища; ограничение доступа; отдельные учётные данные базы</w:t>
            </w:r>
          </w:p>
        </w:tc>
      </w:tr>
      <w:tr w:rsidR="00000000" w14:paraId="7A64C8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6C25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9A55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Подбор пароля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90DD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частоты попыток входа; блокировка после серии неудач; требования к сложности пароля</w:t>
            </w:r>
          </w:p>
        </w:tc>
      </w:tr>
      <w:tr w:rsidR="00000000" w14:paraId="0D4AF6C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A5CA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06D3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Перехват или подделка сессии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AEA4B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HttpOnly, Secure, SameSite; ротация идентификатора сессии при входе; ограниченный срок жизни</w:t>
            </w:r>
          </w:p>
        </w:tc>
      </w:tr>
      <w:tr w:rsidR="00000000" w14:paraId="13BA54A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9ADE6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У-14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10B3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Компрометация API-ключа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86C2A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Хранение только хеша ключа; отображение полного значения один раз при выдаче; возможность отзыва; фиксация последнего использования</w:t>
            </w:r>
          </w:p>
        </w:tc>
      </w:tr>
      <w:tr w:rsidR="00000000" w14:paraId="73E5DBB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EA338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894A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Повышение привилегий (member → admin → root)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BA781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Проверка роли на стороне сервера при каждом запросе; запрет изменения роли через клиентские параметры</w:t>
            </w:r>
          </w:p>
        </w:tc>
      </w:tr>
      <w:tr w:rsidR="00000000" w14:paraId="4B4F978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B3C9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F8A54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Доступ к чужому аккаунту через некорректную фильтрацию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A7176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Фильтрация по </w:t>
            </w:r>
            <w:r>
              <w:rPr>
                <w:rStyle w:val="HTML"/>
                <w:color w:val="000000"/>
              </w:rPr>
              <w:t>account_id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на уровне запроса к базе, а не на уровне интерфейса</w:t>
            </w:r>
          </w:p>
        </w:tc>
      </w:tr>
      <w:tr w:rsidR="00000000" w14:paraId="49BD8B5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40F52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CA65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Обход авторизации через Streamlit-клиент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71501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app.py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обращается к Python-бэкенду напрямую, минуя Next.js, — то есть минуя авторизацию и лимиты. Закрыть сетевым доступом либо не публиковать</w:t>
            </w:r>
          </w:p>
        </w:tc>
      </w:tr>
    </w:tbl>
    <w:p w14:paraId="0796BF54" w14:textId="77777777" w:rsidR="004E74B8" w:rsidRDefault="004E74B8">
      <w:pPr>
        <w:shd w:val="clear" w:color="auto" w:fill="F4F4F4"/>
        <w:spacing w:after="80"/>
        <w:jc w:val="both"/>
        <w:divId w:val="73090554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Угроза У-17 отмечена особо.</w:t>
      </w:r>
      <w:r>
        <w:rPr>
          <w:color w:val="000000"/>
          <w:sz w:val="21"/>
          <w:szCs w:val="21"/>
        </w:rPr>
        <w:t xml:space="preserve"> Она сводит на нет всю подсистему разграничения: если бэкенд принимает запросы напрямую, авторизация в Next.js обходится в один запрос. Проверка прав должна выполняться </w:t>
      </w:r>
      <w:r>
        <w:rPr>
          <w:rStyle w:val="a6"/>
          <w:color w:val="000000"/>
          <w:sz w:val="21"/>
          <w:szCs w:val="21"/>
        </w:rPr>
        <w:t>в Python-бэкенде</w:t>
      </w:r>
      <w:r>
        <w:rPr>
          <w:color w:val="000000"/>
          <w:sz w:val="21"/>
          <w:szCs w:val="21"/>
        </w:rPr>
        <w:t>, а не только во фронтенде.</w:t>
      </w:r>
    </w:p>
    <w:p w14:paraId="3D36BAA1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3A2BEE0">
          <v:rect id="_x0000_i1030" style="width:0;height:1.5pt" o:hralign="center" o:hrstd="t" o:hr="t" fillcolor="#a0a0a0" stroked="f"/>
        </w:pict>
      </w:r>
    </w:p>
    <w:p w14:paraId="77A28668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Уровень защищённости — пересмотр не требуется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7691"/>
      </w:tblGrid>
      <w:tr w:rsidR="00000000" w14:paraId="3EADB91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B2E68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0118B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Значение</w:t>
            </w:r>
          </w:p>
        </w:tc>
      </w:tr>
      <w:tr w:rsidR="00000000" w14:paraId="4F94879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29F05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Категория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B395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Иные (email, хеш пароля, IP, история платежей). Специальные категории и биометрия отсутствуют</w:t>
            </w:r>
          </w:p>
        </w:tc>
      </w:tr>
      <w:tr w:rsidR="00000000" w14:paraId="50A64D0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38248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Субъекты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9BB61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являются работниками оператора</w:t>
            </w:r>
          </w:p>
        </w:tc>
      </w:tr>
      <w:tr w:rsidR="00000000" w14:paraId="130F786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7039B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20BE7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Менее 100 000</w:t>
            </w:r>
          </w:p>
        </w:tc>
      </w:tr>
      <w:tr w:rsidR="00000000" w14:paraId="0CB701D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AFF4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Тип угроз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11ECB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3-й</w:t>
            </w:r>
          </w:p>
        </w:tc>
      </w:tr>
    </w:tbl>
    <w:p w14:paraId="63CED332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Вывод: УЗ-4 сохраняется.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[ПРОВЕРИТЬ по тексту ПП РФ № 1119]</w:t>
      </w:r>
    </w:p>
    <w:p w14:paraId="10891E8D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Уровень повысится при превышении 100 000 пользователей. Это следует отслеживать: рост числа зарегистрированных — не только коммерческий показатель, но и юридический триггер.</w:t>
      </w:r>
    </w:p>
    <w:p w14:paraId="7765C496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5813DBE">
          <v:rect id="_x0000_i1031" style="width:0;height:1.5pt" o:hralign="center" o:hrstd="t" o:hr="t" fillcolor="#a0a0a0" stroked="f"/>
        </w:pict>
      </w:r>
    </w:p>
    <w:p w14:paraId="1633A5A2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Платежи</w:t>
      </w:r>
    </w:p>
    <w:p w14:paraId="5665E422" w14:textId="77777777" w:rsidR="004E74B8" w:rsidRDefault="004E74B8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При приёме платежей через платёжного агрегатора </w:t>
      </w:r>
      <w:r>
        <w:rPr>
          <w:rStyle w:val="a6"/>
          <w:rFonts w:eastAsia="Times New Roman"/>
          <w:color w:val="000000"/>
          <w:sz w:val="23"/>
          <w:szCs w:val="23"/>
        </w:rPr>
        <w:t>реквизиты карт не хранить</w:t>
      </w:r>
      <w:r>
        <w:rPr>
          <w:rFonts w:eastAsia="Times New Roman"/>
          <w:color w:val="000000"/>
          <w:sz w:val="23"/>
          <w:szCs w:val="23"/>
        </w:rPr>
        <w:t>. Отсутствие хранения карточных данных снимает вопрос о применении PCI DSS.</w:t>
      </w:r>
    </w:p>
    <w:p w14:paraId="1DEDD39B" w14:textId="77777777" w:rsidR="004E74B8" w:rsidRDefault="004E74B8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Хранить: идентификатор платежа во внешней системе, сумму, дату, статус. Этого достаточно для расчётов и учёта.</w:t>
      </w:r>
    </w:p>
    <w:p w14:paraId="47DBA053" w14:textId="77777777" w:rsidR="004E74B8" w:rsidRDefault="004E74B8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>Плательщик НПД формирует чек в приложении «Мой налог» по каждому поступлению. При большом числе мелких платежей требуется автоматизация — предусмотреть до запуска.</w:t>
      </w:r>
    </w:p>
    <w:p w14:paraId="4FA260C6" w14:textId="77777777" w:rsidR="004E74B8" w:rsidRDefault="004E74B8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Данные о платежах хранятся в сроки, установленные законодательством о налогах и сборах, — дольше, чем учётные данные. </w:t>
      </w:r>
      <w:r>
        <w:rPr>
          <w:rStyle w:val="a6"/>
          <w:rFonts w:eastAsia="Times New Roman"/>
          <w:color w:val="000000"/>
          <w:sz w:val="23"/>
          <w:szCs w:val="23"/>
        </w:rPr>
        <w:t>Сроки хранения по категориям различаются, и в Политике их следует указать раздельно.</w:t>
      </w:r>
    </w:p>
    <w:p w14:paraId="236776DB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A2A5580">
          <v:rect id="_x0000_i1032" style="width:0;height:1.5pt" o:hralign="center" o:hrstd="t" o:hr="t" fillcolor="#a0a0a0" stroked="f"/>
        </w:pict>
      </w:r>
    </w:p>
    <w:p w14:paraId="53476AC0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Сроки хранения и удаление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889"/>
      </w:tblGrid>
      <w:tr w:rsidR="00000000" w14:paraId="1C1077AA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7349E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A8EAD" w14:textId="77777777" w:rsidR="004E74B8" w:rsidRDefault="004E74B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Срок</w:t>
            </w:r>
          </w:p>
        </w:tc>
      </w:tr>
      <w:tr w:rsidR="00000000" w14:paraId="7349540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B6F0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Учётная запись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02BB4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 действия договора</w:t>
            </w:r>
          </w:p>
        </w:tc>
      </w:tr>
      <w:tr w:rsidR="00000000" w14:paraId="315C2CE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9A73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После удаления учётной записи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11A56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Уничтожение в срок, не превышающий 30 дней (ст. 21)</w:t>
            </w:r>
          </w:p>
        </w:tc>
      </w:tr>
      <w:tr w:rsidR="00000000" w14:paraId="3C6C79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3AE0D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Журналы входов и действий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90689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Определяется оператором; ориентир — 6–12 месяцев</w:t>
            </w:r>
          </w:p>
        </w:tc>
      </w:tr>
      <w:tr w:rsidR="00000000" w14:paraId="24A3ECD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FCC25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Данные о платежах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76328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 законодательству о налогах и сборах</w:t>
            </w:r>
          </w:p>
        </w:tc>
      </w:tr>
      <w:tr w:rsidR="00000000" w14:paraId="76D6A0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0EE5C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История потребления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5107E" w14:textId="77777777" w:rsidR="004E74B8" w:rsidRDefault="004E74B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 действия договора; далее — обезличенная агрегированная статистика без привязки к субъекту</w:t>
            </w:r>
          </w:p>
        </w:tc>
      </w:tr>
    </w:tbl>
    <w:p w14:paraId="22CA7446" w14:textId="77777777" w:rsidR="004E74B8" w:rsidRDefault="004E74B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Право на удаление учётной записи должно быть реализовано </w:t>
      </w:r>
      <w:r>
        <w:rPr>
          <w:rStyle w:val="a6"/>
          <w:color w:val="000000"/>
          <w:sz w:val="23"/>
          <w:szCs w:val="23"/>
        </w:rPr>
        <w:t>технически</w:t>
      </w:r>
      <w:r>
        <w:rPr>
          <w:color w:val="000000"/>
          <w:sz w:val="23"/>
          <w:szCs w:val="23"/>
        </w:rPr>
        <w:t>, а не только описано в Политике: субъект вправе требовать уничтожения (ст. 21), и отказ по причине «функция не реализована» нарушением быть не перестаёт.</w:t>
      </w:r>
    </w:p>
    <w:p w14:paraId="4BDB6A2F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51EE12B">
          <v:rect id="_x0000_i1033" style="width:0;height:1.5pt" o:hralign="center" o:hrstd="t" o:hr="t" fillcolor="#a0a0a0" stroked="f"/>
        </w:pict>
      </w:r>
    </w:p>
    <w:p w14:paraId="3B85753A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Что учесть в схеме данных до реализации</w:t>
      </w:r>
    </w:p>
    <w:p w14:paraId="09EEF7FB" w14:textId="77777777" w:rsidR="004E74B8" w:rsidRDefault="004E74B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Отдельная таблица согласий: субъект, вид согласия, дата, версия документа, IP. Отзыв согласия — новая запись, а не изменение существующей.</w:t>
      </w:r>
    </w:p>
    <w:p w14:paraId="2FAC1DB8" w14:textId="77777777" w:rsidR="004E74B8" w:rsidRDefault="004E74B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Версионирование оферты и Политики: фиксировать, </w:t>
      </w:r>
      <w:r>
        <w:rPr>
          <w:rStyle w:val="a6"/>
          <w:rFonts w:eastAsia="Times New Roman"/>
          <w:color w:val="000000"/>
          <w:sz w:val="23"/>
          <w:szCs w:val="23"/>
        </w:rPr>
        <w:t>какую именно редакцию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принял пользователь. При изменении условий это единственное доказательство.</w:t>
      </w:r>
    </w:p>
    <w:p w14:paraId="78FCE4E5" w14:textId="77777777" w:rsidR="004E74B8" w:rsidRDefault="004E74B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Мягкое удаление (</w:t>
      </w:r>
      <w:r>
        <w:rPr>
          <w:rStyle w:val="HTML"/>
          <w:color w:val="000000"/>
        </w:rPr>
        <w:t>deleted_at</w:t>
      </w:r>
      <w:r>
        <w:rPr>
          <w:rFonts w:eastAsia="Times New Roman"/>
          <w:color w:val="000000"/>
          <w:sz w:val="23"/>
          <w:szCs w:val="23"/>
        </w:rPr>
        <w:t>) недостаточно для исполнения ст. 21 — требуется фактическое уничтожение. Предусмотреть процедуру, а не только флаг.</w:t>
      </w:r>
    </w:p>
    <w:p w14:paraId="18E62938" w14:textId="77777777" w:rsidR="004E74B8" w:rsidRDefault="004E74B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account_id</w:t>
      </w:r>
      <w:r>
        <w:rPr>
          <w:rFonts w:eastAsia="Times New Roman"/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user_id</w:t>
      </w:r>
      <w:r>
        <w:rPr>
          <w:rFonts w:eastAsia="Times New Roman"/>
          <w:color w:val="000000"/>
          <w:sz w:val="23"/>
          <w:szCs w:val="23"/>
        </w:rPr>
        <w:t xml:space="preserve"> в записях потребления — не только для биллинга: это и есть «регистрация действий, совершаемых с персональными данными» по п. 8 ч. 2 ст. 19.</w:t>
      </w:r>
    </w:p>
    <w:p w14:paraId="50C7FEEB" w14:textId="77777777" w:rsidR="004E74B8" w:rsidRDefault="004E74B8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Журнал </w:t>
      </w:r>
      <w:r>
        <w:rPr>
          <w:rStyle w:val="HTML"/>
          <w:color w:val="000000"/>
        </w:rPr>
        <w:t>depersonalization_log.py</w:t>
      </w:r>
      <w:r>
        <w:rPr>
          <w:rFonts w:eastAsia="Times New Roman"/>
          <w:color w:val="000000"/>
          <w:sz w:val="23"/>
          <w:szCs w:val="23"/>
        </w:rPr>
        <w:t xml:space="preserve"> содержит поле </w:t>
      </w:r>
      <w:r>
        <w:rPr>
          <w:rStyle w:val="HTML"/>
          <w:color w:val="000000"/>
        </w:rPr>
        <w:t>actor</w:t>
      </w:r>
      <w:r>
        <w:rPr>
          <w:rFonts w:eastAsia="Times New Roman"/>
          <w:color w:val="000000"/>
          <w:sz w:val="23"/>
          <w:szCs w:val="23"/>
        </w:rPr>
        <w:t xml:space="preserve">, которое сейчас всегда пустое. </w:t>
      </w:r>
      <w:r>
        <w:rPr>
          <w:rStyle w:val="a6"/>
          <w:rFonts w:eastAsia="Times New Roman"/>
          <w:color w:val="000000"/>
          <w:sz w:val="23"/>
          <w:szCs w:val="23"/>
        </w:rPr>
        <w:t>После ввода авторизации оно заполняется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 это закрывает пробел, отмеченный при его создании.</w:t>
      </w:r>
    </w:p>
    <w:p w14:paraId="238B5258" w14:textId="77777777" w:rsidR="004E74B8" w:rsidRDefault="004E74B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CB12E5F">
          <v:rect id="_x0000_i1034" style="width:0;height:1.5pt" o:hralign="center" o:hrstd="t" o:hr="t" fillcolor="#a0a0a0" stroked="f"/>
        </w:pict>
      </w:r>
    </w:p>
    <w:p w14:paraId="32E2ACB2" w14:textId="77777777" w:rsidR="004E74B8" w:rsidRDefault="004E74B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Порядок</w:t>
      </w:r>
    </w:p>
    <w:p w14:paraId="3D080161" w14:textId="77777777" w:rsidR="004E74B8" w:rsidRDefault="004E74B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Дописать Политику и Оферту разделами о второй обработке — </w:t>
      </w:r>
      <w:r>
        <w:rPr>
          <w:rStyle w:val="a6"/>
          <w:rFonts w:eastAsia="Times New Roman"/>
          <w:color w:val="000000"/>
          <w:sz w:val="23"/>
          <w:szCs w:val="23"/>
        </w:rPr>
        <w:t>до открытия регистрации</w:t>
      </w:r>
      <w:r>
        <w:rPr>
          <w:rFonts w:eastAsia="Times New Roman"/>
          <w:color w:val="000000"/>
          <w:sz w:val="23"/>
          <w:szCs w:val="23"/>
        </w:rPr>
        <w:t>.</w:t>
      </w:r>
    </w:p>
    <w:p w14:paraId="7729C279" w14:textId="77777777" w:rsidR="004E74B8" w:rsidRDefault="004E74B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Реализовать проверку прав </w:t>
      </w:r>
      <w:r>
        <w:rPr>
          <w:rStyle w:val="a6"/>
          <w:rFonts w:eastAsia="Times New Roman"/>
          <w:color w:val="000000"/>
          <w:sz w:val="23"/>
          <w:szCs w:val="23"/>
        </w:rPr>
        <w:t>в Python-бэкенде</w:t>
      </w:r>
      <w:r>
        <w:rPr>
          <w:rFonts w:eastAsia="Times New Roman"/>
          <w:color w:val="000000"/>
          <w:sz w:val="23"/>
          <w:szCs w:val="23"/>
        </w:rPr>
        <w:t>, а не только во фронтенде (угроза У-17).</w:t>
      </w:r>
    </w:p>
    <w:p w14:paraId="18168CCD" w14:textId="77777777" w:rsidR="004E74B8" w:rsidRDefault="004E74B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Реализовать удаление учётной записи и данных.</w:t>
      </w:r>
    </w:p>
    <w:p w14:paraId="34245D3B" w14:textId="77777777" w:rsidR="004E74B8" w:rsidRDefault="004E74B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Обновить модель угроз: убрать утверждение об отсутствии персистентного хранилища, добавить угрозы У-11…У-17.</w:t>
      </w:r>
    </w:p>
    <w:p w14:paraId="72196238" w14:textId="77777777" w:rsidR="004E74B8" w:rsidRDefault="004E74B8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Дополнить уведомление в Роскомнадзор второй целью обработки. Если уведомление уже подано — по ч. 7 ст. 22 не позднее 15-го числа месяца, следующего за месяцем изменений.</w:t>
      </w:r>
    </w:p>
    <w:sectPr w:rsidR="004E74B8" w:rsidSect="005179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2CB18" w14:textId="77777777" w:rsidR="004E74B8" w:rsidRDefault="004E74B8" w:rsidP="0051799E">
      <w:r>
        <w:separator/>
      </w:r>
    </w:p>
  </w:endnote>
  <w:endnote w:type="continuationSeparator" w:id="0">
    <w:p w14:paraId="3A79B7AC" w14:textId="77777777" w:rsidR="004E74B8" w:rsidRDefault="004E74B8" w:rsidP="00517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99A4" w14:textId="77777777" w:rsidR="0051799E" w:rsidRDefault="0051799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CFE3E" w14:textId="739DEC77" w:rsidR="0051799E" w:rsidRPr="0051799E" w:rsidRDefault="0051799E" w:rsidP="0051799E">
    <w:pPr>
      <w:pStyle w:val="a9"/>
      <w:jc w:val="right"/>
      <w:rPr>
        <w:color w:val="808080"/>
        <w:sz w:val="16"/>
      </w:rPr>
    </w:pPr>
    <w:r w:rsidRPr="0051799E">
      <w:rPr>
        <w:color w:val="808080"/>
        <w:sz w:val="16"/>
      </w:rPr>
      <w:t xml:space="preserve">10_Авторизация_и_биллинг_правовая_фиксация   |   стр. </w:t>
    </w:r>
    <w:r w:rsidRPr="0051799E">
      <w:rPr>
        <w:color w:val="808080"/>
        <w:sz w:val="16"/>
      </w:rPr>
      <w:fldChar w:fldCharType="begin"/>
    </w:r>
    <w:r w:rsidRPr="0051799E">
      <w:rPr>
        <w:color w:val="808080"/>
        <w:sz w:val="16"/>
      </w:rPr>
      <w:instrText xml:space="preserve"> PAGE  \* MERGEFORMAT </w:instrText>
    </w:r>
    <w:r w:rsidRPr="0051799E">
      <w:rPr>
        <w:color w:val="808080"/>
        <w:sz w:val="16"/>
      </w:rPr>
      <w:fldChar w:fldCharType="separate"/>
    </w:r>
    <w:r w:rsidRPr="0051799E">
      <w:rPr>
        <w:noProof/>
        <w:color w:val="808080"/>
        <w:sz w:val="16"/>
      </w:rPr>
      <w:t>4</w:t>
    </w:r>
    <w:r w:rsidRPr="0051799E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7C48" w14:textId="77777777" w:rsidR="0051799E" w:rsidRDefault="005179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83DC" w14:textId="77777777" w:rsidR="004E74B8" w:rsidRDefault="004E74B8" w:rsidP="0051799E">
      <w:r>
        <w:separator/>
      </w:r>
    </w:p>
  </w:footnote>
  <w:footnote w:type="continuationSeparator" w:id="0">
    <w:p w14:paraId="19BD33E1" w14:textId="77777777" w:rsidR="004E74B8" w:rsidRDefault="004E74B8" w:rsidP="00517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6DB4" w14:textId="77777777" w:rsidR="0051799E" w:rsidRDefault="0051799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ED96" w14:textId="77777777" w:rsidR="0051799E" w:rsidRDefault="0051799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405A" w14:textId="77777777" w:rsidR="0051799E" w:rsidRDefault="0051799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22672"/>
    <w:multiLevelType w:val="multilevel"/>
    <w:tmpl w:val="4754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674AE"/>
    <w:multiLevelType w:val="multilevel"/>
    <w:tmpl w:val="C27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44E06"/>
    <w:multiLevelType w:val="multilevel"/>
    <w:tmpl w:val="1094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346F11"/>
    <w:multiLevelType w:val="multilevel"/>
    <w:tmpl w:val="7C5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78911">
    <w:abstractNumId w:val="1"/>
  </w:num>
  <w:num w:numId="2" w16cid:durableId="673579905">
    <w:abstractNumId w:val="3"/>
  </w:num>
  <w:num w:numId="3" w16cid:durableId="1913464706">
    <w:abstractNumId w:val="0"/>
  </w:num>
  <w:num w:numId="4" w16cid:durableId="2094693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2B"/>
    <w:rsid w:val="004E74B8"/>
    <w:rsid w:val="0051799E"/>
    <w:rsid w:val="009F502B"/>
    <w:rsid w:val="00BA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DB5DB5"/>
  <w15:chartTrackingRefBased/>
  <w15:docId w15:val="{69779169-826B-4CDC-A227-1FD886D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51799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1799E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51799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1799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055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3757713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716157669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10_Авторизация_и_биллинг_правовая_фиксация.md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