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56A2" w14:textId="77777777" w:rsidR="00F3381C" w:rsidRDefault="00F3381C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Разбор тезисов консультации по информационному праву</w:t>
      </w:r>
    </w:p>
    <w:p w14:paraId="5DF3807B" w14:textId="77777777" w:rsidR="00F3381C" w:rsidRDefault="00F3381C">
      <w:pPr>
        <w:jc w:val="center"/>
        <w:divId w:val="1557546544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11_Разбор_консультации_по_информационному_праву.md</w:t>
      </w:r>
    </w:p>
    <w:p w14:paraId="6194E3CB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Дата: 02.09.2026.</w:t>
      </w:r>
    </w:p>
    <w:p w14:paraId="27F3DF47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Восемь тезисов, полученных на очной консультации со специалистом по информационному праву, развёрнуты до полных формулировок и проверены по нормам. Проверка выходит за пределы 152-ФЗ: затронуты 149-ФЗ, 406-ФЗ, 54-ФЗ, 422-ФЗ, ГК РФ, ПП РФ № 1119 и приказы ФСТЭК.</w:t>
      </w:r>
    </w:p>
    <w:p w14:paraId="51C97C49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Обозначения: </w:t>
      </w:r>
      <w:r>
        <w:rPr>
          <w:rStyle w:val="HTML"/>
          <w:color w:val="000000"/>
        </w:rPr>
        <w:t>[ПОДТВЕРЖДЕНО]</w:t>
      </w:r>
      <w:r>
        <w:rPr>
          <w:color w:val="000000"/>
          <w:sz w:val="23"/>
          <w:szCs w:val="23"/>
        </w:rPr>
        <w:t xml:space="preserve"> — норма найдена и однозначна; </w:t>
      </w:r>
      <w:r>
        <w:rPr>
          <w:rStyle w:val="HTML"/>
          <w:color w:val="000000"/>
        </w:rPr>
        <w:t>[ЧАСТИЧНО]</w:t>
      </w:r>
      <w:r>
        <w:rPr>
          <w:color w:val="000000"/>
          <w:sz w:val="23"/>
          <w:szCs w:val="23"/>
        </w:rPr>
        <w:t xml:space="preserve"> — верно с оговорками; </w:t>
      </w:r>
      <w:r>
        <w:rPr>
          <w:rStyle w:val="HTML"/>
          <w:color w:val="000000"/>
        </w:rPr>
        <w:t>[УТОЧНИТЬ]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— тезис записан неполно, нужен повторный вопрос.</w:t>
      </w:r>
    </w:p>
    <w:p w14:paraId="39B1E006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C66C601">
          <v:rect id="_x0000_i1025" style="width:0;height:1.5pt" o:hralign="center" o:hrstd="t" o:hr="t" fillcolor="#a0a0a0" stroked="f"/>
        </w:pict>
      </w:r>
    </w:p>
    <w:p w14:paraId="77EC2868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Сводка: что меняется в проекте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030"/>
        <w:gridCol w:w="1663"/>
        <w:gridCol w:w="4256"/>
      </w:tblGrid>
      <w:tr w:rsidR="00000000" w14:paraId="06352B9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72301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6B5B5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Тезис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59A26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Оценка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782E3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Влияние</w:t>
            </w:r>
          </w:p>
        </w:tc>
      </w:tr>
      <w:tr w:rsidR="00000000" w14:paraId="1C09E82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4F8C5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88604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Специалист по ИБ в штате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A293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[ПОДТВЕРЖДЕНО]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CBE36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Сильный аргумент за ООО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усиливает документ </w:t>
            </w:r>
            <w:r>
              <w:rPr>
                <w:rStyle w:val="HTML"/>
                <w:color w:val="000000"/>
              </w:rPr>
              <w:t>06</w:t>
            </w:r>
          </w:p>
        </w:tc>
      </w:tr>
      <w:tr w:rsidR="00000000" w14:paraId="5958A77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1CAF8F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7D70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 только письменный, отдельный для каждого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18F85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[ЧАСТИЧНО]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BC8F1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Подтверждает отказ от оферты и модель «только по приглашениям»</w:t>
            </w:r>
          </w:p>
        </w:tc>
      </w:tr>
      <w:tr w:rsidR="00000000" w14:paraId="6E912E7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E0309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673295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ЭЦП можно, но не физлицам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C4E74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[УТОЧНИТЬ]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A873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</w:p>
        </w:tc>
      </w:tr>
      <w:tr w:rsidR="00000000" w14:paraId="4D9E73B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0E9B1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2106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Пакет документов зависит от лица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B345A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[ПОДТВЕРЖДЕНО]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435BE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Уже учтено в </w:t>
            </w:r>
            <w:r>
              <w:rPr>
                <w:rStyle w:val="HTML"/>
                <w:color w:val="000000"/>
              </w:rPr>
              <w:t>ГЛАВНОЕ</w:t>
            </w:r>
          </w:p>
        </w:tc>
      </w:tr>
      <w:tr w:rsidR="00000000" w14:paraId="779905E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A2E7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45B4D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ККТ при расчётах через физлиц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F5FED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[ПОДТВЕРЖДЕНО]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007D3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Онлайн-оплата требует фискализации</w:t>
            </w:r>
          </w:p>
        </w:tc>
      </w:tr>
      <w:tr w:rsidR="00000000" w14:paraId="6599B61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3C64F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B8D75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Смотреть приказы ФСТЭК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E834A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[ПОДТВЕРЖДЕНО]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F9A2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ниже</w:t>
            </w:r>
          </w:p>
        </w:tc>
      </w:tr>
      <w:tr w:rsidR="00000000" w14:paraId="64AB3F4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A733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37C1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Госуслуги, привязка домена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C808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[ПОДТВЕРЖДЕНО]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AC24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Прямо касается системы авторизации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новая норма, ранее не разобранная</w:t>
            </w:r>
          </w:p>
        </w:tc>
      </w:tr>
      <w:tr w:rsidR="00000000" w14:paraId="15DC402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891A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90A0A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Разные данные — разный режим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2EEF6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[ПОДТВЕРЖДЕНО]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6183A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Смежные тайны за пределами 152-ФЗ</w:t>
            </w:r>
          </w:p>
        </w:tc>
      </w:tr>
    </w:tbl>
    <w:p w14:paraId="3D955B1A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DC6DD31">
          <v:rect id="_x0000_i1026" style="width:0;height:1.5pt" o:hralign="center" o:hrstd="t" o:hr="t" fillcolor="#a0a0a0" stroked="f"/>
        </w:pict>
      </w:r>
    </w:p>
    <w:p w14:paraId="25D4CCDD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Тезис 1. Ответственный за безопасность персональных данных должен быть работником организации</w:t>
      </w:r>
    </w:p>
    <w:p w14:paraId="6FC3FAA5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Развёрнутая формулировка.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Организация, обрабатывающая персональные данные, обязана назначить должностное лицо (работника), ответственное за обеспечение безопасности персональных данных в информационной системе. Это отдельное лицо, не совпадающее с ответственным за организацию обработки.</w:t>
      </w:r>
    </w:p>
    <w:p w14:paraId="4C738D44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lastRenderedPageBreak/>
        <w:t xml:space="preserve">Оценка: </w:t>
      </w:r>
      <w:r>
        <w:rPr>
          <w:rStyle w:val="HTML"/>
          <w:b/>
          <w:bCs/>
          <w:color w:val="000000"/>
        </w:rPr>
        <w:t>[ПОДТВЕРЖДЕНО]</w:t>
      </w:r>
      <w:r>
        <w:rPr>
          <w:rStyle w:val="a6"/>
          <w:color w:val="000000"/>
          <w:sz w:val="23"/>
          <w:szCs w:val="23"/>
        </w:rPr>
        <w:t>.</w:t>
      </w:r>
    </w:p>
    <w:p w14:paraId="07FF5754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Постановление Правительства РФ от 01.11.2012 № 1119 требует для </w:t>
      </w:r>
      <w:r>
        <w:rPr>
          <w:rStyle w:val="a6"/>
          <w:color w:val="000000"/>
          <w:sz w:val="23"/>
          <w:szCs w:val="23"/>
        </w:rPr>
        <w:t>3-го уровня защищённости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(помимо требований к УЗ-4), чтобы «было назначено должностное лицо (работник), ответственный за обеспечение безопасности персональных данных в информационной системе».</w:t>
      </w:r>
    </w:p>
    <w:p w14:paraId="69C5DB06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Критически важно не путать две разные роли</w:t>
      </w:r>
      <w:r>
        <w:rPr>
          <w:color w:val="000000"/>
          <w:sz w:val="23"/>
          <w:szCs w:val="23"/>
        </w:rPr>
        <w:t xml:space="preserve"> — их регулируют разные нормы с разным кругом адресатов: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2654"/>
        <w:gridCol w:w="3221"/>
      </w:tblGrid>
      <w:tr w:rsidR="00000000" w14:paraId="17368FFE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06725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1DAD9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57997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Кто обязан</w:t>
            </w:r>
          </w:p>
        </w:tc>
      </w:tr>
      <w:tr w:rsidR="00000000" w14:paraId="1EA8F44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EC523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Ответственный за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организацию обработки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D9C9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1 ст. 18.1, ч. 1 ст. 22.1 152-ФЗ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D34A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Только юридические лица</w:t>
            </w:r>
          </w:p>
        </w:tc>
      </w:tr>
      <w:tr w:rsidR="00000000" w14:paraId="043C1C6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0484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Ответственный за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обеспечение безопасности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ПДн в ИС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252CA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ПП РФ № 1119, требования к УЗ-3 и выше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EFEA7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Любой оператор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чья ИСПДн имеет УЗ-3 или выше</w:t>
            </w:r>
          </w:p>
        </w:tc>
      </w:tr>
    </w:tbl>
    <w:p w14:paraId="111A0C5C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Из этого следует вывод, которого нет в текущем комплекте документов: </w:t>
      </w:r>
      <w:r>
        <w:rPr>
          <w:rStyle w:val="a6"/>
          <w:color w:val="000000"/>
          <w:sz w:val="23"/>
          <w:szCs w:val="23"/>
        </w:rPr>
        <w:t xml:space="preserve">освобождение физического лица от назначения ответственного за организацию обработки (зафиксировано в </w:t>
      </w:r>
      <w:r>
        <w:rPr>
          <w:rStyle w:val="HTML"/>
          <w:b/>
          <w:bCs/>
          <w:color w:val="000000"/>
        </w:rPr>
        <w:t>ГЛАВНОЕ_Что_делать_и_что_проверить.md</w:t>
      </w:r>
      <w:r>
        <w:rPr>
          <w:rStyle w:val="a6"/>
          <w:color w:val="000000"/>
          <w:sz w:val="23"/>
          <w:szCs w:val="23"/>
        </w:rPr>
        <w:t>) не распространяется на ответственного за безопасность.</w:t>
      </w:r>
      <w:r>
        <w:rPr>
          <w:color w:val="000000"/>
          <w:sz w:val="23"/>
          <w:szCs w:val="23"/>
        </w:rPr>
        <w:t xml:space="preserve"> Вторая обязанность возникает из уровня защищённости, а не из организационно-правовой формы.</w:t>
      </w:r>
    </w:p>
    <w:p w14:paraId="2F58EBB5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Проект планируется под УЗ-3 (см. </w:t>
      </w:r>
      <w:r>
        <w:rPr>
          <w:rStyle w:val="HTML"/>
          <w:color w:val="000000"/>
        </w:rPr>
        <w:t>04</w:t>
      </w:r>
      <w:r>
        <w:rPr>
          <w:color w:val="000000"/>
          <w:sz w:val="23"/>
          <w:szCs w:val="23"/>
        </w:rPr>
        <w:t>, раздел 5.2). Следовательно, требование применимо.</w:t>
      </w:r>
    </w:p>
    <w:p w14:paraId="015740C5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Что это означает для выбора формы.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Формулировка «должностное лицо (работник)» предполагает наличие трудовых отношений. Самозанятый лишён права нанимать работников (ч. 7 ст. 2 ФЗ-422). Возможные прочтения:</w:t>
      </w:r>
    </w:p>
    <w:p w14:paraId="0B5C7A05" w14:textId="77777777" w:rsidR="00F3381C" w:rsidRDefault="00F3381C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мягкое</w:t>
      </w:r>
      <w:r>
        <w:rPr>
          <w:rFonts w:eastAsia="Times New Roman"/>
          <w:color w:val="000000"/>
          <w:sz w:val="23"/>
          <w:szCs w:val="23"/>
        </w:rPr>
        <w:t>: оператор — физическое лицо сам исполняет эту функцию, назначение оформляется его собственным решением;</w:t>
      </w:r>
    </w:p>
    <w:p w14:paraId="75C1CAFC" w14:textId="77777777" w:rsidR="00F3381C" w:rsidRDefault="00F3381C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7"/>
          <w:rFonts w:eastAsia="Times New Roman"/>
          <w:color w:val="000000"/>
          <w:sz w:val="23"/>
          <w:szCs w:val="23"/>
        </w:rPr>
        <w:t>консервативное</w:t>
      </w:r>
      <w:r>
        <w:rPr>
          <w:rFonts w:eastAsia="Times New Roman"/>
          <w:color w:val="000000"/>
          <w:sz w:val="23"/>
          <w:szCs w:val="23"/>
        </w:rPr>
        <w:t>: требование предполагает организацию с работником, и для физического лица оно неисполнимо в принципе.</w:t>
      </w:r>
    </w:p>
    <w:p w14:paraId="26952198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Это </w:t>
      </w:r>
      <w:r>
        <w:rPr>
          <w:rStyle w:val="a6"/>
          <w:color w:val="000000"/>
          <w:sz w:val="23"/>
          <w:szCs w:val="23"/>
        </w:rPr>
        <w:t>третий по значимости аргумент за регистрацию ООО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после лимита дохода и неограниченной имущественной ответственности (документ </w:t>
      </w:r>
      <w:r>
        <w:rPr>
          <w:rStyle w:val="HTML"/>
          <w:color w:val="000000"/>
        </w:rPr>
        <w:t>06</w:t>
      </w:r>
      <w:r>
        <w:rPr>
          <w:color w:val="000000"/>
          <w:sz w:val="23"/>
          <w:szCs w:val="23"/>
        </w:rPr>
        <w:t>). Ранее он не назывался. Вопрос стоит вернуть консультанту в конкретной формулировке: «может ли оператор — физическое лицо назначить ответственным за обеспечение безопасности ПДн самого себя, и чем это оформляется».</w:t>
      </w:r>
    </w:p>
    <w:p w14:paraId="42367FA3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Об аутсорсинге.</w:t>
      </w:r>
      <w:r>
        <w:rPr>
          <w:color w:val="000000"/>
          <w:sz w:val="23"/>
          <w:szCs w:val="23"/>
        </w:rPr>
        <w:t xml:space="preserve"> Привлечение внешнего специалиста по договору переводит отношения в оказание услуг по защите информации третьему лицу, что требует у исполнителя лицензии ФСТЭК на ТЗКИ (ПП РФ № 79) — см. </w:t>
      </w:r>
      <w:r>
        <w:rPr>
          <w:rStyle w:val="HTML"/>
          <w:color w:val="000000"/>
        </w:rPr>
        <w:t>ЮРИДИЧЕСКИЙ_АНАЛИЗ.md</w:t>
      </w:r>
      <w:r>
        <w:rPr>
          <w:color w:val="000000"/>
          <w:sz w:val="23"/>
          <w:szCs w:val="23"/>
        </w:rPr>
        <w:t>, п. Б.11. Внешний подрядчик без лицензии проблему не закрывает.</w:t>
      </w:r>
    </w:p>
    <w:p w14:paraId="3FCB6BA1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1208FEB">
          <v:rect id="_x0000_i1027" style="width:0;height:1.5pt" o:hralign="center" o:hrstd="t" o:hr="t" fillcolor="#a0a0a0" stroked="f"/>
        </w:pict>
      </w:r>
    </w:p>
    <w:p w14:paraId="79ECCA0A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Тезис 2. Договор поручения оформляется письменно, отдельно с каждым оператором; универсальная форма не годится</w:t>
      </w:r>
    </w:p>
    <w:p w14:paraId="0C0FD793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Развёрнутая формулировка.</w:t>
      </w:r>
      <w:r>
        <w:rPr>
          <w:color w:val="000000"/>
          <w:sz w:val="23"/>
          <w:szCs w:val="23"/>
        </w:rPr>
        <w:t xml:space="preserve"> Поручение обработки персональных данных оформляется договором в письменной форме. Единый универсальный документ для всех заказчиков недопустим — с каждым оператором заключается отдельный договор, отражающий состав именно его данных и операций.</w:t>
      </w:r>
    </w:p>
    <w:p w14:paraId="56CDD248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Оценка: </w:t>
      </w:r>
      <w:r>
        <w:rPr>
          <w:rStyle w:val="HTML"/>
          <w:b/>
          <w:bCs/>
          <w:color w:val="000000"/>
        </w:rPr>
        <w:t>[ЧАСТИЧНО]</w:t>
      </w:r>
      <w:r>
        <w:rPr>
          <w:rStyle w:val="a6"/>
          <w:color w:val="000000"/>
          <w:sz w:val="23"/>
          <w:szCs w:val="23"/>
        </w:rPr>
        <w:t xml:space="preserve"> </w:t>
      </w:r>
      <w:r>
        <w:rPr>
          <w:rStyle w:val="a6"/>
          <w:color w:val="000000"/>
          <w:sz w:val="23"/>
          <w:szCs w:val="23"/>
        </w:rPr>
        <w:t>— вывод верный, обоснование требует уточнения.</w:t>
      </w:r>
    </w:p>
    <w:p w14:paraId="3108F09E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lastRenderedPageBreak/>
        <w:t>[ЗАКОН]</w:t>
      </w:r>
      <w:r>
        <w:rPr>
          <w:color w:val="000000"/>
          <w:sz w:val="23"/>
          <w:szCs w:val="23"/>
        </w:rPr>
        <w:t xml:space="preserve"> Ч. 3 ст. 6 152-ФЗ: обработка по поручению осуществляется на основании заключаемого договора. В поручении </w:t>
      </w:r>
      <w:r>
        <w:rPr>
          <w:rStyle w:val="a6"/>
          <w:color w:val="000000"/>
          <w:sz w:val="23"/>
          <w:szCs w:val="23"/>
        </w:rPr>
        <w:t>должны быть определены</w:t>
      </w:r>
      <w:r>
        <w:rPr>
          <w:color w:val="000000"/>
          <w:sz w:val="23"/>
          <w:szCs w:val="23"/>
        </w:rPr>
        <w:t>: перечень персональных данных, перечень действий (операций), обязанность соблюдения конфиденциальности, требования к защите по ст. 19, обязанность уведомлять оператора о фактах неправомерной или случайной передачи.</w:t>
      </w:r>
    </w:p>
    <w:p w14:paraId="3F03BCC8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По форме.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Утверждение «только в печатном виде» строже закона. Ст. 160 и ст. 434 ГК РФ приравнив</w:t>
      </w:r>
      <w:r>
        <w:rPr>
          <w:color w:val="000000"/>
          <w:sz w:val="23"/>
          <w:szCs w:val="23"/>
        </w:rPr>
        <w:t>ают электронный документ, подписанный электронной подписью, к письменной форме. Печатный экземпляр обязателен не по 152-ФЗ, а по практике корпоративных закупок и по требованиям служб безопасности крупных заказчиков.</w:t>
      </w:r>
    </w:p>
    <w:p w14:paraId="0D6E2744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По универсальности — здесь тезис силён.</w:t>
      </w:r>
      <w:r>
        <w:rPr>
          <w:color w:val="000000"/>
          <w:sz w:val="23"/>
          <w:szCs w:val="23"/>
        </w:rPr>
        <w:t xml:space="preserve"> Требование ч. 3 ст. 6 определить </w:t>
      </w:r>
      <w:r>
        <w:rPr>
          <w:rStyle w:val="a7"/>
          <w:color w:val="000000"/>
          <w:sz w:val="23"/>
          <w:szCs w:val="23"/>
        </w:rPr>
        <w:t>перечень</w:t>
      </w:r>
      <w:r>
        <w:rPr>
          <w:color w:val="000000"/>
          <w:sz w:val="23"/>
          <w:szCs w:val="23"/>
        </w:rPr>
        <w:t xml:space="preserve"> персональных данных и </w:t>
      </w:r>
      <w:r>
        <w:rPr>
          <w:rStyle w:val="a7"/>
          <w:color w:val="000000"/>
          <w:sz w:val="23"/>
          <w:szCs w:val="23"/>
        </w:rPr>
        <w:t>перечень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действий по своей природе конкретно: у разных заказчиков разный состав документов и разный набор операций. Универсальная оферта эти перечни неизбежно размывает до формулировок вида «любые персональные данные, содержащиеся в передаваемых документах», что требованию об определённости не отвечает.</w:t>
      </w:r>
    </w:p>
    <w:p w14:paraId="55E510AD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На практике оферты-поручения встречаются, поэтому категорического запрета нет. Но риск переносится на оператора: при проверке размытый перечень читается как отсутствие определённого поручения.</w:t>
      </w:r>
    </w:p>
    <w:p w14:paraId="4FBDA6CC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Связь с архитектурой.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Этот тезис независимо подтверждает вывод документов </w:t>
      </w:r>
      <w:r>
        <w:rPr>
          <w:rStyle w:val="HTML"/>
          <w:color w:val="000000"/>
        </w:rPr>
        <w:t>09</w:t>
      </w:r>
      <w:r>
        <w:rPr>
          <w:color w:val="000000"/>
          <w:sz w:val="23"/>
          <w:szCs w:val="23"/>
        </w:rPr>
        <w:t xml:space="preserve"> и </w:t>
      </w:r>
      <w:r>
        <w:rPr>
          <w:rStyle w:val="HTML"/>
          <w:color w:val="000000"/>
        </w:rPr>
        <w:t>10</w:t>
      </w:r>
      <w:r>
        <w:rPr>
          <w:color w:val="000000"/>
          <w:sz w:val="23"/>
          <w:szCs w:val="23"/>
        </w:rPr>
        <w:t xml:space="preserve">: конструкция договора присоединения для self-serve (помеченная в </w:t>
      </w:r>
      <w:r>
        <w:rPr>
          <w:rStyle w:val="HTML"/>
          <w:color w:val="000000"/>
        </w:rPr>
        <w:t>09</w:t>
      </w:r>
      <w:r>
        <w:rPr>
          <w:color w:val="000000"/>
          <w:sz w:val="23"/>
          <w:szCs w:val="23"/>
        </w:rPr>
        <w:t xml:space="preserve"> как </w:t>
      </w: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) ненадёжна. </w:t>
      </w:r>
      <w:r>
        <w:rPr>
          <w:rStyle w:val="a6"/>
          <w:color w:val="000000"/>
          <w:sz w:val="23"/>
          <w:szCs w:val="23"/>
        </w:rPr>
        <w:t>Модель «регистрация только по приглашению, отдельный договор с каждым аккаунтом» получает второе независимое обоснование</w:t>
      </w:r>
      <w:r>
        <w:rPr>
          <w:color w:val="000000"/>
          <w:sz w:val="23"/>
          <w:szCs w:val="23"/>
        </w:rPr>
        <w:t xml:space="preserve"> — теперь не только от режима обработки, но и от требований к форме поручения.</w:t>
      </w:r>
    </w:p>
    <w:p w14:paraId="39B4B3CE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93E1298">
          <v:rect id="_x0000_i1028" style="width:0;height:1.5pt" o:hralign="center" o:hrstd="t" o:hr="t" fillcolor="#a0a0a0" stroked="f"/>
        </w:pict>
      </w:r>
    </w:p>
    <w:p w14:paraId="6462BB8D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Тезис 3. Электронная подпись допустима, но не для физических лиц</w:t>
      </w:r>
    </w:p>
    <w:p w14:paraId="3AC208A2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Оценка: </w:t>
      </w:r>
      <w:r>
        <w:rPr>
          <w:rStyle w:val="HTML"/>
          <w:b/>
          <w:bCs/>
          <w:color w:val="000000"/>
        </w:rPr>
        <w:t>[УТОЧНИТЬ]</w:t>
      </w:r>
      <w:r>
        <w:rPr>
          <w:rStyle w:val="a6"/>
          <w:color w:val="000000"/>
          <w:sz w:val="23"/>
          <w:szCs w:val="23"/>
        </w:rPr>
        <w:t xml:space="preserve"> — тезис записан неполно, однозначно восстановить смысл нельзя.</w:t>
      </w:r>
    </w:p>
    <w:p w14:paraId="40D204B8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Утверждение в буквальном прочтении неверно: усиленная квалифицированная электронная подпись физического лица существует, и документ </w:t>
      </w:r>
      <w:r>
        <w:rPr>
          <w:rStyle w:val="HTML"/>
          <w:color w:val="000000"/>
        </w:rPr>
        <w:t>04</w:t>
      </w:r>
      <w:r>
        <w:rPr>
          <w:color w:val="000000"/>
          <w:sz w:val="23"/>
          <w:szCs w:val="23"/>
        </w:rPr>
        <w:t xml:space="preserve"> прямо предполагает её использование для электронной подачи уведомления в Роскомнадзор.</w:t>
      </w:r>
    </w:p>
    <w:p w14:paraId="540BE6D3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Правдоподобные прочтения, каждое из которых имеет смысл:</w:t>
      </w:r>
    </w:p>
    <w:p w14:paraId="67A320A4" w14:textId="77777777" w:rsidR="00F3381C" w:rsidRDefault="00F3381C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Порядок получения различается.</w:t>
      </w:r>
      <w:r>
        <w:rPr>
          <w:rFonts w:eastAsia="Times New Roman"/>
          <w:color w:val="000000"/>
          <w:sz w:val="23"/>
          <w:szCs w:val="23"/>
        </w:rPr>
        <w:t xml:space="preserve"> Юридические лица и ИП получают УКЭП в удостоверяющем центре ФНС бесплатно; физическое лицо — только в аккредитованном коммерческом УЦ и за плату.</w:t>
      </w:r>
    </w:p>
    <w:p w14:paraId="7828144F" w14:textId="77777777" w:rsidR="00F3381C" w:rsidRDefault="00F3381C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Машиночитаемая доверенность.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При подписании от имени организации сотрудником требуется МЧД; для физического лица конструкция иная.</w:t>
      </w:r>
    </w:p>
    <w:p w14:paraId="34A007A5" w14:textId="77777777" w:rsidR="00F3381C" w:rsidRDefault="00F3381C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Практика контрагентов.</w:t>
      </w:r>
      <w:r>
        <w:rPr>
          <w:rFonts w:eastAsia="Times New Roman"/>
          <w:color w:val="000000"/>
          <w:sz w:val="23"/>
          <w:szCs w:val="23"/>
        </w:rPr>
        <w:t xml:space="preserve"> Корпоративные системы ЭДО нередко не принимают подпись физического лица как сторону договора, требуя ИП или юрлицо.</w:t>
      </w:r>
    </w:p>
    <w:p w14:paraId="7A5222F9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Вернуть вопрос консультанту в формулировке: «что именно недоступно физическому лицу — получение УКЭП, подписание договора поручения электронной подписью, или приём такой подписи контрагентами».</w:t>
      </w:r>
    </w:p>
    <w:p w14:paraId="3C14A916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0D5C4476">
          <v:rect id="_x0000_i1029" style="width:0;height:1.5pt" o:hralign="center" o:hrstd="t" o:hr="t" fillcolor="#a0a0a0" stroked="f"/>
        </w:pict>
      </w:r>
    </w:p>
    <w:p w14:paraId="7FA789EE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Тезис 4. Состав обязательного пакета документов зависит от организационно-правовой формы</w:t>
      </w:r>
    </w:p>
    <w:p w14:paraId="5963609A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Оценка: </w:t>
      </w:r>
      <w:r>
        <w:rPr>
          <w:rStyle w:val="HTML"/>
          <w:b/>
          <w:bCs/>
          <w:color w:val="000000"/>
        </w:rPr>
        <w:t>[ПОДТВЕРЖДЕНО]</w:t>
      </w:r>
      <w:r>
        <w:rPr>
          <w:color w:val="000000"/>
          <w:sz w:val="23"/>
          <w:szCs w:val="23"/>
        </w:rPr>
        <w:t xml:space="preserve"> — совпадает с уже зафиксированным в </w:t>
      </w:r>
      <w:r>
        <w:rPr>
          <w:rStyle w:val="HTML"/>
          <w:color w:val="000000"/>
        </w:rPr>
        <w:t>ГЛАВНОЕ_Что_делать_и_что_проверить.md</w:t>
      </w:r>
      <w:r>
        <w:rPr>
          <w:color w:val="000000"/>
          <w:sz w:val="23"/>
          <w:szCs w:val="23"/>
        </w:rPr>
        <w:t>.</w:t>
      </w:r>
    </w:p>
    <w:p w14:paraId="547DD893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Для физического лица </w:t>
      </w:r>
      <w:r>
        <w:rPr>
          <w:rStyle w:val="a6"/>
          <w:color w:val="000000"/>
          <w:sz w:val="23"/>
          <w:szCs w:val="23"/>
        </w:rPr>
        <w:t>не возникают</w:t>
      </w:r>
      <w:r>
        <w:rPr>
          <w:color w:val="000000"/>
          <w:sz w:val="23"/>
          <w:szCs w:val="23"/>
        </w:rPr>
        <w:t>: обязанность назначить ответственного за организацию обработки (п. 1 ч. 1 ст. 18.1, ч. 1 ст. 22.1 — норма прямо адресована юридическим лицам) и обязанность издавать локальные акты (п. 2 ч. 1 ст. 18.1 — та же оговорка).</w:t>
      </w:r>
    </w:p>
    <w:p w14:paraId="7AEA5711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Возникают независимо от формы: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уведомление в Роскомнадзор (ст. 22), публикация политики при сборе через интернет (ч. 2 ст. 18.1), весь блок мер по ст. 19, обязанности по ст. 21 (сроки реагирования).</w:t>
      </w:r>
    </w:p>
    <w:p w14:paraId="0B1B14F3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Важная поправка по итогам тезиса 1:</w:t>
      </w:r>
      <w:r>
        <w:rPr>
          <w:color w:val="000000"/>
          <w:sz w:val="23"/>
          <w:szCs w:val="23"/>
        </w:rPr>
        <w:t xml:space="preserve"> список освобождений для физического лица </w:t>
      </w:r>
      <w:r>
        <w:rPr>
          <w:rStyle w:val="a6"/>
          <w:color w:val="000000"/>
          <w:sz w:val="23"/>
          <w:szCs w:val="23"/>
        </w:rPr>
        <w:t>не включает</w:t>
      </w:r>
      <w:r>
        <w:rPr>
          <w:color w:val="000000"/>
          <w:sz w:val="23"/>
          <w:szCs w:val="23"/>
        </w:rPr>
        <w:t xml:space="preserve"> ответственного за обеспечение безопасности ПДн — эта обязанность вытекает из ПП РФ № 1119 и уровня защищённости, а не из организационно-правовой формы.</w:t>
      </w:r>
    </w:p>
    <w:p w14:paraId="28FF65CD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7BB2448">
          <v:rect id="_x0000_i1030" style="width:0;height:1.5pt" o:hralign="center" o:hrstd="t" o:hr="t" fillcolor="#a0a0a0" stroked="f"/>
        </w:pict>
      </w:r>
    </w:p>
    <w:p w14:paraId="68F133CD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Тезис 5. При расчётах с физическими лицами без контрольно-кассовой техники обойтись нельзя</w:t>
      </w:r>
    </w:p>
    <w:p w14:paraId="085D2082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Развёрнутая формулировка.</w:t>
      </w:r>
      <w:r>
        <w:rPr>
          <w:color w:val="000000"/>
          <w:sz w:val="23"/>
          <w:szCs w:val="23"/>
        </w:rPr>
        <w:t xml:space="preserve"> Приём оплаты от физических лиц требует применения контрольно-кассовой техники и выдачи фискального чека. Самозанятый — исключение: он формирует чек в приложении «Мой налог» и ККТ не применяет.</w:t>
      </w:r>
    </w:p>
    <w:p w14:paraId="77B4D751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Оценка: </w:t>
      </w:r>
      <w:r>
        <w:rPr>
          <w:rStyle w:val="HTML"/>
          <w:b/>
          <w:bCs/>
          <w:color w:val="000000"/>
        </w:rPr>
        <w:t>[ПОДТВЕРЖДЕНО]</w:t>
      </w:r>
      <w:r>
        <w:rPr>
          <w:rStyle w:val="a6"/>
          <w:color w:val="000000"/>
          <w:sz w:val="23"/>
          <w:szCs w:val="23"/>
        </w:rPr>
        <w:t>.</w:t>
      </w:r>
    </w:p>
    <w:p w14:paraId="6FB53230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Федеральный закон от 22.05.2003 № 54-ФЗ — обязанность применять ККТ при расчётах. Плательщики налога на профессиональный доход от применения ККТ освобождены; чек формируется в приложении «Мой налог» (ФЗ от 27.11.2018 № 422-ФЗ). Освобождение сохраняется и для ИП на НПД.</w:t>
      </w:r>
    </w:p>
    <w:p w14:paraId="15534DB5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Что это значит для системы биллинга (документ </w:t>
      </w:r>
      <w:r>
        <w:rPr>
          <w:rStyle w:val="HTML"/>
          <w:b/>
          <w:bCs/>
          <w:color w:val="000000"/>
        </w:rPr>
        <w:t>10</w:t>
      </w:r>
      <w:r>
        <w:rPr>
          <w:rStyle w:val="a6"/>
          <w:color w:val="000000"/>
          <w:sz w:val="23"/>
          <w:szCs w:val="23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882"/>
        <w:gridCol w:w="5023"/>
      </w:tblGrid>
      <w:tr w:rsidR="00000000" w14:paraId="6C30F128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8CC61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Сценарий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584DA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649FB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Комментарий</w:t>
            </w:r>
          </w:p>
        </w:tc>
      </w:tr>
      <w:tr w:rsidR="00000000" w14:paraId="6AA4E6F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0769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Самозанятый, оплата от юрлиц по счёту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2E184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нужна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24A3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чек из «Мой налог» по каждому платежу</w:t>
            </w:r>
          </w:p>
        </w:tc>
      </w:tr>
      <w:tr w:rsidR="00000000" w14:paraId="540AEBA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E1954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ООО, безналичная оплата от юрлиц по счёту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E85CF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нужна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004F5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расчёты между организациями без предъявления электронного средства платежа</w:t>
            </w:r>
          </w:p>
        </w:tc>
      </w:tr>
      <w:tr w:rsidR="00000000" w14:paraId="402B7F0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FCF9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ООО или ИП,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оплата картой от физического лица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BD735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нужна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BCFB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требуется фискализация — облачная касса</w:t>
            </w:r>
          </w:p>
        </w:tc>
      </w:tr>
    </w:tbl>
    <w:p w14:paraId="5FB64068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Это </w:t>
      </w:r>
      <w:r>
        <w:rPr>
          <w:rStyle w:val="a6"/>
          <w:color w:val="000000"/>
          <w:sz w:val="23"/>
          <w:szCs w:val="23"/>
        </w:rPr>
        <w:t>дополнительное основание</w:t>
      </w:r>
      <w:r>
        <w:rPr>
          <w:color w:val="000000"/>
          <w:sz w:val="23"/>
          <w:szCs w:val="23"/>
        </w:rPr>
        <w:t xml:space="preserve"> держать онлайн-оплату отдельным этапом (раздел 8 документа </w:t>
      </w:r>
      <w:r>
        <w:rPr>
          <w:rStyle w:val="HTML"/>
          <w:color w:val="000000"/>
        </w:rPr>
        <w:t>10</w:t>
      </w:r>
      <w:r>
        <w:rPr>
          <w:color w:val="000000"/>
          <w:sz w:val="23"/>
          <w:szCs w:val="23"/>
        </w:rPr>
        <w:t>). Платёжная интеграция — не только эквайринг: она тянет за собой фискализацию, чеки по 54-ФЗ и отчётность. Провайдеры (ЮKassa, Робокасса) предоставляют облачную кассу, но это отдельный договор и отдельные затраты.</w:t>
      </w:r>
    </w:p>
    <w:p w14:paraId="6DD1CD70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Текущая модель — ручная выдача квот по договору с юридическим лицом — от требований ККТ свободна.</w:t>
      </w:r>
    </w:p>
    <w:p w14:paraId="24C344F7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16BA796">
          <v:rect id="_x0000_i1031" style="width:0;height:1.5pt" o:hralign="center" o:hrstd="t" o:hr="t" fillcolor="#a0a0a0" stroked="f"/>
        </w:pict>
      </w:r>
    </w:p>
    <w:p w14:paraId="72397432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Тезис 6. Изучить приказы ФСТЭК России</w:t>
      </w:r>
    </w:p>
    <w:p w14:paraId="212B9269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Оценка: </w:t>
      </w:r>
      <w:r>
        <w:rPr>
          <w:rStyle w:val="HTML"/>
          <w:b/>
          <w:bCs/>
          <w:color w:val="000000"/>
        </w:rPr>
        <w:t>[ПОДТВЕРЖДЕНО]</w:t>
      </w:r>
      <w:r>
        <w:rPr>
          <w:rStyle w:val="a6"/>
          <w:color w:val="000000"/>
          <w:sz w:val="23"/>
          <w:szCs w:val="23"/>
        </w:rPr>
        <w:t>.</w:t>
      </w:r>
      <w:r>
        <w:rPr>
          <w:color w:val="000000"/>
          <w:sz w:val="23"/>
          <w:szCs w:val="23"/>
        </w:rPr>
        <w:t xml:space="preserve"> Перечень применимых актов: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3275"/>
        <w:gridCol w:w="2725"/>
      </w:tblGrid>
      <w:tr w:rsidR="00000000" w14:paraId="10CD1E4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C7D85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Акт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813B5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Предмет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8F007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Применимость</w:t>
            </w:r>
          </w:p>
        </w:tc>
      </w:tr>
      <w:tr w:rsidR="00000000" w14:paraId="40FD587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E51B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Приказ ФСТЭК от 18.02.2013 №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0E857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Состав и содержание мер защиты ПДн в ИСПДн (ред. от 14.05.2020)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E20CE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Основной документ проекта</w:t>
            </w:r>
          </w:p>
        </w:tc>
      </w:tr>
      <w:tr w:rsidR="00000000" w14:paraId="2E14C8D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716E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ФСТЭК от 11.02.2013 № 17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6A809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Защита информации в государственных информационных системах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92E5F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Только при появлении государственных заказчиков</w:t>
            </w:r>
          </w:p>
        </w:tc>
      </w:tr>
      <w:tr w:rsidR="00000000" w14:paraId="0E458F9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95071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ФСТЭК от 25.12.2017 № 239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000AD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Обеспечение безопасности значимых объектов КИИ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66CFF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Косвенно — если заказчик является субъектом КИИ</w:t>
            </w:r>
          </w:p>
        </w:tc>
      </w:tr>
      <w:tr w:rsidR="00000000" w14:paraId="7E938E5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A1C78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Методика оценки угроз безопасности информации ФСТЭК от 05.02.2021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F762E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Порядок разработки модели угроз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5A623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Обязательна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для модели угроз</w:t>
            </w:r>
          </w:p>
        </w:tc>
      </w:tr>
      <w:tr w:rsidR="00000000" w14:paraId="5B962D5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88295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Банк данных угроз ФСТЭК (bdu.fstec.ru)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68C63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Каталог угроз и уязвимостей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467FC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Источник данных для модели угроз</w:t>
            </w:r>
          </w:p>
        </w:tc>
      </w:tr>
    </w:tbl>
    <w:p w14:paraId="2B55AFE1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Приказ ФСБ России от 10.07.2014 № 378 применяется дополнительно при использовании СКЗИ.</w:t>
      </w:r>
    </w:p>
    <w:p w14:paraId="114925B4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Приказ № 21 и методика 2021 года уже упомянуты в </w:t>
      </w:r>
      <w:r>
        <w:rPr>
          <w:rStyle w:val="HTML"/>
          <w:color w:val="000000"/>
        </w:rPr>
        <w:t>ЮРИДИЧЕСКИЙ_АНАЛИЗ.md</w:t>
      </w:r>
      <w:r>
        <w:rPr>
          <w:color w:val="000000"/>
          <w:sz w:val="23"/>
          <w:szCs w:val="23"/>
        </w:rPr>
        <w:t>; приказы № 17 и № 239 в комплекте не разобраны.</w:t>
      </w:r>
    </w:p>
    <w:p w14:paraId="3E38317F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A08FFA2">
          <v:rect id="_x0000_i1032" style="width:0;height:1.5pt" o:hralign="center" o:hrstd="t" o:hr="t" fillcolor="#a0a0a0" stroked="f"/>
        </w:pict>
      </w:r>
    </w:p>
    <w:p w14:paraId="0CCFBD71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Тезис 7. Госуслуги и привязка домена — установить, как и зачем</w:t>
      </w:r>
    </w:p>
    <w:p w14:paraId="18A34589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Развёрнутая формулировка (реконструкция).</w:t>
      </w:r>
      <w:r>
        <w:rPr>
          <w:color w:val="000000"/>
          <w:sz w:val="23"/>
          <w:szCs w:val="23"/>
        </w:rPr>
        <w:t xml:space="preserve"> Речь идёт о требовании к способу авторизации пользователей на российских сайтах, введённом в 2023 году: авторизация допускается только через ограниченный перечень систем, включая ЕСИА (Госуслуги).</w:t>
      </w:r>
    </w:p>
    <w:p w14:paraId="4AAF5610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Оценка: </w:t>
      </w:r>
      <w:r>
        <w:rPr>
          <w:rStyle w:val="HTML"/>
          <w:b/>
          <w:bCs/>
          <w:color w:val="000000"/>
        </w:rPr>
        <w:t>[ПОДТВЕРЖДЕНО]</w:t>
      </w:r>
      <w:r>
        <w:rPr>
          <w:rStyle w:val="a6"/>
          <w:color w:val="000000"/>
          <w:sz w:val="23"/>
          <w:szCs w:val="23"/>
        </w:rPr>
        <w:t xml:space="preserve"> — и это норма, которой в комплекте документов нет вообще.</w:t>
      </w:r>
    </w:p>
    <w:p w14:paraId="43856D9E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[ЗАКОН]</w:t>
      </w:r>
      <w:r>
        <w:rPr>
          <w:color w:val="000000"/>
          <w:sz w:val="23"/>
          <w:szCs w:val="23"/>
        </w:rPr>
        <w:t xml:space="preserve"> </w:t>
      </w:r>
      <w:hyperlink r:id="rId7" w:history="1">
        <w:r>
          <w:rPr>
            <w:rStyle w:val="a3"/>
            <w:sz w:val="23"/>
            <w:szCs w:val="23"/>
          </w:rPr>
          <w:t>Федеральный закон от 31.07.2023 № 406-ФЗ</w:t>
        </w:r>
      </w:hyperlink>
      <w:r>
        <w:rPr>
          <w:color w:val="000000"/>
          <w:sz w:val="23"/>
          <w:szCs w:val="23"/>
        </w:rPr>
        <w:t xml:space="preserve"> внёс изменения в ст. 10 Федерального закона от 27.07.2006 № 149-ФЗ «Об информации, информационных технологиях и о защите информации». Владелец сайта или информационной системы, являющийся российским юридическим лицом либо гражданином РФ и осуществляющий деятельность в интернете на территории РФ, обязан проводить авторизацию пользователей, находящихся на территории РФ, одним из способов:</w:t>
      </w:r>
    </w:p>
    <w:p w14:paraId="70CB1D03" w14:textId="77777777" w:rsidR="00F3381C" w:rsidRDefault="00F3381C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по абонентскому номеру российского оператора подвижной радиотелефонной связи;</w:t>
      </w:r>
    </w:p>
    <w:p w14:paraId="3B24FB65" w14:textId="77777777" w:rsidR="00F3381C" w:rsidRDefault="00F3381C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через </w:t>
      </w:r>
      <w:r>
        <w:rPr>
          <w:rStyle w:val="a6"/>
          <w:rFonts w:eastAsia="Times New Roman"/>
          <w:color w:val="000000"/>
          <w:sz w:val="23"/>
          <w:szCs w:val="23"/>
        </w:rPr>
        <w:t>ЕСИА</w:t>
      </w:r>
      <w:r>
        <w:rPr>
          <w:rFonts w:eastAsia="Times New Roman"/>
          <w:color w:val="000000"/>
          <w:sz w:val="23"/>
          <w:szCs w:val="23"/>
        </w:rPr>
        <w:t xml:space="preserve"> (Единая система идентификации и аутентификации — Госуслуги);</w:t>
      </w:r>
    </w:p>
    <w:p w14:paraId="14CD1C8C" w14:textId="77777777" w:rsidR="00F3381C" w:rsidRDefault="00F3381C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через </w:t>
      </w:r>
      <w:r>
        <w:rPr>
          <w:rStyle w:val="a6"/>
          <w:rFonts w:eastAsia="Times New Roman"/>
          <w:color w:val="000000"/>
          <w:sz w:val="23"/>
          <w:szCs w:val="23"/>
        </w:rPr>
        <w:t>ЕБС</w:t>
      </w:r>
      <w:r>
        <w:rPr>
          <w:rFonts w:eastAsia="Times New Roman"/>
          <w:color w:val="000000"/>
          <w:sz w:val="23"/>
          <w:szCs w:val="23"/>
        </w:rPr>
        <w:t xml:space="preserve"> (Единая биометрическая система);</w:t>
      </w:r>
    </w:p>
    <w:p w14:paraId="1BCCEBF2" w14:textId="77777777" w:rsidR="00F3381C" w:rsidRDefault="00F3381C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через </w:t>
      </w:r>
      <w:r>
        <w:rPr>
          <w:rStyle w:val="a6"/>
          <w:rFonts w:eastAsia="Times New Roman"/>
          <w:color w:val="000000"/>
          <w:sz w:val="23"/>
          <w:szCs w:val="23"/>
        </w:rPr>
        <w:t>иную информационную систему</w:t>
      </w:r>
      <w:r>
        <w:rPr>
          <w:rFonts w:eastAsia="Times New Roman"/>
          <w:color w:val="000000"/>
          <w:sz w:val="23"/>
          <w:szCs w:val="23"/>
        </w:rPr>
        <w:t>, владельцем которой является гражданин РФ или российское юридическое лицо.</w:t>
      </w:r>
    </w:p>
    <w:p w14:paraId="1F846886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Норма действует с 01.12.2023.</w:t>
      </w:r>
    </w:p>
    <w:p w14:paraId="35AAACB4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Оценка спроектированной схемы авторизации (документ </w:t>
      </w:r>
      <w:r>
        <w:rPr>
          <w:rStyle w:val="HTML"/>
          <w:b/>
          <w:bCs/>
          <w:color w:val="000000"/>
        </w:rPr>
        <w:t>10</w:t>
      </w:r>
      <w:r>
        <w:rPr>
          <w:rStyle w:val="a6"/>
          <w:color w:val="000000"/>
          <w:sz w:val="23"/>
          <w:szCs w:val="23"/>
        </w:rPr>
        <w:t>).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Вход по паре «адрес электронной почты + пароль» в собственной системе подпадает под способ 4 — при условии, что владелец системы является российским лицом. Для проекта это выполняется.</w:t>
      </w:r>
    </w:p>
    <w:p w14:paraId="6FB04EED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[СПОРНО]</w:t>
      </w:r>
      <w:r>
        <w:rPr>
          <w:color w:val="000000"/>
          <w:sz w:val="23"/>
          <w:szCs w:val="23"/>
        </w:rPr>
        <w:t xml:space="preserve"> Практическая неопределённость сохраняется в отношении </w:t>
      </w:r>
      <w:r>
        <w:rPr>
          <w:rStyle w:val="a6"/>
          <w:color w:val="000000"/>
          <w:sz w:val="23"/>
          <w:szCs w:val="23"/>
        </w:rPr>
        <w:t>адресов на иностранных почтовых сервисах</w:t>
      </w:r>
      <w:r>
        <w:rPr>
          <w:color w:val="000000"/>
          <w:sz w:val="23"/>
          <w:szCs w:val="23"/>
        </w:rPr>
        <w:t>. Публичная дискуссия вокруг 406-ФЗ («запрет авторизации через иностранную электронную почту») касается именно случая, когда подтверждение доступа уходит на gmail и аналогичные сервисы. Разъяснения профильных объединений существуют, но единой правоприменительной позиции нет.</w:t>
      </w:r>
    </w:p>
    <w:p w14:paraId="59D0DC9F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Для B2B-модели риск ограничен: пользователи — работники организаций-заказчиков, как правило с корпоративными адресами в российских доменах. Меры снижения риска, в порядке возрастания стоимости:</w:t>
      </w:r>
    </w:p>
    <w:p w14:paraId="3CACA9C9" w14:textId="77777777" w:rsidR="00F3381C" w:rsidRDefault="00F3381C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в договоре и при выдаче приглашения требовать корпоративный адрес заказчика, не публичный почтовый сервис;</w:t>
      </w:r>
    </w:p>
    <w:p w14:paraId="46FA5EAF" w14:textId="77777777" w:rsidR="00F3381C" w:rsidRDefault="00F3381C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добавить подтверждение по абонентскому номеру как второй способ (прямо назван в норме первым);</w:t>
      </w:r>
    </w:p>
    <w:p w14:paraId="0E0F312D" w14:textId="77777777" w:rsidR="00F3381C" w:rsidRDefault="00F3381C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интеграция с ЕСИА — тяжело, оправдано только при работе с государственными заказчиками.</w:t>
      </w:r>
    </w:p>
    <w:p w14:paraId="77DE3767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Первый пункт реализуется проверкой домена при приёме приглашения и стоит несколько строк кода.</w:t>
      </w:r>
    </w:p>
    <w:p w14:paraId="23006321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Про «привязку домена».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[УТОЧНИТЬ]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Точный смысл восстановить не удалось. Правдоподобные варианты: подтверждение владения доменом при интеграции с ЕСИА; регистрация сведений о сайте при подаче уведомления в Роскомнадзор; подтверждение домена в личном кабинете организации. Вопрос вернуть консультанту.</w:t>
      </w:r>
    </w:p>
    <w:p w14:paraId="60E7B470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643B109">
          <v:rect id="_x0000_i1033" style="width:0;height:1.5pt" o:hralign="center" o:hrstd="t" o:hr="t" fillcolor="#a0a0a0" stroked="f"/>
        </w:pict>
      </w:r>
    </w:p>
    <w:p w14:paraId="34022985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Тезис 8. Разные категории данных обрабатываются по-разному</w:t>
      </w:r>
    </w:p>
    <w:p w14:paraId="51FF9E52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Оценка: </w:t>
      </w:r>
      <w:r>
        <w:rPr>
          <w:rStyle w:val="HTML"/>
          <w:b/>
          <w:bCs/>
          <w:color w:val="000000"/>
        </w:rPr>
        <w:t>[ПОДТВЕРЖДЕНО]</w:t>
      </w:r>
      <w:r>
        <w:rPr>
          <w:rStyle w:val="a6"/>
          <w:color w:val="000000"/>
          <w:sz w:val="23"/>
          <w:szCs w:val="23"/>
        </w:rPr>
        <w:t>.</w:t>
      </w:r>
      <w:r>
        <w:rPr>
          <w:color w:val="000000"/>
          <w:sz w:val="23"/>
          <w:szCs w:val="23"/>
        </w:rPr>
        <w:t xml:space="preserve"> Внутри 152-ФЗ действуют четыре самостоятельных режима: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939"/>
        <w:gridCol w:w="5570"/>
      </w:tblGrid>
      <w:tr w:rsidR="00000000" w14:paraId="4955314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982CF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C22EE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4D53C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Режим</w:t>
            </w:r>
          </w:p>
        </w:tc>
      </w:tr>
      <w:tr w:rsidR="00000000" w14:paraId="6CFEAE9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0E38F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Обычные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6D293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8FAE9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Обработка при наличии любого из оснований ч. 1</w:t>
            </w:r>
          </w:p>
        </w:tc>
      </w:tr>
      <w:tr w:rsidR="00000000" w14:paraId="0E87FE3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D7B14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Специальные категории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77107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7ED5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Обработка запрещена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кроме закрытого перечня ч. 2</w:t>
            </w:r>
          </w:p>
        </w:tc>
      </w:tr>
      <w:tr w:rsidR="00000000" w14:paraId="3935CAC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049E4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Биометрические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8F755C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639D7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Как правило письменное согласие; ЕБС</w:t>
            </w:r>
          </w:p>
        </w:tc>
      </w:tr>
      <w:tr w:rsidR="00000000" w14:paraId="5192001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09CFD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Общедоступные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3834F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128AA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Облегчённый режим</w:t>
            </w:r>
          </w:p>
        </w:tc>
      </w:tr>
    </w:tbl>
    <w:p w14:paraId="691A2F6B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Существеннее то, что находится за пределами 152-ФЗ.</w:t>
      </w:r>
      <w:r>
        <w:rPr>
          <w:color w:val="000000"/>
          <w:sz w:val="23"/>
          <w:szCs w:val="23"/>
        </w:rPr>
        <w:t xml:space="preserve"> Один и тот же документ может одновременно подпадать под режим иной охраняемой тайны, и требования складываются, а не заменяют друг друга: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878"/>
        <w:gridCol w:w="5092"/>
      </w:tblGrid>
      <w:tr w:rsidR="00000000" w14:paraId="617193D2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A1D80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Тайна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A741E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57AB7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Когда возникает в продукте</w:t>
            </w:r>
          </w:p>
        </w:tc>
      </w:tr>
      <w:tr w:rsidR="00000000" w14:paraId="37E82D8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0DB3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Врачебная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26DDD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13 ФЗ от 21.11.2011 № 323-ФЗ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8790A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Медицинские документы — детекторы </w:t>
            </w:r>
            <w:r>
              <w:rPr>
                <w:rStyle w:val="HTML"/>
                <w:color w:val="000000"/>
              </w:rPr>
              <w:t>MED_ICD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MED_RECORD</w:t>
            </w:r>
          </w:p>
        </w:tc>
      </w:tr>
      <w:tr w:rsidR="00000000" w14:paraId="3BBCE42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6828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Банковская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A7EFD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26 ФЗ от 02.12.1990 № 395-1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672C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Выписки, реквизиты счетов — детектор </w:t>
            </w:r>
            <w:r>
              <w:rPr>
                <w:rStyle w:val="HTML"/>
                <w:color w:val="000000"/>
              </w:rPr>
              <w:t>BANK_ACCOUNT</w:t>
            </w:r>
          </w:p>
        </w:tc>
      </w:tr>
      <w:tr w:rsidR="00000000" w14:paraId="28C03F7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8783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Налоговая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7BE1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102 НК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C4BE2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Налоговая отчётность контрагентов</w:t>
            </w:r>
          </w:p>
        </w:tc>
      </w:tr>
      <w:tr w:rsidR="00000000" w14:paraId="0916415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00C93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Адвокатская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F5AC4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8 ФЗ от 31.05.2002 № 63-ФЗ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9D25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Документы от юридических фирм</w:t>
            </w:r>
          </w:p>
        </w:tc>
      </w:tr>
      <w:tr w:rsidR="00000000" w14:paraId="610E631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5B79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Коммерческая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107E6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ФЗ от 29.07.2004 № 98-ФЗ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8FFE9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Договоры с условиями о цене</w:t>
            </w:r>
          </w:p>
        </w:tc>
      </w:tr>
    </w:tbl>
    <w:p w14:paraId="7FFB3958" w14:textId="77777777" w:rsidR="00F3381C" w:rsidRDefault="00F3381C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Договорный запрет (документ </w:t>
      </w:r>
      <w:r>
        <w:rPr>
          <w:rStyle w:val="HTML"/>
          <w:color w:val="000000"/>
        </w:rPr>
        <w:t>04</w:t>
      </w:r>
      <w:r>
        <w:rPr>
          <w:color w:val="000000"/>
          <w:sz w:val="23"/>
          <w:szCs w:val="23"/>
        </w:rPr>
        <w:t>, раздел 5.2, вариант C) следует формулировать не только через специальные категории ПДн, но и через перечень охраняемых тайн. Иначе запрет закрывает медицинские документы и не закрывает, например, адвокатские, где режим не мягче.</w:t>
      </w:r>
    </w:p>
    <w:p w14:paraId="63D3F1AF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DEB6F2C">
          <v:rect id="_x0000_i1034" style="width:0;height:1.5pt" o:hralign="center" o:hrstd="t" o:hr="t" fillcolor="#a0a0a0" stroked="f"/>
        </w:pict>
      </w:r>
    </w:p>
    <w:p w14:paraId="54EBA535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делать по итогам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7804"/>
        <w:gridCol w:w="1145"/>
      </w:tblGrid>
      <w:tr w:rsidR="00000000" w14:paraId="1CB5A2BA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DCBE6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43B1A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C3ABA" w14:textId="77777777" w:rsidR="00F3381C" w:rsidRDefault="00F3381C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Приоритет</w:t>
            </w:r>
          </w:p>
        </w:tc>
      </w:tr>
      <w:tr w:rsidR="00000000" w14:paraId="20138CC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07309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A2CB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Вернуть консультанту три уточняющих вопроса: тезис 1 (может ли физлицо назначить себя), тезис 3 (что именно недоступно физлицу), тезис 7 (смысл привязки домена)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11EB4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2E137DC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D564C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4672D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Внести в документ </w:t>
            </w:r>
            <w:r>
              <w:rPr>
                <w:rStyle w:val="HTML"/>
                <w:color w:val="000000"/>
              </w:rPr>
              <w:t>06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третий аргумент за ООО — ответственный за безопасность ПДн по ПП № 1119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72F6F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Высокий</w:t>
            </w:r>
          </w:p>
        </w:tc>
      </w:tr>
      <w:tr w:rsidR="00000000" w14:paraId="0562E86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D2DEF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80038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Проверка домена корпоративной почты при приёме приглашения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D2860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Средний</w:t>
            </w:r>
          </w:p>
        </w:tc>
      </w:tr>
      <w:tr w:rsidR="00000000" w14:paraId="33D94CF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9B4AB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4DF6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Расширить договорный запрет с специальных категорий до перечня охраняемых тайн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A9595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Средний</w:t>
            </w:r>
          </w:p>
        </w:tc>
      </w:tr>
      <w:tr w:rsidR="00000000" w14:paraId="4B8CD8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9B542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B7A8C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Разобрать приказы ФСТЭК № 17 и № 239 на применимость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910F7" w14:textId="77777777" w:rsidR="00F3381C" w:rsidRDefault="00F3381C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Низкий</w:t>
            </w:r>
          </w:p>
        </w:tc>
      </w:tr>
    </w:tbl>
    <w:p w14:paraId="754F221F" w14:textId="77777777" w:rsidR="00F3381C" w:rsidRDefault="00F3381C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C14E113">
          <v:rect id="_x0000_i1035" style="width:0;height:1.5pt" o:hralign="center" o:hrstd="t" o:hr="t" fillcolor="#a0a0a0" stroked="f"/>
        </w:pict>
      </w:r>
    </w:p>
    <w:p w14:paraId="77DCFA4A" w14:textId="77777777" w:rsidR="00F3381C" w:rsidRDefault="00F3381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Источники</w:t>
      </w:r>
    </w:p>
    <w:p w14:paraId="737AF2F9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8" w:history="1">
        <w:r>
          <w:rPr>
            <w:rStyle w:val="a3"/>
            <w:rFonts w:eastAsia="Times New Roman"/>
            <w:sz w:val="23"/>
            <w:szCs w:val="23"/>
          </w:rPr>
          <w:t>Федеральный закон от 31.07.2023 № 406-ФЗ — официальное опубликование</w:t>
        </w:r>
      </w:hyperlink>
    </w:p>
    <w:p w14:paraId="4EC831AB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9" w:history="1">
        <w:r>
          <w:rPr>
            <w:rStyle w:val="a3"/>
            <w:rFonts w:eastAsia="Times New Roman"/>
            <w:sz w:val="23"/>
            <w:szCs w:val="23"/>
          </w:rPr>
          <w:t>Федеральный закон от 31.07.2023 № 406-ФЗ — ГАРАНТ</w:t>
        </w:r>
      </w:hyperlink>
    </w:p>
    <w:p w14:paraId="712646A8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0" w:history="1">
        <w:r>
          <w:rPr>
            <w:rStyle w:val="a3"/>
            <w:rFonts w:eastAsia="Times New Roman"/>
            <w:sz w:val="23"/>
            <w:szCs w:val="23"/>
          </w:rPr>
          <w:t>Разъяснения кластера «РАЭК / Privacy &amp; Legal Innovation» по закону об авторизации</w:t>
        </w:r>
      </w:hyperlink>
    </w:p>
    <w:p w14:paraId="64719D8E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1" w:history="1">
        <w:r>
          <w:rPr>
            <w:rStyle w:val="a3"/>
            <w:rFonts w:eastAsia="Times New Roman"/>
            <w:sz w:val="23"/>
            <w:szCs w:val="23"/>
          </w:rPr>
          <w:t>Постановление Правительства РФ от 01.11.2012 № 1119 — ГАРАНТ</w:t>
        </w:r>
      </w:hyperlink>
    </w:p>
    <w:p w14:paraId="75B63A9B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2" w:history="1">
        <w:r>
          <w:rPr>
            <w:rStyle w:val="a3"/>
            <w:rFonts w:eastAsia="Times New Roman"/>
            <w:sz w:val="23"/>
            <w:szCs w:val="23"/>
          </w:rPr>
          <w:t>ПП РФ № 1119, пункт 13(в) — разбор требования</w:t>
        </w:r>
      </w:hyperlink>
    </w:p>
    <w:p w14:paraId="6AF34D55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3" w:history="1">
        <w:r>
          <w:rPr>
            <w:rStyle w:val="a3"/>
            <w:rFonts w:eastAsia="Times New Roman"/>
            <w:sz w:val="23"/>
            <w:szCs w:val="23"/>
          </w:rPr>
          <w:t>Ст. 6 152-ФЗ «Условия обработки персональных данных» — ГАРАНТ</w:t>
        </w:r>
      </w:hyperlink>
    </w:p>
    <w:p w14:paraId="12EAADFE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4" w:history="1">
        <w:r>
          <w:rPr>
            <w:rStyle w:val="a3"/>
            <w:rFonts w:eastAsia="Times New Roman"/>
            <w:sz w:val="23"/>
            <w:szCs w:val="23"/>
          </w:rPr>
          <w:t>Ст. 21 152-ФЗ — сроки реагирования, КонсультантПлюс</w:t>
        </w:r>
      </w:hyperlink>
    </w:p>
    <w:p w14:paraId="5021A358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5" w:history="1">
        <w:r>
          <w:rPr>
            <w:rStyle w:val="a3"/>
            <w:rFonts w:eastAsia="Times New Roman"/>
            <w:sz w:val="23"/>
            <w:szCs w:val="23"/>
          </w:rPr>
          <w:t>Касса для самозанятых: когда нужна ККТ — Главная книга</w:t>
        </w:r>
      </w:hyperlink>
    </w:p>
    <w:p w14:paraId="3584380B" w14:textId="77777777" w:rsidR="00F3381C" w:rsidRDefault="00F3381C">
      <w:pPr>
        <w:numPr>
          <w:ilvl w:val="0"/>
          <w:numId w:val="5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hyperlink r:id="rId16" w:history="1">
        <w:r>
          <w:rPr>
            <w:rStyle w:val="a3"/>
            <w:rFonts w:eastAsia="Times New Roman"/>
            <w:sz w:val="23"/>
            <w:szCs w:val="23"/>
          </w:rPr>
          <w:t>Приём платежей от физических лиц и выдача чеков</w:t>
        </w:r>
      </w:hyperlink>
    </w:p>
    <w:sectPr w:rsidR="00F3381C" w:rsidSect="0052543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D38D" w14:textId="77777777" w:rsidR="00F3381C" w:rsidRDefault="00F3381C" w:rsidP="00525433">
      <w:r>
        <w:separator/>
      </w:r>
    </w:p>
  </w:endnote>
  <w:endnote w:type="continuationSeparator" w:id="0">
    <w:p w14:paraId="76FC4A71" w14:textId="77777777" w:rsidR="00F3381C" w:rsidRDefault="00F3381C" w:rsidP="00525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ED50" w14:textId="77777777" w:rsidR="00525433" w:rsidRDefault="0052543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F0D1" w14:textId="2D96779A" w:rsidR="00525433" w:rsidRPr="00525433" w:rsidRDefault="00525433" w:rsidP="00525433">
    <w:pPr>
      <w:pStyle w:val="aa"/>
      <w:jc w:val="right"/>
      <w:rPr>
        <w:color w:val="808080"/>
        <w:sz w:val="16"/>
      </w:rPr>
    </w:pPr>
    <w:r w:rsidRPr="00525433">
      <w:rPr>
        <w:color w:val="808080"/>
        <w:sz w:val="16"/>
      </w:rPr>
      <w:t xml:space="preserve">11_Разбор_консультации_по_информационному_праву   |   стр. </w:t>
    </w:r>
    <w:r w:rsidRPr="00525433">
      <w:rPr>
        <w:color w:val="808080"/>
        <w:sz w:val="16"/>
      </w:rPr>
      <w:fldChar w:fldCharType="begin"/>
    </w:r>
    <w:r w:rsidRPr="00525433">
      <w:rPr>
        <w:color w:val="808080"/>
        <w:sz w:val="16"/>
      </w:rPr>
      <w:instrText xml:space="preserve"> PAGE  \* MERGEFORMAT </w:instrText>
    </w:r>
    <w:r w:rsidRPr="00525433">
      <w:rPr>
        <w:color w:val="808080"/>
        <w:sz w:val="16"/>
      </w:rPr>
      <w:fldChar w:fldCharType="separate"/>
    </w:r>
    <w:r w:rsidRPr="00525433">
      <w:rPr>
        <w:noProof/>
        <w:color w:val="808080"/>
        <w:sz w:val="16"/>
      </w:rPr>
      <w:t>1</w:t>
    </w:r>
    <w:r w:rsidRPr="00525433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0EA85" w14:textId="77777777" w:rsidR="00525433" w:rsidRDefault="0052543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518B0" w14:textId="77777777" w:rsidR="00F3381C" w:rsidRDefault="00F3381C" w:rsidP="00525433">
      <w:r>
        <w:separator/>
      </w:r>
    </w:p>
  </w:footnote>
  <w:footnote w:type="continuationSeparator" w:id="0">
    <w:p w14:paraId="75CD0259" w14:textId="77777777" w:rsidR="00F3381C" w:rsidRDefault="00F3381C" w:rsidP="00525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2A0C5" w14:textId="77777777" w:rsidR="00525433" w:rsidRDefault="0052543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FBD43" w14:textId="77777777" w:rsidR="00525433" w:rsidRDefault="0052543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E8DB" w14:textId="77777777" w:rsidR="00525433" w:rsidRDefault="0052543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7C6"/>
    <w:multiLevelType w:val="multilevel"/>
    <w:tmpl w:val="AC4E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C6BB4"/>
    <w:multiLevelType w:val="multilevel"/>
    <w:tmpl w:val="731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87430"/>
    <w:multiLevelType w:val="multilevel"/>
    <w:tmpl w:val="5AA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8581D"/>
    <w:multiLevelType w:val="multilevel"/>
    <w:tmpl w:val="1F9A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6C231A"/>
    <w:multiLevelType w:val="multilevel"/>
    <w:tmpl w:val="8EE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5960">
    <w:abstractNumId w:val="4"/>
  </w:num>
  <w:num w:numId="2" w16cid:durableId="12348661">
    <w:abstractNumId w:val="1"/>
  </w:num>
  <w:num w:numId="3" w16cid:durableId="1396246106">
    <w:abstractNumId w:val="0"/>
  </w:num>
  <w:num w:numId="4" w16cid:durableId="1384989721">
    <w:abstractNumId w:val="3"/>
  </w:num>
  <w:num w:numId="5" w16cid:durableId="167125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FE"/>
    <w:rsid w:val="003C5AFE"/>
    <w:rsid w:val="00525433"/>
    <w:rsid w:val="00857C52"/>
    <w:rsid w:val="00F3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F3AB16"/>
  <w15:chartTrackingRefBased/>
  <w15:docId w15:val="{8B5B6790-4F33-4C78-9388-2194191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5254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525433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5254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2543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546544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ublication.pravo.gov.ru/document/0001202307310022" TargetMode="External"/><Relationship Id="rId13" Type="http://schemas.openxmlformats.org/officeDocument/2006/relationships/hyperlink" Target="https://base.garant.ru/12148567/8b7b3c1c76e91f88d33c08b3736aa67a/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://publication.pravo.gov.ru/document/0001202307310022" TargetMode="External"/><Relationship Id="rId12" Type="http://schemas.openxmlformats.org/officeDocument/2006/relationships/hyperlink" Target="https://service.securitm.ru/docs/pp-1119/punkt-13-v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robokassa.com/blog/articles/kak-prinimat-oplatu-ot-fizicheskikh-lits/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ase.garant.ru/70252506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lavkniga.ru/situations/k509520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raec.ru/live/branch/14070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base.garant.ru/407458727/" TargetMode="External"/><Relationship Id="rId14" Type="http://schemas.openxmlformats.org/officeDocument/2006/relationships/hyperlink" Target="https://www.consultant.ru/document/cons_doc_LAW_61801/d3fe43a7c415353b17faab255bc0de92bea127da/" TargetMode="Externa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2391</Words>
  <Characters>13633</Characters>
  <Application>Microsoft Office Word</Application>
  <DocSecurity>0</DocSecurity>
  <Lines>113</Lines>
  <Paragraphs>31</Paragraphs>
  <ScaleCrop>false</ScaleCrop>
  <Company/>
  <LinksUpToDate>false</LinksUpToDate>
  <CharactersWithSpaces>15993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11_Разбор_консультации_по_информационному_праву.md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