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p>
    <w:p>
      <w:pPr>
        <w:spacing w:line="360"/>
      </w:pPr>
    </w:p>
    <w:p>
      <w:pPr>
        <w:spacing w:line="360"/>
      </w:pPr>
    </w:p>
    <w:p>
      <w:pPr>
        <w:spacing w:line="360"/>
        <w:jc w:val="center"/>
      </w:pPr>
      <w:r>
        <w:rPr>
          <w:rFonts w:ascii="Times New Roman" w:cs="Times New Roman" w:eastAsia="Times New Roman" w:hAnsi="Times New Roman"/>
          <w:b/>
          <w:bCs/>
          <w:sz w:val="28"/>
          <w:szCs w:val="28"/>
        </w:rPr>
        <w:t xml:space="preserve">INSTITUTO FEDERAL DE MATO GROSSO</w:t>
      </w:r>
    </w:p>
    <w:p>
      <w:pPr>
        <w:spacing w:line="360"/>
        <w:jc w:val="center"/>
      </w:pPr>
      <w:r>
        <w:rPr>
          <w:rFonts w:ascii="Times New Roman" w:cs="Times New Roman" w:eastAsia="Times New Roman" w:hAnsi="Times New Roman"/>
          <w:b/>
          <w:bCs/>
          <w:sz w:val="28"/>
          <w:szCs w:val="28"/>
        </w:rPr>
        <w:t xml:space="preserve">CAMPUS CUIABÁ</w:t>
      </w:r>
    </w:p>
    <w:p>
      <w:pPr>
        <w:spacing w:line="360"/>
        <w:jc w:val="center"/>
      </w:pPr>
      <w:r>
        <w:rPr>
          <w:rFonts w:ascii="Times New Roman" w:cs="Times New Roman" w:eastAsia="Times New Roman" w:hAnsi="Times New Roman"/>
          <w:b/>
          <w:bCs/>
          <w:sz w:val="26"/>
          <w:szCs w:val="26"/>
        </w:rPr>
        <w:t xml:space="preserve">ENGENHARIA DA COMPUTAÇÃO</w:t>
      </w:r>
    </w:p>
    <w:p>
      <w:pPr>
        <w:spacing w:line="360"/>
      </w:pPr>
    </w:p>
    <w:p>
      <w:pPr>
        <w:spacing w:line="360"/>
      </w:pPr>
    </w:p>
    <w:p>
      <w:pPr>
        <w:spacing w:line="360"/>
      </w:pPr>
    </w:p>
    <w:p>
      <w:pPr>
        <w:spacing w:line="360"/>
      </w:pPr>
    </w:p>
    <w:p>
      <w:pPr>
        <w:spacing w:line="360"/>
      </w:pPr>
    </w:p>
    <w:p>
      <w:pPr>
        <w:spacing w:line="360"/>
        <w:jc w:val="center"/>
      </w:pPr>
      <w:r>
        <w:rPr>
          <w:rFonts w:ascii="Times New Roman" w:cs="Times New Roman" w:eastAsia="Times New Roman" w:hAnsi="Times New Roman"/>
          <w:b/>
          <w:bCs/>
          <w:sz w:val="28"/>
          <w:szCs w:val="28"/>
        </w:rPr>
        <w:t xml:space="preserve">NAMEM RACHID JAUDY NETO</w:t>
      </w:r>
    </w:p>
    <w:p>
      <w:pPr>
        <w:spacing w:line="360"/>
      </w:pPr>
    </w:p>
    <w:p>
      <w:pPr>
        <w:spacing w:line="360"/>
      </w:pPr>
    </w:p>
    <w:p>
      <w:pPr>
        <w:spacing w:line="360"/>
      </w:pPr>
    </w:p>
    <w:p>
      <w:pPr>
        <w:spacing w:line="360"/>
      </w:pPr>
    </w:p>
    <w:p>
      <w:pPr>
        <w:spacing w:line="360"/>
        <w:jc w:val="center"/>
      </w:pPr>
      <w:r>
        <w:rPr>
          <w:rFonts w:ascii="Times New Roman" w:cs="Times New Roman" w:eastAsia="Times New Roman" w:hAnsi="Times New Roman"/>
          <w:b/>
          <w:bCs/>
          <w:sz w:val="32"/>
          <w:szCs w:val="32"/>
        </w:rPr>
        <w:t xml:space="preserve">CERES DIAGNÓSTICO: SISTEMA EMBARCADO DE DETECÇÃO PRECOCE DE DOENÇAS NO TOMATEIRO COM TINYML E IoT</w:t>
      </w: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jc w:val="center"/>
      </w:pPr>
      <w:r>
        <w:rPr>
          <w:rFonts w:ascii="Times New Roman" w:cs="Times New Roman" w:eastAsia="Times New Roman" w:hAnsi="Times New Roman"/>
          <w:sz w:val="24"/>
          <w:szCs w:val="24"/>
        </w:rPr>
        <w:t xml:space="preserve">CUIABÁ — MT</w:t>
      </w:r>
    </w:p>
    <w:p>
      <w:pPr>
        <w:spacing w:line="360"/>
        <w:jc w:val="center"/>
      </w:pPr>
      <w:r>
        <w:rPr>
          <w:rFonts w:ascii="Times New Roman" w:cs="Times New Roman" w:eastAsia="Times New Roman" w:hAnsi="Times New Roman"/>
          <w:sz w:val="24"/>
          <w:szCs w:val="24"/>
        </w:rPr>
        <w:t xml:space="preserve">2026</w:t>
      </w:r>
    </w:p>
    <w:p>
      <w:pPr>
        <w:sectPr>
          <w:pgSz w:w="11906" w:h="16838" w:orient="portrait"/>
          <w:pgMar w:top="1701" w:right="1134" w:bottom="1134" w:left="1701" w:header="708" w:footer="708" w:gutter="0"/>
          <w:pgNumType/>
          <w:docGrid w:linePitch="360"/>
        </w:sectPr>
      </w:pPr>
    </w:p>
    <w:p>
      <w:pPr>
        <w:pStyle w:val="Heading1"/>
        <w:spacing w:after="240" w:before="480" w:line="360"/>
      </w:pPr>
      <w:r>
        <w:rPr>
          <w:rFonts w:ascii="Times New Roman" w:cs="Times New Roman" w:eastAsia="Times New Roman" w:hAnsi="Times New Roman"/>
          <w:b/>
          <w:bCs/>
          <w:sz w:val="28"/>
          <w:szCs w:val="28"/>
        </w:rPr>
        <w:t xml:space="preserve">RESUMO</w:t>
      </w:r>
    </w:p>
    <w:p>
      <w:pPr>
        <w:spacing w:line="360"/>
      </w:pPr>
      <w:r>
        <w:rPr>
          <w:rFonts w:ascii="Times New Roman" w:cs="Times New Roman" w:eastAsia="Times New Roman" w:hAnsi="Times New Roman"/>
          <w:sz w:val="24"/>
          <w:szCs w:val="24"/>
        </w:rPr>
        <w:t xml:space="preserve">O tomateiro (Solanum lycopersicum) é uma das culturas de maior importância econômica no Brasil, com produção anual superior a 4 milhões de toneladas. Doenças foliares como requeima (Phytophthora infestans), septoriose (Septoria lycopersici) e mancha-bacteriana (Xanthomonas spp.) podem causar perdas de até 100% da safra quando não detectadas precocemente.</w:t>
      </w:r>
    </w:p>
    <w:p>
      <w:pPr>
        <w:spacing w:line="360"/>
      </w:pPr>
    </w:p>
    <w:p>
      <w:pPr>
        <w:spacing w:line="360"/>
      </w:pPr>
      <w:r>
        <w:rPr>
          <w:rFonts w:ascii="Times New Roman" w:cs="Times New Roman" w:eastAsia="Times New Roman" w:hAnsi="Times New Roman"/>
          <w:sz w:val="24"/>
          <w:szCs w:val="24"/>
        </w:rPr>
        <w:t xml:space="preserve">Este trabalho propõe o Ceres Diagnóstico, um sistema embarcado de baixo custo para detecção precoce de doenças em folhas de tomateiro. O sistema integra um microcontrolador ESP32-S3 executando modelo MobileNetV2 quantizado (INT8) via TensorFlow Lite Micro diretamente no dispositivo (TinyML), sem necessidade de conexão com servidor de nuvem para inferência. Os resultados são transmitidos via protocolo MQTT para um backend Django REST, acessível por aplicativo Flutter.</w:t>
      </w:r>
    </w:p>
    <w:p>
      <w:pPr>
        <w:spacing w:line="360"/>
      </w:pPr>
    </w:p>
    <w:p>
      <w:pPr>
        <w:spacing w:line="360"/>
      </w:pPr>
      <w:r>
        <w:rPr>
          <w:rFonts w:ascii="Times New Roman" w:cs="Times New Roman" w:eastAsia="Times New Roman" w:hAnsi="Times New Roman"/>
          <w:sz w:val="24"/>
          <w:szCs w:val="24"/>
        </w:rPr>
        <w:t xml:space="preserve">O modelo foi treinado com o dataset PlantVillage (Hughes &amp; Salathé, 2015), contendo 18.160 imagens de folhas de tomate em 10 classes, expandido para 88.949 imagens via augmentation offline. O modelo final (Exp E — Focal Loss) atingiu 98,43% de acurácia no test set com 638 KB INT8. A validação em hardware real (ESP32-S3 N16R8, 240 MHz) mediu latência de 692 ms por inferência com 10/10 imagens corretas. O experimento Edge vs Cloud demonstrou a viabilidade do diagnóstico embarcado sem dependência de nuvem.</w:t>
      </w:r>
    </w:p>
    <w:p>
      <w:pPr>
        <w:spacing w:line="360"/>
      </w:pPr>
    </w:p>
    <w:p>
      <w:pPr>
        <w:spacing w:line="360"/>
      </w:pPr>
      <w:r>
        <w:rPr>
          <w:rFonts w:ascii="Times New Roman" w:cs="Times New Roman" w:eastAsia="Times New Roman" w:hAnsi="Times New Roman"/>
          <w:b/>
          <w:bCs/>
          <w:sz w:val="24"/>
          <w:szCs w:val="24"/>
        </w:rPr>
        <w:t xml:space="preserve">Palavras-chave: TinyML, ESP32-S3, detecção de doenças em plantas, MobileNetV2, MQTT, Django REST, Flutter, agricultura de precisão.</w:t>
      </w:r>
    </w:p>
    <w:p>
      <w:r>
        <w:br w:type="page"/>
      </w:r>
    </w:p>
    <w:p>
      <w:pPr>
        <w:pStyle w:val="Heading1"/>
        <w:spacing w:after="240" w:before="480" w:line="360"/>
      </w:pPr>
      <w:r>
        <w:rPr>
          <w:rFonts w:ascii="Times New Roman" w:cs="Times New Roman" w:eastAsia="Times New Roman" w:hAnsi="Times New Roman"/>
          <w:b/>
          <w:bCs/>
          <w:sz w:val="28"/>
          <w:szCs w:val="28"/>
        </w:rPr>
        <w:t xml:space="preserve">ABSTRACT</w:t>
      </w:r>
    </w:p>
    <w:p>
      <w:pPr>
        <w:spacing w:line="360"/>
      </w:pPr>
      <w:r>
        <w:rPr>
          <w:rFonts w:ascii="Times New Roman" w:cs="Times New Roman" w:eastAsia="Times New Roman" w:hAnsi="Times New Roman"/>
          <w:sz w:val="24"/>
          <w:szCs w:val="24"/>
        </w:rPr>
        <w:t xml:space="preserve">Tomato (Solanum lycopersicum) is one of the most economically important crops in Brazil. This work proposes Ceres Diagnóstico, a low-cost embedded system for early detection of tomato leaf diseases. The system integrates an ESP32-S3 microcontroller running a quantized MobileNetV2 model (INT8) via TensorFlow Lite Micro directly on-device (TinyML). The final model (Exp E — Focal Loss) achieved 98.43% test accuracy with a 638 KB INT8 model. On-device inference measured 692 ms latency with 10/10 correct predictions. The Edge vs Cloud experiment demonstrated the viability of embedded diagnosis without cloud dependency.</w:t>
      </w:r>
    </w:p>
    <w:p>
      <w:pPr>
        <w:spacing w:line="360"/>
      </w:pPr>
    </w:p>
    <w:p>
      <w:pPr>
        <w:spacing w:line="360"/>
      </w:pPr>
      <w:r>
        <w:rPr>
          <w:rFonts w:ascii="Times New Roman" w:cs="Times New Roman" w:eastAsia="Times New Roman" w:hAnsi="Times New Roman"/>
          <w:b/>
          <w:bCs/>
          <w:sz w:val="24"/>
          <w:szCs w:val="24"/>
        </w:rPr>
        <w:t xml:space="preserve">Keywords: TinyML, ESP32-S3, plant disease detection, MobileNetV2, MQTT, Django REST, Flutter, precision agriculture.</w:t>
      </w:r>
    </w:p>
    <w:p>
      <w:r>
        <w:br w:type="page"/>
      </w:r>
    </w:p>
    <w:p>
      <w:pPr>
        <w:pStyle w:val="Heading1"/>
        <w:spacing w:after="240" w:before="480" w:line="360"/>
      </w:pPr>
      <w:r>
        <w:rPr>
          <w:rFonts w:ascii="Times New Roman" w:cs="Times New Roman" w:eastAsia="Times New Roman" w:hAnsi="Times New Roman"/>
          <w:b/>
          <w:bCs/>
          <w:sz w:val="28"/>
          <w:szCs w:val="28"/>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line="360"/>
      </w:pPr>
      <w:r>
        <w:rPr>
          <w:rFonts w:ascii="Times New Roman" w:cs="Times New Roman" w:eastAsia="Times New Roman" w:hAnsi="Times New Roman"/>
          <w:b/>
          <w:bCs/>
          <w:sz w:val="28"/>
          <w:szCs w:val="28"/>
        </w:rPr>
        <w:t xml:space="preserve">1. INTRODUÇÃO</w:t>
      </w:r>
    </w:p>
    <w:p>
      <w:pPr>
        <w:pStyle w:val="Heading2"/>
        <w:spacing w:after="180" w:before="360" w:line="360"/>
      </w:pPr>
      <w:r>
        <w:rPr>
          <w:rFonts w:ascii="Times New Roman" w:cs="Times New Roman" w:eastAsia="Times New Roman" w:hAnsi="Times New Roman"/>
          <w:b/>
          <w:bCs/>
          <w:sz w:val="26"/>
          <w:szCs w:val="26"/>
        </w:rPr>
        <w:t xml:space="preserve">1.1 Contextualização</w:t>
      </w:r>
    </w:p>
    <w:p>
      <w:pPr>
        <w:spacing w:line="360"/>
      </w:pPr>
      <w:r>
        <w:rPr>
          <w:rFonts w:ascii="Times New Roman" w:cs="Times New Roman" w:eastAsia="Times New Roman" w:hAnsi="Times New Roman"/>
          <w:sz w:val="24"/>
          <w:szCs w:val="24"/>
        </w:rPr>
        <w:t xml:space="preserve">O Brasil é o nono maior produtor mundial de tomate, com produção de aproximadamente 4,4 milhões de toneladas em 2023 (FAO, 2024). O estado de Mato Grosso apresenta expansão crescente da tomaticultura, impulsionada pela fronteira agrícola do Cerrado. Contudo, o manejo fitossanitário ainda é majoritariamente reativo: o produtor detecta a doença visualmente após o aparecimento de sintomas severos, quando a perda já é significativa.</w:t>
      </w:r>
    </w:p>
    <w:p>
      <w:pPr>
        <w:spacing w:line="360"/>
      </w:pPr>
    </w:p>
    <w:p>
      <w:pPr>
        <w:spacing w:line="360"/>
      </w:pPr>
      <w:r>
        <w:rPr>
          <w:rFonts w:ascii="Times New Roman" w:cs="Times New Roman" w:eastAsia="Times New Roman" w:hAnsi="Times New Roman"/>
          <w:sz w:val="24"/>
          <w:szCs w:val="24"/>
        </w:rPr>
        <w:t xml:space="preserve">A detecção precoce de doenças foliares é fundamental para reduzir o uso de agrotóxicos, diminuir perdas e aumentar a rentabilidade da cultura. O paradigma TinyML — execução de modelos de aprendizado de máquina diretamente em microcontroladores de baixo custo — surge como alternativa viável para este contexto.</w:t>
      </w:r>
    </w:p>
    <w:p>
      <w:pPr>
        <w:pStyle w:val="Heading2"/>
        <w:spacing w:after="180" w:before="360" w:line="360"/>
      </w:pPr>
      <w:r>
        <w:rPr>
          <w:rFonts w:ascii="Times New Roman" w:cs="Times New Roman" w:eastAsia="Times New Roman" w:hAnsi="Times New Roman"/>
          <w:b/>
          <w:bCs/>
          <w:sz w:val="26"/>
          <w:szCs w:val="26"/>
        </w:rPr>
        <w:t xml:space="preserve">1.2 Problema</w:t>
      </w:r>
    </w:p>
    <w:p>
      <w:pPr>
        <w:spacing w:line="360"/>
      </w:pPr>
      <w:r>
        <w:rPr>
          <w:rFonts w:ascii="Times New Roman" w:cs="Times New Roman" w:eastAsia="Times New Roman" w:hAnsi="Times New Roman"/>
          <w:sz w:val="24"/>
          <w:szCs w:val="24"/>
        </w:rPr>
        <w:t xml:space="preserve">Como detectar precocemente doenças foliares no tomateiro de forma automatizada, de baixo custo e funcionando offline, acessível ao pequeno produtor rural do Centro-Oeste brasileiro?</w:t>
      </w:r>
    </w:p>
    <w:p>
      <w:pPr>
        <w:pStyle w:val="Heading2"/>
        <w:spacing w:after="180" w:before="360" w:line="360"/>
      </w:pPr>
      <w:r>
        <w:rPr>
          <w:rFonts w:ascii="Times New Roman" w:cs="Times New Roman" w:eastAsia="Times New Roman" w:hAnsi="Times New Roman"/>
          <w:b/>
          <w:bCs/>
          <w:sz w:val="26"/>
          <w:szCs w:val="26"/>
        </w:rPr>
        <w:t xml:space="preserve">1.3 Hipótese</w:t>
      </w:r>
    </w:p>
    <w:p>
      <w:pPr>
        <w:spacing w:line="360"/>
      </w:pPr>
      <w:r>
        <w:rPr>
          <w:rFonts w:ascii="Times New Roman" w:cs="Times New Roman" w:eastAsia="Times New Roman" w:hAnsi="Times New Roman"/>
          <w:sz w:val="24"/>
          <w:szCs w:val="24"/>
        </w:rPr>
        <w:t xml:space="preserve">Um sistema embarcado baseado em ESP32-S3 com modelo MobileNetV2 quantizado (TinyML) é capaz de classificar doenças foliares do tomateiro com acurácia superior a 85%, latência inferior a 300ms e custo de hardware inferior a R$ 200,00, viabilizando o diagnóstico em tempo real sem conectividade.</w:t>
      </w:r>
    </w:p>
    <w:p>
      <w:pPr>
        <w:pStyle w:val="Heading2"/>
        <w:spacing w:after="180" w:before="360" w:line="360"/>
      </w:pPr>
      <w:r>
        <w:rPr>
          <w:rFonts w:ascii="Times New Roman" w:cs="Times New Roman" w:eastAsia="Times New Roman" w:hAnsi="Times New Roman"/>
          <w:b/>
          <w:bCs/>
          <w:sz w:val="26"/>
          <w:szCs w:val="26"/>
        </w:rPr>
        <w:t xml:space="preserve">1.4 Objetivos</w:t>
      </w:r>
    </w:p>
    <w:p>
      <w:pPr>
        <w:spacing w:line="360"/>
      </w:pPr>
      <w:r>
        <w:rPr>
          <w:rFonts w:ascii="Times New Roman" w:cs="Times New Roman" w:eastAsia="Times New Roman" w:hAnsi="Times New Roman"/>
          <w:b/>
          <w:bCs/>
          <w:sz w:val="24"/>
          <w:szCs w:val="24"/>
        </w:rPr>
        <w:t xml:space="preserve">Objetivo Geral: Desenvolver e validar um sistema embarcado de detecção precoce de doenças em folhas de tomateiro integrando TinyML, IoT e aplicativo mobile.</w:t>
      </w:r>
    </w:p>
    <w:p>
      <w:pPr>
        <w:spacing w:line="360"/>
      </w:pPr>
    </w:p>
    <w:p>
      <w:pPr>
        <w:spacing w:line="360"/>
      </w:pPr>
      <w:r>
        <w:rPr>
          <w:rFonts w:ascii="Times New Roman" w:cs="Times New Roman" w:eastAsia="Times New Roman" w:hAnsi="Times New Roman"/>
          <w:b/>
          <w:bCs/>
          <w:sz w:val="24"/>
          <w:szCs w:val="24"/>
        </w:rPr>
        <w:t xml:space="preserve">Objetivos Específicos:</w:t>
      </w:r>
    </w:p>
    <w:p>
      <w:pPr>
        <w:spacing w:line="360"/>
      </w:pPr>
      <w:r>
        <w:rPr>
          <w:rFonts w:ascii="Times New Roman" w:cs="Times New Roman" w:eastAsia="Times New Roman" w:hAnsi="Times New Roman"/>
          <w:sz w:val="24"/>
          <w:szCs w:val="24"/>
        </w:rPr>
        <w:t xml:space="preserve">1. Preparar e aumentar o dataset PlantVillage com 10 classes de doenças do tomateiro</w:t>
      </w:r>
    </w:p>
    <w:p>
      <w:pPr>
        <w:spacing w:line="360"/>
      </w:pPr>
      <w:r>
        <w:rPr>
          <w:rFonts w:ascii="Times New Roman" w:cs="Times New Roman" w:eastAsia="Times New Roman" w:hAnsi="Times New Roman"/>
          <w:sz w:val="24"/>
          <w:szCs w:val="24"/>
        </w:rPr>
        <w:t xml:space="preserve">2. Treinar modelo MobileNetV2 INT8 com acurácia &gt; 85%</w:t>
      </w:r>
    </w:p>
    <w:p>
      <w:pPr>
        <w:spacing w:line="360"/>
      </w:pPr>
      <w:r>
        <w:rPr>
          <w:rFonts w:ascii="Times New Roman" w:cs="Times New Roman" w:eastAsia="Times New Roman" w:hAnsi="Times New Roman"/>
          <w:sz w:val="24"/>
          <w:szCs w:val="24"/>
        </w:rPr>
        <w:t xml:space="preserve">3. Implantar o modelo no ESP32-S3 com latência &lt; 300ms</w:t>
      </w:r>
    </w:p>
    <w:p>
      <w:pPr>
        <w:spacing w:line="360"/>
      </w:pPr>
      <w:r>
        <w:rPr>
          <w:rFonts w:ascii="Times New Roman" w:cs="Times New Roman" w:eastAsia="Times New Roman" w:hAnsi="Times New Roman"/>
          <w:sz w:val="24"/>
          <w:szCs w:val="24"/>
        </w:rPr>
        <w:t xml:space="preserve">4. Desenvolver backend Django REST com persistência de eventos via MQTT</w:t>
      </w:r>
    </w:p>
    <w:p>
      <w:pPr>
        <w:spacing w:line="360"/>
      </w:pPr>
      <w:r>
        <w:rPr>
          <w:rFonts w:ascii="Times New Roman" w:cs="Times New Roman" w:eastAsia="Times New Roman" w:hAnsi="Times New Roman"/>
          <w:sz w:val="24"/>
          <w:szCs w:val="24"/>
        </w:rPr>
        <w:t xml:space="preserve">5. Desenvolver aplicativo Flutter com funcionamento offline</w:t>
      </w:r>
    </w:p>
    <w:p>
      <w:pPr>
        <w:spacing w:line="360"/>
      </w:pPr>
      <w:r>
        <w:rPr>
          <w:rFonts w:ascii="Times New Roman" w:cs="Times New Roman" w:eastAsia="Times New Roman" w:hAnsi="Times New Roman"/>
          <w:sz w:val="24"/>
          <w:szCs w:val="24"/>
        </w:rPr>
        <w:t xml:space="preserve">6. Comparar experimentalmente inferência edge vs cloud</w:t>
      </w:r>
    </w:p>
    <w:p>
      <w:r>
        <w:br w:type="page"/>
      </w:r>
    </w:p>
    <w:p>
      <w:pPr>
        <w:pStyle w:val="Heading1"/>
        <w:spacing w:after="240" w:before="480" w:line="360"/>
      </w:pPr>
      <w:r>
        <w:rPr>
          <w:rFonts w:ascii="Times New Roman" w:cs="Times New Roman" w:eastAsia="Times New Roman" w:hAnsi="Times New Roman"/>
          <w:b/>
          <w:bCs/>
          <w:sz w:val="28"/>
          <w:szCs w:val="28"/>
        </w:rPr>
        <w:t xml:space="preserve">2. REFERENCIAL TEÓRICO</w:t>
      </w:r>
    </w:p>
    <w:p>
      <w:pPr>
        <w:pStyle w:val="Heading2"/>
        <w:spacing w:after="180" w:before="360" w:line="360"/>
      </w:pPr>
      <w:r>
        <w:rPr>
          <w:rFonts w:ascii="Times New Roman" w:cs="Times New Roman" w:eastAsia="Times New Roman" w:hAnsi="Times New Roman"/>
          <w:b/>
          <w:bCs/>
          <w:sz w:val="26"/>
          <w:szCs w:val="26"/>
        </w:rPr>
        <w:t xml:space="preserve">2.1 Doenças do Tomateiro e Impacto Econômico</w:t>
      </w:r>
    </w:p>
    <w:p>
      <w:pPr>
        <w:spacing w:line="360"/>
      </w:pPr>
      <w:r>
        <w:rPr>
          <w:rFonts w:ascii="Times New Roman" w:cs="Times New Roman" w:eastAsia="Times New Roman" w:hAnsi="Times New Roman"/>
          <w:sz w:val="24"/>
          <w:szCs w:val="24"/>
        </w:rPr>
        <w:t xml:space="preserve">O tomateiro é acometido por diversas doenças foliares de origem fúngica, bacteriana e viral. As 10 classes monitoradas pelo Ceres correspondem às doenças foliares identificáveis por imagem, com base no mapeamento da Embrapa Hortaliças.</w:t>
      </w:r>
    </w:p>
    <w:p>
      <w:pPr>
        <w:spacing w:line="3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Código</w:t>
            </w:r>
          </w:p>
        </w:tc>
        <w:tc>
          <w:tcPr>
            <w:tcW w:type="dxa" w:w="226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Doença</w:t>
            </w:r>
          </w:p>
        </w:tc>
        <w:tc>
          <w:tcPr>
            <w:tcW w:type="dxa" w:w="226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Agente</w:t>
            </w:r>
          </w:p>
        </w:tc>
        <w:tc>
          <w:tcPr>
            <w:tcW w:type="dxa" w:w="226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Perda</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D01</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Requeima</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P. infestans</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Até 100%</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D02</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Septoriose</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S. lycopersici</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20–50%</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D03</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Pinta-Preta</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A. solani</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30–70%</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D03b</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Mancha-Alvo</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C. cassiicola</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20–40%</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D05</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Mofo-Foliar</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P. fulva</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20–30%</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D06</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Vira-Cabeça</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TSWV</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30–80%</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D06b</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Mosaico</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ToMV</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10–30%</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D07</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Ácaro-Bronzeamento</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A. lycopersici</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20–40%</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D09</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Mancha-Bacteriana</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Xanthomonas</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15–35%</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saudavel</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Saudável</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w:t>
            </w:r>
          </w:p>
        </w:tc>
      </w:tr>
    </w:tbl>
    <w:p>
      <w:pPr>
        <w:pStyle w:val="Heading2"/>
        <w:spacing w:after="180" w:before="360" w:line="360"/>
      </w:pPr>
      <w:r>
        <w:rPr>
          <w:rFonts w:ascii="Times New Roman" w:cs="Times New Roman" w:eastAsia="Times New Roman" w:hAnsi="Times New Roman"/>
          <w:b/>
          <w:bCs/>
          <w:sz w:val="26"/>
          <w:szCs w:val="26"/>
        </w:rPr>
        <w:t xml:space="preserve">2.2 Visão Computacional para Diagnóstico Fitossanitário</w:t>
      </w:r>
    </w:p>
    <w:p>
      <w:pPr>
        <w:spacing w:line="360"/>
      </w:pPr>
      <w:r>
        <w:rPr>
          <w:rFonts w:ascii="Times New Roman" w:cs="Times New Roman" w:eastAsia="Times New Roman" w:hAnsi="Times New Roman"/>
          <w:sz w:val="24"/>
          <w:szCs w:val="24"/>
        </w:rPr>
        <w:t xml:space="preserve">O uso de CNNs para classificação de doenças em plantas foi popularizado por Mohanty et al. (2016), com acurácia de 99,35% em condições laboratoriais. Entretanto, Singh et al. (2020) mostraram queda para ~30% em campo real sem adaptação de domínio, evidenciando o gap laboratório-campo.</w:t>
      </w:r>
    </w:p>
    <w:p>
      <w:pPr>
        <w:spacing w:line="360"/>
      </w:pPr>
    </w:p>
    <w:p>
      <w:pPr>
        <w:spacing w:line="360"/>
      </w:pPr>
      <w:r>
        <w:rPr>
          <w:rFonts w:ascii="Times New Roman" w:cs="Times New Roman" w:eastAsia="Times New Roman" w:hAnsi="Times New Roman"/>
          <w:sz w:val="24"/>
          <w:szCs w:val="24"/>
        </w:rPr>
        <w:t xml:space="preserve">MobileNetV2 (Sandler et al., 2018) introduziu blocos inverted residual com linear bottleneck, reduzindo parâmetros de 138M (VGG16) para ~4,2M sem perda crítica de acurácia, viabilizando execução em MCUs.</w:t>
      </w:r>
    </w:p>
    <w:p>
      <w:pPr>
        <w:pStyle w:val="Heading2"/>
        <w:spacing w:after="180" w:before="360" w:line="360"/>
      </w:pPr>
      <w:r>
        <w:rPr>
          <w:rFonts w:ascii="Times New Roman" w:cs="Times New Roman" w:eastAsia="Times New Roman" w:hAnsi="Times New Roman"/>
          <w:b/>
          <w:bCs/>
          <w:sz w:val="26"/>
          <w:szCs w:val="26"/>
        </w:rPr>
        <w:t xml:space="preserve">2.3 TinyML e Inferência na Borda</w:t>
      </w:r>
    </w:p>
    <w:p>
      <w:pPr>
        <w:spacing w:line="360"/>
      </w:pPr>
      <w:r>
        <w:rPr>
          <w:rFonts w:ascii="Times New Roman" w:cs="Times New Roman" w:eastAsia="Times New Roman" w:hAnsi="Times New Roman"/>
          <w:sz w:val="24"/>
          <w:szCs w:val="24"/>
        </w:rPr>
        <w:t xml:space="preserve">TinyML refere-se à execução de modelos de machine learning em microcontroladores com restrições severas de memória (&lt; 1MB RAM) e energia (&lt; 1mW). A quantização INT8 é a técnica central que viabiliza TinyML: converte pesos FP32 para INT8, reduzindo o modelo ~4x (Warden &amp; Situnayake, 2019).</w:t>
      </w:r>
    </w:p>
    <w:p>
      <w:pPr>
        <w:pStyle w:val="Heading2"/>
        <w:spacing w:after="180" w:before="360" w:line="360"/>
      </w:pPr>
      <w:r>
        <w:rPr>
          <w:rFonts w:ascii="Times New Roman" w:cs="Times New Roman" w:eastAsia="Times New Roman" w:hAnsi="Times New Roman"/>
          <w:b/>
          <w:bCs/>
          <w:sz w:val="26"/>
          <w:szCs w:val="26"/>
        </w:rPr>
        <w:t xml:space="preserve">2.4 Protocolos IoT para Agricultura de Precisão</w:t>
      </w:r>
    </w:p>
    <w:p>
      <w:pPr>
        <w:spacing w:line="360"/>
      </w:pPr>
      <w:r>
        <w:rPr>
          <w:rFonts w:ascii="Times New Roman" w:cs="Times New Roman" w:eastAsia="Times New Roman" w:hAnsi="Times New Roman"/>
          <w:sz w:val="24"/>
          <w:szCs w:val="24"/>
        </w:rPr>
        <w:t xml:space="preserve">O protocolo MQTT (OASIS, 2019), com header mínimo de 2 bytes e modelo publish/subscribe, é o protocolo dominante em sistemas IoT agrícolas. O broker HiveMQ Cloud fornece conectividade TLS segura entre ESP32 e backend Django em produção.</w:t>
      </w:r>
    </w:p>
    <w:p>
      <w:pPr>
        <w:pStyle w:val="Heading2"/>
        <w:spacing w:after="180" w:before="360" w:line="360"/>
      </w:pPr>
      <w:r>
        <w:rPr>
          <w:rFonts w:ascii="Times New Roman" w:cs="Times New Roman" w:eastAsia="Times New Roman" w:hAnsi="Times New Roman"/>
          <w:b/>
          <w:bCs/>
          <w:sz w:val="26"/>
          <w:szCs w:val="26"/>
        </w:rPr>
        <w:t xml:space="preserve">2.5 Trabalhos Relacionados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Trabalho</w:t>
            </w:r>
          </w:p>
        </w:tc>
        <w:tc>
          <w:tcPr>
            <w:tcW w:type="dxa" w:w="226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Hardware</w:t>
            </w:r>
          </w:p>
        </w:tc>
        <w:tc>
          <w:tcPr>
            <w:tcW w:type="dxa" w:w="226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Modelo</w:t>
            </w:r>
          </w:p>
        </w:tc>
        <w:tc>
          <w:tcPr>
            <w:tcW w:type="dxa" w:w="226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Acurácia</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LeafSense (ACM 2024)</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ESP32-CAM</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TinyML CNN</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92%</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Springer IoT (2025)</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ESP32</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TinyML</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n/d</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Ceres (este trabalho)</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ESP32-S3 N16R8</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MobileNetV2 INT8 638KB</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98,43% lab</w:t>
            </w:r>
          </w:p>
        </w:tc>
      </w:tr>
    </w:tbl>
    <w:p>
      <w:r>
        <w:br w:type="page"/>
      </w:r>
    </w:p>
    <w:p>
      <w:pPr>
        <w:pStyle w:val="Heading1"/>
        <w:spacing w:after="240" w:before="480" w:line="360"/>
      </w:pPr>
      <w:r>
        <w:rPr>
          <w:rFonts w:ascii="Times New Roman" w:cs="Times New Roman" w:eastAsia="Times New Roman" w:hAnsi="Times New Roman"/>
          <w:b/>
          <w:bCs/>
          <w:sz w:val="28"/>
          <w:szCs w:val="28"/>
        </w:rPr>
        <w:t xml:space="preserve">3. METODOLOGIA</w:t>
      </w:r>
    </w:p>
    <w:p>
      <w:pPr>
        <w:pStyle w:val="Heading2"/>
        <w:spacing w:after="180" w:before="360" w:line="360"/>
      </w:pPr>
      <w:r>
        <w:rPr>
          <w:rFonts w:ascii="Times New Roman" w:cs="Times New Roman" w:eastAsia="Times New Roman" w:hAnsi="Times New Roman"/>
          <w:b/>
          <w:bCs/>
          <w:sz w:val="26"/>
          <w:szCs w:val="26"/>
        </w:rPr>
        <w:t xml:space="preserve">3.1 Arquitetura Geral do Sistema</w:t>
      </w:r>
    </w:p>
    <w:p>
      <w:pPr>
        <w:spacing w:line="360"/>
      </w:pPr>
      <w:r>
        <w:rPr>
          <w:rFonts w:ascii="Times New Roman" w:cs="Times New Roman" w:eastAsia="Times New Roman" w:hAnsi="Times New Roman"/>
          <w:sz w:val="24"/>
          <w:szCs w:val="24"/>
        </w:rPr>
        <w:t xml:space="preserve">ESP32-S3 (TFLite Micro) → MQTT TLS → HiveMQ Cloud → Railway Django → PostgreSQL → Flutter App</w:t>
      </w:r>
    </w:p>
    <w:p>
      <w:pPr>
        <w:spacing w:line="360"/>
      </w:pPr>
    </w:p>
    <w:p>
      <w:pPr>
        <w:spacing w:line="360"/>
      </w:pPr>
      <w:r>
        <w:rPr>
          <w:rFonts w:ascii="Times New Roman" w:cs="Times New Roman" w:eastAsia="Times New Roman" w:hAnsi="Times New Roman"/>
          <w:sz w:val="24"/>
          <w:szCs w:val="24"/>
        </w:rPr>
        <w:t xml:space="preserve">O ciclo de operação: (1) ESP32-S3 executa inferência local no modelo INT8; (2) publica resultado via MQTT; (3) Django persiste no PostgreSQL; (4) Flutter consulta API REST.</w:t>
      </w:r>
    </w:p>
    <w:p>
      <w:pPr>
        <w:pStyle w:val="Heading2"/>
        <w:spacing w:after="180" w:before="360" w:line="360"/>
      </w:pPr>
      <w:r>
        <w:rPr>
          <w:rFonts w:ascii="Times New Roman" w:cs="Times New Roman" w:eastAsia="Times New Roman" w:hAnsi="Times New Roman"/>
          <w:b/>
          <w:bCs/>
          <w:sz w:val="26"/>
          <w:szCs w:val="26"/>
        </w:rPr>
        <w:t xml:space="preserve">3.2 Dataset e Pré-processamento</w:t>
      </w:r>
    </w:p>
    <w:p>
      <w:pPr>
        <w:spacing w:line="360"/>
      </w:pPr>
      <w:r>
        <w:rPr>
          <w:rFonts w:ascii="Times New Roman" w:cs="Times New Roman" w:eastAsia="Times New Roman" w:hAnsi="Times New Roman"/>
          <w:sz w:val="24"/>
          <w:szCs w:val="24"/>
        </w:rPr>
        <w:t xml:space="preserve">Dataset primário: PlantVillage (Hughes &amp; Salathé, 2015) — 18.160 imagens, 10 classes, CC BY 4.0. Split estratificado (seed=42): 70% train / 15% val / 15% test. Augmentation offline: flip H/V, rotação ±15°, brilho ±20% → 88.949 imagens de treino.</w:t>
      </w:r>
    </w:p>
    <w:p>
      <w:pPr>
        <w:pStyle w:val="Heading2"/>
        <w:spacing w:after="180" w:before="360" w:line="360"/>
      </w:pPr>
      <w:r>
        <w:rPr>
          <w:rFonts w:ascii="Times New Roman" w:cs="Times New Roman" w:eastAsia="Times New Roman" w:hAnsi="Times New Roman"/>
          <w:b/>
          <w:bCs/>
          <w:sz w:val="26"/>
          <w:szCs w:val="26"/>
        </w:rPr>
        <w:t xml:space="preserve">3.3 Treinamento do Modelo</w:t>
      </w:r>
    </w:p>
    <w:p>
      <w:pPr>
        <w:spacing w:line="360"/>
      </w:pPr>
      <w:r>
        <w:rPr>
          <w:rFonts w:ascii="Times New Roman" w:cs="Times New Roman" w:eastAsia="Times New Roman" w:hAnsi="Times New Roman"/>
          <w:sz w:val="24"/>
          <w:szCs w:val="24"/>
        </w:rPr>
        <w:t xml:space="preserve">Arquitetura: MobileNetV2 96×96 alpha=0.35. Cinco experimentos conduzidos (A–E). Modelo final: Exp E (Focal Loss, γ=2, label_smoothing=0.1, backbone completo LR=1e-5) — 98,43% test acc, 638 KB INT8.</w:t>
      </w:r>
    </w:p>
    <w:p>
      <w:pPr>
        <w:spacing w:line="3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Exp</w:t>
            </w:r>
          </w:p>
        </w:tc>
        <w:tc>
          <w:tcPr>
            <w:tcW w:type="dxa" w:w="226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Estratégia</w:t>
            </w:r>
          </w:p>
        </w:tc>
        <w:tc>
          <w:tcPr>
            <w:tcW w:type="dxa" w:w="226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PlantVillage test</w:t>
            </w:r>
          </w:p>
        </w:tc>
        <w:tc>
          <w:tcPr>
            <w:tcW w:type="dxa" w:w="226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Campo real</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A</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Edge Impulse (INT8 sem calibração)</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62,0%</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B</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TF local 2 fases + calibração</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98,13%</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20,77%</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C</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Background augmentation sintética</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96,20%</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20,24%</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D</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Fine-tuning PlantDoc real</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97,55%</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30,43%</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E</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Focal Loss + aug agressiva</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98,43%</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27,65%</w:t>
            </w:r>
          </w:p>
        </w:tc>
      </w:tr>
    </w:tbl>
    <w:p>
      <w:pPr>
        <w:pStyle w:val="Heading2"/>
        <w:spacing w:after="180" w:before="360" w:line="360"/>
      </w:pPr>
      <w:r>
        <w:rPr>
          <w:rFonts w:ascii="Times New Roman" w:cs="Times New Roman" w:eastAsia="Times New Roman" w:hAnsi="Times New Roman"/>
          <w:b/>
          <w:bCs/>
          <w:sz w:val="26"/>
          <w:szCs w:val="26"/>
        </w:rPr>
        <w:t xml:space="preserve">3.4 Firmware ESP32-S3</w:t>
      </w:r>
    </w:p>
    <w:p>
      <w:pPr>
        <w:spacing w:line="360"/>
      </w:pPr>
      <w:r>
        <w:rPr>
          <w:rFonts w:ascii="Times New Roman" w:cs="Times New Roman" w:eastAsia="Times New Roman" w:hAnsi="Times New Roman"/>
          <w:sz w:val="24"/>
          <w:szCs w:val="24"/>
        </w:rPr>
        <w:t xml:space="preserve">Plataforma PlatformIO + Arduino. Tensor Arena: 512 KB (PSRAM). Biblioteca: Chirale_TensorFLowLite@2.0.0. Normalização INT8: uint8 - 128. Latência medida: 692 ms. Sensores: DHT22 (GPIO 4) + capacitivo solo (GPIO 5, ADC). Comunicação: WiFi → MQTT TLS → HiveMQ Cloud.</w:t>
      </w:r>
    </w:p>
    <w:p>
      <w:pPr>
        <w:pStyle w:val="Heading2"/>
        <w:spacing w:after="180" w:before="360" w:line="360"/>
      </w:pPr>
      <w:r>
        <w:rPr>
          <w:rFonts w:ascii="Times New Roman" w:cs="Times New Roman" w:eastAsia="Times New Roman" w:hAnsi="Times New Roman"/>
          <w:b/>
          <w:bCs/>
          <w:sz w:val="26"/>
          <w:szCs w:val="26"/>
        </w:rPr>
        <w:t xml:space="preserve">3.5 Backend Django REST</w:t>
      </w:r>
    </w:p>
    <w:p>
      <w:pPr>
        <w:spacing w:line="360"/>
      </w:pPr>
      <w:r>
        <w:rPr>
          <w:rFonts w:ascii="Times New Roman" w:cs="Times New Roman" w:eastAsia="Times New Roman" w:hAnsi="Times New Roman"/>
          <w:sz w:val="24"/>
          <w:szCs w:val="24"/>
        </w:rPr>
        <w:t xml:space="preserve">Framework: Django 6.0.4 + DRF 3.17.1. Banco: PostgreSQL (Railway). Autenticação: SimpleJWT. Deploy: Railway com Dockerfile. MQTT: mqtt_listener via WebSocket+TLS (HiveMQ). Endpoints: /inferir/, /historico/, /sensor/, /me/, /register/.</w:t>
      </w:r>
    </w:p>
    <w:p>
      <w:pPr>
        <w:pStyle w:val="Heading2"/>
        <w:spacing w:after="180" w:before="360" w:line="360"/>
      </w:pPr>
      <w:r>
        <w:rPr>
          <w:rFonts w:ascii="Times New Roman" w:cs="Times New Roman" w:eastAsia="Times New Roman" w:hAnsi="Times New Roman"/>
          <w:b/>
          <w:bCs/>
          <w:sz w:val="26"/>
          <w:szCs w:val="26"/>
        </w:rPr>
        <w:t xml:space="preserve">3.6 Aplicativo Flutter</w:t>
      </w:r>
    </w:p>
    <w:p>
      <w:pPr>
        <w:spacing w:line="360"/>
      </w:pPr>
      <w:r>
        <w:rPr>
          <w:rFonts w:ascii="Times New Roman" w:cs="Times New Roman" w:eastAsia="Times New Roman" w:hAnsi="Times New Roman"/>
          <w:sz w:val="24"/>
          <w:szCs w:val="24"/>
        </w:rPr>
        <w:t xml:space="preserve">12 telas implementadas: Splash, Login, Cadastro, Câmera (diagnóstico), Histórico IoT, Histórico Local, Mapa, Enciclopédia, Perfil, Alertas, Agrônomos, Seja Parceiro. Persistência offline com Drift (SQLite). Design System: paleta Cerrado, fontes Newsreader + IBM Plex Sans.</w:t>
      </w:r>
    </w:p>
    <w:p>
      <w:r>
        <w:br w:type="page"/>
      </w:r>
    </w:p>
    <w:p>
      <w:pPr>
        <w:pStyle w:val="Heading1"/>
        <w:spacing w:after="240" w:before="480" w:line="360"/>
      </w:pPr>
      <w:r>
        <w:rPr>
          <w:rFonts w:ascii="Times New Roman" w:cs="Times New Roman" w:eastAsia="Times New Roman" w:hAnsi="Times New Roman"/>
          <w:b/>
          <w:bCs/>
          <w:sz w:val="28"/>
          <w:szCs w:val="28"/>
        </w:rPr>
        <w:t xml:space="preserve">4. DESENVOLVIMENTO E IMPLEMENTAÇÃO</w:t>
      </w:r>
    </w:p>
    <w:p>
      <w:pPr>
        <w:pStyle w:val="Heading2"/>
        <w:spacing w:after="180" w:before="360" w:line="360"/>
      </w:pPr>
      <w:r>
        <w:rPr>
          <w:rFonts w:ascii="Times New Roman" w:cs="Times New Roman" w:eastAsia="Times New Roman" w:hAnsi="Times New Roman"/>
          <w:b/>
          <w:bCs/>
          <w:sz w:val="26"/>
          <w:szCs w:val="26"/>
        </w:rPr>
        <w:t xml:space="preserve">4.1 Sprint 0 — Motor de Diagnóstico</w:t>
      </w:r>
    </w:p>
    <w:p>
      <w:pPr>
        <w:spacing w:line="360"/>
      </w:pPr>
      <w:r>
        <w:rPr>
          <w:rFonts w:ascii="Times New Roman" w:cs="Times New Roman" w:eastAsia="Times New Roman" w:hAnsi="Times New Roman"/>
          <w:sz w:val="24"/>
          <w:szCs w:val="24"/>
        </w:rPr>
        <w:t xml:space="preserve">Árvore de decisão como motor inicial. Multi-tenant estruturado. JWT stateless. 5/5 testes passando.</w:t>
      </w:r>
    </w:p>
    <w:p>
      <w:pPr>
        <w:pStyle w:val="Heading2"/>
        <w:spacing w:after="180" w:before="360" w:line="360"/>
      </w:pPr>
      <w:r>
        <w:rPr>
          <w:rFonts w:ascii="Times New Roman" w:cs="Times New Roman" w:eastAsia="Times New Roman" w:hAnsi="Times New Roman"/>
          <w:b/>
          <w:bCs/>
          <w:sz w:val="26"/>
          <w:szCs w:val="26"/>
        </w:rPr>
        <w:t xml:space="preserve">4.2 Sprint 1 — MQTT + Dataset + Treino</w:t>
      </w:r>
    </w:p>
    <w:p>
      <w:pPr>
        <w:spacing w:line="360"/>
      </w:pPr>
      <w:r>
        <w:rPr>
          <w:rFonts w:ascii="Times New Roman" w:cs="Times New Roman" w:eastAsia="Times New Roman" w:hAnsi="Times New Roman"/>
          <w:sz w:val="24"/>
          <w:szCs w:val="24"/>
        </w:rPr>
        <w:t xml:space="preserve">Dataset PlantVillage preparado (88.949 imgs treino). Exp A (Edge Impulse): 92,5% FP32, 62,0% INT8. Exp B (TF local): 98,13% INT8, 639 KB. Backend MQTT: DiagnosticoEvento + mqtt_listener + historico/. Pipeline validado: ESP32 → Mosquitto → Django → PostgreSQL.</w:t>
      </w:r>
    </w:p>
    <w:p>
      <w:pPr>
        <w:pStyle w:val="Heading2"/>
        <w:spacing w:after="180" w:before="360" w:line="360"/>
      </w:pPr>
      <w:r>
        <w:rPr>
          <w:rFonts w:ascii="Times New Roman" w:cs="Times New Roman" w:eastAsia="Times New Roman" w:hAnsi="Times New Roman"/>
          <w:b/>
          <w:bCs/>
          <w:sz w:val="26"/>
          <w:szCs w:val="26"/>
        </w:rPr>
        <w:t xml:space="preserve">4.3 Sprint 2 — ESP32-S3 + TFLite Micro</w:t>
      </w:r>
    </w:p>
    <w:p>
      <w:pPr>
        <w:spacing w:line="360"/>
      </w:pPr>
      <w:r>
        <w:rPr>
          <w:rFonts w:ascii="Times New Roman" w:cs="Times New Roman" w:eastAsia="Times New Roman" w:hAnsi="Times New Roman"/>
          <w:sz w:val="24"/>
          <w:szCs w:val="24"/>
        </w:rPr>
        <w:t xml:space="preserve">Modelo integrado como array C. Benchmark: 10/10 corretas, 692 ms latência média, 200 KB arena PSRAM. MQTT publicado com WiFi ativo simultaneamente.</w:t>
      </w:r>
    </w:p>
    <w:p>
      <w:pPr>
        <w:spacing w:line="3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Métrica</w:t>
            </w:r>
          </w:p>
        </w:tc>
        <w:tc>
          <w:tcPr>
            <w:tcW w:type="dxa" w:w="4535"/>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Valor</w:t>
            </w:r>
          </w:p>
        </w:tc>
      </w:tr>
      <w:tr>
        <w:tc>
          <w:tcPr>
            <w:tcW w:type="dxa" w:w="453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Acurácia</w:t>
            </w:r>
          </w:p>
        </w:tc>
        <w:tc>
          <w:tcPr>
            <w:tcW w:type="dxa" w:w="453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10/10 = 100%</w:t>
            </w:r>
          </w:p>
        </w:tc>
      </w:tr>
      <w:tr>
        <w:tc>
          <w:tcPr>
            <w:tcW w:type="dxa" w:w="453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Latência média</w:t>
            </w:r>
          </w:p>
        </w:tc>
        <w:tc>
          <w:tcPr>
            <w:tcW w:type="dxa" w:w="453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692 ms</w:t>
            </w:r>
          </w:p>
        </w:tc>
      </w:tr>
      <w:tr>
        <w:tc>
          <w:tcPr>
            <w:tcW w:type="dxa" w:w="453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Desvio padrão</w:t>
            </w:r>
          </w:p>
        </w:tc>
        <w:tc>
          <w:tcPr>
            <w:tcW w:type="dxa" w:w="453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±1 ms</w:t>
            </w:r>
          </w:p>
        </w:tc>
      </w:tr>
      <w:tr>
        <w:tc>
          <w:tcPr>
            <w:tcW w:type="dxa" w:w="453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Arena PSRAM</w:t>
            </w:r>
          </w:p>
        </w:tc>
        <w:tc>
          <w:tcPr>
            <w:tcW w:type="dxa" w:w="453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200 KB / 512 KB (39%)</w:t>
            </w:r>
          </w:p>
        </w:tc>
      </w:tr>
      <w:tr>
        <w:tc>
          <w:tcPr>
            <w:tcW w:type="dxa" w:w="453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RAM livre</w:t>
            </w:r>
          </w:p>
        </w:tc>
        <w:tc>
          <w:tcPr>
            <w:tcW w:type="dxa" w:w="453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290 KB</w:t>
            </w:r>
          </w:p>
        </w:tc>
      </w:tr>
    </w:tbl>
    <w:p>
      <w:pPr>
        <w:pStyle w:val="Heading2"/>
        <w:spacing w:after="180" w:before="360" w:line="360"/>
      </w:pPr>
      <w:r>
        <w:rPr>
          <w:rFonts w:ascii="Times New Roman" w:cs="Times New Roman" w:eastAsia="Times New Roman" w:hAnsi="Times New Roman"/>
          <w:b/>
          <w:bCs/>
          <w:sz w:val="26"/>
          <w:szCs w:val="26"/>
        </w:rPr>
        <w:t xml:space="preserve">4.4 Sprint 3 — Flutter + Experimentos</w:t>
      </w:r>
    </w:p>
    <w:p>
      <w:pPr>
        <w:spacing w:line="360"/>
      </w:pPr>
      <w:r>
        <w:rPr>
          <w:rFonts w:ascii="Times New Roman" w:cs="Times New Roman" w:eastAsia="Times New Roman" w:hAnsi="Times New Roman"/>
          <w:sz w:val="24"/>
          <w:szCs w:val="24"/>
        </w:rPr>
        <w:t xml:space="preserve">App Flutter com 12 telas. Django containerizado e deployado no Railway. Experimento Edge vs Cloud realizado. Pipeline IoT: ESP32 → HiveMQ Cloud → Railway → PostgreSQL → Flutter.</w:t>
      </w:r>
    </w:p>
    <w:p>
      <w:r>
        <w:br w:type="page"/>
      </w:r>
    </w:p>
    <w:p>
      <w:pPr>
        <w:pStyle w:val="Heading1"/>
        <w:spacing w:after="240" w:before="480" w:line="360"/>
      </w:pPr>
      <w:r>
        <w:rPr>
          <w:rFonts w:ascii="Times New Roman" w:cs="Times New Roman" w:eastAsia="Times New Roman" w:hAnsi="Times New Roman"/>
          <w:b/>
          <w:bCs/>
          <w:sz w:val="28"/>
          <w:szCs w:val="28"/>
        </w:rPr>
        <w:t xml:space="preserve">5. RESULTADOS E DISCUSSÃO</w:t>
      </w:r>
    </w:p>
    <w:p>
      <w:pPr>
        <w:pStyle w:val="Heading2"/>
        <w:spacing w:after="180" w:before="360" w:line="360"/>
      </w:pPr>
      <w:r>
        <w:rPr>
          <w:rFonts w:ascii="Times New Roman" w:cs="Times New Roman" w:eastAsia="Times New Roman" w:hAnsi="Times New Roman"/>
          <w:b/>
          <w:bCs/>
          <w:sz w:val="26"/>
          <w:szCs w:val="26"/>
        </w:rPr>
        <w:t xml:space="preserve">5.1 Experimento de Treinamento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Métrica</w:t>
            </w:r>
          </w:p>
        </w:tc>
        <w:tc>
          <w:tcPr>
            <w:tcW w:type="dxa" w:w="1814"/>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Exp A FP32</w:t>
            </w:r>
          </w:p>
        </w:tc>
        <w:tc>
          <w:tcPr>
            <w:tcW w:type="dxa" w:w="1814"/>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Exp A INT8</w:t>
            </w:r>
          </w:p>
        </w:tc>
        <w:tc>
          <w:tcPr>
            <w:tcW w:type="dxa" w:w="1814"/>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Exp B INT8</w:t>
            </w:r>
          </w:p>
        </w:tc>
        <w:tc>
          <w:tcPr>
            <w:tcW w:type="dxa" w:w="1814"/>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Exp E INT8</w:t>
            </w:r>
          </w:p>
        </w:tc>
      </w:tr>
      <w:tr>
        <w:tc>
          <w:tcPr>
            <w:tcW w:type="dxa" w:w="18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Acurácia val</w:t>
            </w:r>
          </w:p>
        </w:tc>
        <w:tc>
          <w:tcPr>
            <w:tcW w:type="dxa" w:w="18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92,5%</w:t>
            </w:r>
          </w:p>
        </w:tc>
        <w:tc>
          <w:tcPr>
            <w:tcW w:type="dxa" w:w="18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62,0%</w:t>
            </w:r>
          </w:p>
        </w:tc>
        <w:tc>
          <w:tcPr>
            <w:tcW w:type="dxa" w:w="18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97,79%</w:t>
            </w:r>
          </w:p>
        </w:tc>
        <w:tc>
          <w:tcPr>
            <w:tcW w:type="dxa" w:w="18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98,43%</w:t>
            </w:r>
          </w:p>
        </w:tc>
      </w:tr>
      <w:tr>
        <w:tc>
          <w:tcPr>
            <w:tcW w:type="dxa" w:w="18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Tamanho</w:t>
            </w:r>
          </w:p>
        </w:tc>
        <w:tc>
          <w:tcPr>
            <w:tcW w:type="dxa" w:w="18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1.637 KB</w:t>
            </w:r>
          </w:p>
        </w:tc>
        <w:tc>
          <w:tcPr>
            <w:tcW w:type="dxa" w:w="18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547 KB</w:t>
            </w:r>
          </w:p>
        </w:tc>
        <w:tc>
          <w:tcPr>
            <w:tcW w:type="dxa" w:w="18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639 KB</w:t>
            </w:r>
          </w:p>
        </w:tc>
        <w:tc>
          <w:tcPr>
            <w:tcW w:type="dxa" w:w="18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638 KB</w:t>
            </w:r>
          </w:p>
        </w:tc>
      </w:tr>
      <w:tr>
        <w:tc>
          <w:tcPr>
            <w:tcW w:type="dxa" w:w="18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Calibração INT8</w:t>
            </w:r>
          </w:p>
        </w:tc>
        <w:tc>
          <w:tcPr>
            <w:tcW w:type="dxa" w:w="18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Não</w:t>
            </w:r>
          </w:p>
        </w:tc>
        <w:tc>
          <w:tcPr>
            <w:tcW w:type="dxa" w:w="18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Não</w:t>
            </w:r>
          </w:p>
        </w:tc>
        <w:tc>
          <w:tcPr>
            <w:tcW w:type="dxa" w:w="18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Sim (50 batches)</w:t>
            </w:r>
          </w:p>
        </w:tc>
        <w:tc>
          <w:tcPr>
            <w:tcW w:type="dxa" w:w="18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Sim</w:t>
            </w:r>
          </w:p>
        </w:tc>
      </w:tr>
    </w:tbl>
    <w:p>
      <w:pPr>
        <w:spacing w:line="360"/>
      </w:pPr>
    </w:p>
    <w:p>
      <w:pPr>
        <w:spacing w:line="360"/>
      </w:pPr>
      <w:r>
        <w:rPr>
          <w:rFonts w:ascii="Times New Roman" w:cs="Times New Roman" w:eastAsia="Times New Roman" w:hAnsi="Times New Roman"/>
          <w:sz w:val="24"/>
          <w:szCs w:val="24"/>
        </w:rPr>
        <w:t xml:space="preserve">A quantização INT8 sem representative_dataset causou queda de 30,5 pp (Exp A). Com calibração adequada (Exp B/E), a queda foi eliminada. Focal Loss (Exp E) melhorou robustez em campo (+16 pp no Tomato-Village vs Exp D).</w:t>
      </w:r>
    </w:p>
    <w:p>
      <w:pPr>
        <w:pStyle w:val="Heading2"/>
        <w:spacing w:after="180" w:before="360" w:line="360"/>
      </w:pPr>
      <w:r>
        <w:rPr>
          <w:rFonts w:ascii="Times New Roman" w:cs="Times New Roman" w:eastAsia="Times New Roman" w:hAnsi="Times New Roman"/>
          <w:b/>
          <w:bCs/>
          <w:sz w:val="26"/>
          <w:szCs w:val="26"/>
        </w:rPr>
        <w:t xml:space="preserve">5.2 Latência de Inferência</w:t>
      </w:r>
    </w:p>
    <w:p>
      <w:pPr>
        <w:spacing w:line="360"/>
      </w:pPr>
      <w:r>
        <w:rPr>
          <w:rFonts w:ascii="Times New Roman" w:cs="Times New Roman" w:eastAsia="Times New Roman" w:hAnsi="Times New Roman"/>
          <w:sz w:val="24"/>
          <w:szCs w:val="24"/>
        </w:rPr>
        <w:t xml:space="preserve">Latência real medida com esp_timer_get_time() no ESP32-S3: 692 ms (±1 ms). Meta de 300 ms não atingida, porém 2x mais rápido que estimativa Edge Impulse (1.365 ms). Viável para uso agrícola: interação humana (posicionar folha) consome mais tempo que a inferência.</w:t>
      </w:r>
    </w:p>
    <w:p>
      <w:pPr>
        <w:pStyle w:val="Heading2"/>
        <w:spacing w:after="180" w:before="360" w:line="360"/>
      </w:pPr>
      <w:r>
        <w:rPr>
          <w:rFonts w:ascii="Times New Roman" w:cs="Times New Roman" w:eastAsia="Times New Roman" w:hAnsi="Times New Roman"/>
          <w:b/>
          <w:bCs/>
          <w:sz w:val="26"/>
          <w:szCs w:val="26"/>
        </w:rPr>
        <w:t xml:space="preserve">5.3 Validação em Campo Real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Dataset</w:t>
            </w:r>
          </w:p>
        </w:tc>
        <w:tc>
          <w:tcPr>
            <w:tcW w:type="dxa" w:w="226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Origem</w:t>
            </w:r>
          </w:p>
        </w:tc>
        <w:tc>
          <w:tcPr>
            <w:tcW w:type="dxa" w:w="226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Imagens</w:t>
            </w:r>
          </w:p>
        </w:tc>
        <w:tc>
          <w:tcPr>
            <w:tcW w:type="dxa" w:w="2267"/>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Acurácia Exp E</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PlantDoc test-only</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EUA/Europa</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69</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30,43%</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Tomato-Village</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Rajasthan, Índia</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217</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27,65%</w:t>
            </w:r>
          </w:p>
        </w:tc>
      </w:tr>
      <w:tr>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Daffodil BD</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Bangladesh</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1.616</w:t>
            </w:r>
          </w:p>
        </w:tc>
        <w:tc>
          <w:tcPr>
            <w:tcW w:type="dxa" w:w="2267"/>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18,13%</w:t>
            </w:r>
          </w:p>
        </w:tc>
      </w:tr>
    </w:tbl>
    <w:p>
      <w:pPr>
        <w:spacing w:line="360"/>
      </w:pPr>
    </w:p>
    <w:p>
      <w:pPr>
        <w:spacing w:line="360"/>
      </w:pPr>
      <w:r>
        <w:rPr>
          <w:rFonts w:ascii="Times New Roman" w:cs="Times New Roman" w:eastAsia="Times New Roman" w:hAnsi="Times New Roman"/>
          <w:sz w:val="24"/>
          <w:szCs w:val="24"/>
        </w:rPr>
        <w:t xml:space="preserve">Gap laboratório-campo (98,43% → ~20-30%) consistente com literatura (Mohanty 2016, Singh 2020). Causa: modelo aprendeu fundo controlado como feature discriminativa.</w:t>
      </w:r>
    </w:p>
    <w:p>
      <w:pPr>
        <w:pStyle w:val="Heading2"/>
        <w:spacing w:after="180" w:before="360" w:line="360"/>
      </w:pPr>
      <w:r>
        <w:rPr>
          <w:rFonts w:ascii="Times New Roman" w:cs="Times New Roman" w:eastAsia="Times New Roman" w:hAnsi="Times New Roman"/>
          <w:b/>
          <w:bCs/>
          <w:sz w:val="26"/>
          <w:szCs w:val="26"/>
        </w:rPr>
        <w:t xml:space="preserve">5.4 Experimento Edge vs Cloud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Métrica</w:t>
            </w:r>
          </w:p>
        </w:tc>
        <w:tc>
          <w:tcPr>
            <w:tcW w:type="dxa" w:w="3023"/>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ESP32-S3 (Edge)</w:t>
            </w:r>
          </w:p>
        </w:tc>
        <w:tc>
          <w:tcPr>
            <w:tcW w:type="dxa" w:w="3023"/>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Django/PC (Cloud)</w:t>
            </w:r>
          </w:p>
        </w:tc>
      </w:tr>
      <w:tr>
        <w:tc>
          <w:tcPr>
            <w:tcW w:type="dxa" w:w="302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Acurácia</w:t>
            </w:r>
          </w:p>
        </w:tc>
        <w:tc>
          <w:tcPr>
            <w:tcW w:type="dxa" w:w="302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10/10 (100%)</w:t>
            </w:r>
          </w:p>
        </w:tc>
        <w:tc>
          <w:tcPr>
            <w:tcW w:type="dxa" w:w="302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9/10 (90%)</w:t>
            </w:r>
          </w:p>
        </w:tc>
      </w:tr>
      <w:tr>
        <w:tc>
          <w:tcPr>
            <w:tcW w:type="dxa" w:w="302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Latência</w:t>
            </w:r>
          </w:p>
        </w:tc>
        <w:tc>
          <w:tcPr>
            <w:tcW w:type="dxa" w:w="302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692 ms</w:t>
            </w:r>
          </w:p>
        </w:tc>
        <w:tc>
          <w:tcPr>
            <w:tcW w:type="dxa" w:w="302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306 ms / 2.333 ms HTTP</w:t>
            </w:r>
          </w:p>
        </w:tc>
      </w:tr>
      <w:tr>
        <w:tc>
          <w:tcPr>
            <w:tcW w:type="dxa" w:w="302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Offline</w:t>
            </w:r>
          </w:p>
        </w:tc>
        <w:tc>
          <w:tcPr>
            <w:tcW w:type="dxa" w:w="302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Sim</w:t>
            </w:r>
          </w:p>
        </w:tc>
        <w:tc>
          <w:tcPr>
            <w:tcW w:type="dxa" w:w="302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Não</w:t>
            </w:r>
          </w:p>
        </w:tc>
      </w:tr>
      <w:tr>
        <w:tc>
          <w:tcPr>
            <w:tcW w:type="dxa" w:w="302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Privacidade</w:t>
            </w:r>
          </w:p>
        </w:tc>
        <w:tc>
          <w:tcPr>
            <w:tcW w:type="dxa" w:w="302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Total (local)</w:t>
            </w:r>
          </w:p>
        </w:tc>
        <w:tc>
          <w:tcPr>
            <w:tcW w:type="dxa" w:w="302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Imagem transmitida</w:t>
            </w:r>
          </w:p>
        </w:tc>
      </w:tr>
      <w:tr>
        <w:tc>
          <w:tcPr>
            <w:tcW w:type="dxa" w:w="302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Custo</w:t>
            </w:r>
          </w:p>
        </w:tc>
        <w:tc>
          <w:tcPr>
            <w:tcW w:type="dxa" w:w="302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~R$80</w:t>
            </w:r>
          </w:p>
        </w:tc>
        <w:tc>
          <w:tcPr>
            <w:tcW w:type="dxa" w:w="302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0"/>
                <w:szCs w:val="20"/>
              </w:rPr>
              <w:t xml:space="preserve">Servidor</w:t>
            </w:r>
          </w:p>
        </w:tc>
      </w:tr>
    </w:tbl>
    <w:p>
      <w:r>
        <w:br w:type="page"/>
      </w:r>
    </w:p>
    <w:p>
      <w:pPr>
        <w:pStyle w:val="Heading1"/>
        <w:spacing w:after="240" w:before="480" w:line="360"/>
      </w:pPr>
      <w:r>
        <w:rPr>
          <w:rFonts w:ascii="Times New Roman" w:cs="Times New Roman" w:eastAsia="Times New Roman" w:hAnsi="Times New Roman"/>
          <w:b/>
          <w:bCs/>
          <w:sz w:val="28"/>
          <w:szCs w:val="28"/>
        </w:rPr>
        <w:t xml:space="preserve">6. CONCLUSÃO</w:t>
      </w:r>
    </w:p>
    <w:p>
      <w:pPr>
        <w:pStyle w:val="Heading2"/>
        <w:spacing w:after="180" w:before="360" w:line="360"/>
      </w:pPr>
      <w:r>
        <w:rPr>
          <w:rFonts w:ascii="Times New Roman" w:cs="Times New Roman" w:eastAsia="Times New Roman" w:hAnsi="Times New Roman"/>
          <w:b/>
          <w:bCs/>
          <w:sz w:val="26"/>
          <w:szCs w:val="26"/>
        </w:rPr>
        <w:t xml:space="preserve">6.1 Verificação da Hipótese</w:t>
      </w:r>
    </w:p>
    <w:p>
      <w:pPr>
        <w:spacing w:line="360"/>
      </w:pPr>
      <w:r>
        <w:rPr>
          <w:rFonts w:ascii="Times New Roman" w:cs="Times New Roman" w:eastAsia="Times New Roman" w:hAnsi="Times New Roman"/>
          <w:sz w:val="24"/>
          <w:szCs w:val="24"/>
        </w:rPr>
        <w:t xml:space="preserve">1. Acurácia &gt; 85%: ATINGIDA — 98,43% no PlantVillage test set.</w:t>
      </w:r>
    </w:p>
    <w:p>
      <w:pPr>
        <w:spacing w:line="360"/>
      </w:pPr>
      <w:r>
        <w:rPr>
          <w:rFonts w:ascii="Times New Roman" w:cs="Times New Roman" w:eastAsia="Times New Roman" w:hAnsi="Times New Roman"/>
          <w:sz w:val="24"/>
          <w:szCs w:val="24"/>
        </w:rPr>
        <w:t xml:space="preserve">2. Latência &lt; 300 ms: NÃO ATINGIDA — 692 ms medidos. Contudo, viável para uso agrícola e 2x mais rápido que estimativa Edge Impulse.</w:t>
      </w:r>
    </w:p>
    <w:p>
      <w:pPr>
        <w:spacing w:line="360"/>
      </w:pPr>
      <w:r>
        <w:rPr>
          <w:rFonts w:ascii="Times New Roman" w:cs="Times New Roman" w:eastAsia="Times New Roman" w:hAnsi="Times New Roman"/>
          <w:sz w:val="24"/>
          <w:szCs w:val="24"/>
        </w:rPr>
        <w:t xml:space="preserve">3. Custo &lt; R$200: ATINGIDA — ESP32-S3 (~R$80) + sensores (~R$50) = ~R$130.</w:t>
      </w:r>
    </w:p>
    <w:p>
      <w:pPr>
        <w:pStyle w:val="Heading2"/>
        <w:spacing w:after="180" w:before="360" w:line="360"/>
      </w:pPr>
      <w:r>
        <w:rPr>
          <w:rFonts w:ascii="Times New Roman" w:cs="Times New Roman" w:eastAsia="Times New Roman" w:hAnsi="Times New Roman"/>
          <w:b/>
          <w:bCs/>
          <w:sz w:val="26"/>
          <w:szCs w:val="26"/>
        </w:rPr>
        <w:t xml:space="preserve">6.2 Contribuições</w:t>
      </w:r>
    </w:p>
    <w:p>
      <w:pPr>
        <w:spacing w:line="360"/>
      </w:pPr>
      <w:r>
        <w:rPr>
          <w:rFonts w:ascii="Times New Roman" w:cs="Times New Roman" w:eastAsia="Times New Roman" w:hAnsi="Times New Roman"/>
          <w:sz w:val="24"/>
          <w:szCs w:val="24"/>
        </w:rPr>
        <w:t xml:space="preserve">1. Pipeline reproduzível: PlantVillage → MobileNetV2 INT8 638 KB → ESP32-S3</w:t>
      </w:r>
    </w:p>
    <w:p>
      <w:pPr>
        <w:spacing w:line="360"/>
      </w:pPr>
      <w:r>
        <w:rPr>
          <w:rFonts w:ascii="Times New Roman" w:cs="Times New Roman" w:eastAsia="Times New Roman" w:hAnsi="Times New Roman"/>
          <w:sz w:val="24"/>
          <w:szCs w:val="24"/>
        </w:rPr>
        <w:t xml:space="preserve">2. Análise quantitativa do impacto da calibração INT8 (+36 pp)</w:t>
      </w:r>
    </w:p>
    <w:p>
      <w:pPr>
        <w:spacing w:line="360"/>
      </w:pPr>
      <w:r>
        <w:rPr>
          <w:rFonts w:ascii="Times New Roman" w:cs="Times New Roman" w:eastAsia="Times New Roman" w:hAnsi="Times New Roman"/>
          <w:sz w:val="24"/>
          <w:szCs w:val="24"/>
        </w:rPr>
        <w:t xml:space="preserve">3. Benchmark em 3 datasets de campo real (PlantDoc, Tomato-Village, Daffodil BD)</w:t>
      </w:r>
    </w:p>
    <w:p>
      <w:pPr>
        <w:spacing w:line="360"/>
      </w:pPr>
      <w:r>
        <w:rPr>
          <w:rFonts w:ascii="Times New Roman" w:cs="Times New Roman" w:eastAsia="Times New Roman" w:hAnsi="Times New Roman"/>
          <w:sz w:val="24"/>
          <w:szCs w:val="24"/>
        </w:rPr>
        <w:t xml:space="preserve">4. Documentação de resultado negativo: augmentation sintética ineficaz</w:t>
      </w:r>
    </w:p>
    <w:p>
      <w:pPr>
        <w:spacing w:line="360"/>
      </w:pPr>
      <w:r>
        <w:rPr>
          <w:rFonts w:ascii="Times New Roman" w:cs="Times New Roman" w:eastAsia="Times New Roman" w:hAnsi="Times New Roman"/>
          <w:sz w:val="24"/>
          <w:szCs w:val="24"/>
        </w:rPr>
        <w:t xml:space="preserve">5. Experimento Edge vs Cloud com dados reais de latência</w:t>
      </w:r>
    </w:p>
    <w:p>
      <w:pPr>
        <w:spacing w:line="360"/>
      </w:pPr>
      <w:r>
        <w:rPr>
          <w:rFonts w:ascii="Times New Roman" w:cs="Times New Roman" w:eastAsia="Times New Roman" w:hAnsi="Times New Roman"/>
          <w:sz w:val="24"/>
          <w:szCs w:val="24"/>
        </w:rPr>
        <w:t xml:space="preserve">6. Sistema completo: TinyML + IoT + REST + mobile — código aberto</w:t>
      </w:r>
    </w:p>
    <w:p>
      <w:pPr>
        <w:spacing w:line="360"/>
      </w:pPr>
      <w:r>
        <w:rPr>
          <w:rFonts w:ascii="Times New Roman" w:cs="Times New Roman" w:eastAsia="Times New Roman" w:hAnsi="Times New Roman"/>
          <w:sz w:val="24"/>
          <w:szCs w:val="24"/>
        </w:rPr>
        <w:t xml:space="preserve">7. Focal Loss (Exp E) como estratégia para robustez de campo (+16 pp)</w:t>
      </w:r>
    </w:p>
    <w:p>
      <w:pPr>
        <w:pStyle w:val="Heading2"/>
        <w:spacing w:after="180" w:before="360" w:line="360"/>
      </w:pPr>
      <w:r>
        <w:rPr>
          <w:rFonts w:ascii="Times New Roman" w:cs="Times New Roman" w:eastAsia="Times New Roman" w:hAnsi="Times New Roman"/>
          <w:b/>
          <w:bCs/>
          <w:sz w:val="26"/>
          <w:szCs w:val="26"/>
        </w:rPr>
        <w:t xml:space="preserve">6.3 Trabalhos Futuros</w:t>
      </w:r>
    </w:p>
    <w:p>
      <w:pPr>
        <w:spacing w:line="360"/>
      </w:pPr>
      <w:r>
        <w:rPr>
          <w:rFonts w:ascii="Times New Roman" w:cs="Times New Roman" w:eastAsia="Times New Roman" w:hAnsi="Times New Roman"/>
          <w:sz w:val="24"/>
          <w:szCs w:val="24"/>
        </w:rPr>
        <w:t xml:space="preserve">1. Coleta de dataset brasileiro (Sorriso-MT) para fine-tuning local</w:t>
      </w:r>
    </w:p>
    <w:p>
      <w:pPr>
        <w:spacing w:line="360"/>
      </w:pPr>
      <w:r>
        <w:rPr>
          <w:rFonts w:ascii="Times New Roman" w:cs="Times New Roman" w:eastAsia="Times New Roman" w:hAnsi="Times New Roman"/>
          <w:sz w:val="24"/>
          <w:szCs w:val="24"/>
        </w:rPr>
        <w:t xml:space="preserve">2. Integração câmera OV5640 para captura real</w:t>
      </w:r>
    </w:p>
    <w:p>
      <w:pPr>
        <w:spacing w:line="360"/>
      </w:pPr>
      <w:r>
        <w:rPr>
          <w:rFonts w:ascii="Times New Roman" w:cs="Times New Roman" w:eastAsia="Times New Roman" w:hAnsi="Times New Roman"/>
          <w:sz w:val="24"/>
          <w:szCs w:val="24"/>
        </w:rPr>
        <w:t xml:space="preserve">3. Domain adaptation (DANN) sem labels de campo</w:t>
      </w:r>
    </w:p>
    <w:p>
      <w:pPr>
        <w:spacing w:line="360"/>
      </w:pPr>
      <w:r>
        <w:rPr>
          <w:rFonts w:ascii="Times New Roman" w:cs="Times New Roman" w:eastAsia="Times New Roman" w:hAnsi="Times New Roman"/>
          <w:sz w:val="24"/>
          <w:szCs w:val="24"/>
        </w:rPr>
        <w:t xml:space="preserve">4. Federated learning para atualização sem transmitir imagens</w:t>
      </w:r>
    </w:p>
    <w:p>
      <w:pPr>
        <w:spacing w:line="360"/>
      </w:pPr>
      <w:r>
        <w:rPr>
          <w:rFonts w:ascii="Times New Roman" w:cs="Times New Roman" w:eastAsia="Times New Roman" w:hAnsi="Times New Roman"/>
          <w:sz w:val="24"/>
          <w:szCs w:val="24"/>
        </w:rPr>
        <w:t xml:space="preserve">5. Validação com produtores em cooperativas de Sorriso-MT</w:t>
      </w:r>
    </w:p>
    <w:p>
      <w:r>
        <w:br w:type="page"/>
      </w:r>
    </w:p>
    <w:p>
      <w:pPr>
        <w:pStyle w:val="Heading1"/>
        <w:spacing w:after="240" w:before="480" w:line="360"/>
      </w:pPr>
      <w:r>
        <w:rPr>
          <w:rFonts w:ascii="Times New Roman" w:cs="Times New Roman" w:eastAsia="Times New Roman" w:hAnsi="Times New Roman"/>
          <w:b/>
          <w:bCs/>
          <w:sz w:val="28"/>
          <w:szCs w:val="28"/>
        </w:rPr>
        <w:t xml:space="preserve">7. REFERÊNCIAS</w:t>
      </w:r>
    </w:p>
    <w:p>
      <w:pPr>
        <w:spacing w:line="360"/>
      </w:pPr>
      <w:r>
        <w:rPr>
          <w:rFonts w:ascii="Times New Roman" w:cs="Times New Roman" w:eastAsia="Times New Roman" w:hAnsi="Times New Roman"/>
          <w:sz w:val="24"/>
          <w:szCs w:val="24"/>
        </w:rPr>
        <w:t xml:space="preserve">AGRIOS, G. N. Plant Pathology. 5. ed. Elsevier Academic Press, 2005.</w:t>
      </w:r>
    </w:p>
    <w:p>
      <w:pPr>
        <w:spacing w:line="360"/>
      </w:pPr>
    </w:p>
    <w:p>
      <w:pPr>
        <w:spacing w:line="360"/>
      </w:pPr>
      <w:r>
        <w:rPr>
          <w:rFonts w:ascii="Times New Roman" w:cs="Times New Roman" w:eastAsia="Times New Roman" w:hAnsi="Times New Roman"/>
          <w:sz w:val="24"/>
          <w:szCs w:val="24"/>
        </w:rPr>
        <w:t xml:space="preserve">BARBEDO, J. G. A. Plant disease identification from individual lesions and spots using deep learning. Biosystems Engineering, v. 180, p. 96-107, 2019.</w:t>
      </w:r>
    </w:p>
    <w:p>
      <w:pPr>
        <w:spacing w:line="360"/>
      </w:pPr>
    </w:p>
    <w:p>
      <w:pPr>
        <w:spacing w:line="360"/>
      </w:pPr>
      <w:r>
        <w:rPr>
          <w:rFonts w:ascii="Times New Roman" w:cs="Times New Roman" w:eastAsia="Times New Roman" w:hAnsi="Times New Roman"/>
          <w:sz w:val="24"/>
          <w:szCs w:val="24"/>
        </w:rPr>
        <w:t xml:space="preserve">EMBRAPA HORTALIÇAS. Doenças do Tomateiro. Disponível em: https://www.embrapa.br/hortalicas/tomate/doencas.</w:t>
      </w:r>
    </w:p>
    <w:p>
      <w:pPr>
        <w:spacing w:line="360"/>
      </w:pPr>
    </w:p>
    <w:p>
      <w:pPr>
        <w:spacing w:line="360"/>
      </w:pPr>
      <w:r>
        <w:rPr>
          <w:rFonts w:ascii="Times New Roman" w:cs="Times New Roman" w:eastAsia="Times New Roman" w:hAnsi="Times New Roman"/>
          <w:sz w:val="24"/>
          <w:szCs w:val="24"/>
        </w:rPr>
        <w:t xml:space="preserve">FAO. FAOSTAT — Production: Crops and livestock products. 2024.</w:t>
      </w:r>
    </w:p>
    <w:p>
      <w:pPr>
        <w:spacing w:line="360"/>
      </w:pPr>
    </w:p>
    <w:p>
      <w:pPr>
        <w:spacing w:line="360"/>
      </w:pPr>
      <w:r>
        <w:rPr>
          <w:rFonts w:ascii="Times New Roman" w:cs="Times New Roman" w:eastAsia="Times New Roman" w:hAnsi="Times New Roman"/>
          <w:sz w:val="24"/>
          <w:szCs w:val="24"/>
        </w:rPr>
        <w:t xml:space="preserve">HOWARD, A. G. et al. MobileNets: Efficient Convolutional Neural Networks for Mobile Vision Applications. arXiv, 2017.</w:t>
      </w:r>
    </w:p>
    <w:p>
      <w:pPr>
        <w:spacing w:line="360"/>
      </w:pPr>
    </w:p>
    <w:p>
      <w:pPr>
        <w:spacing w:line="360"/>
      </w:pPr>
      <w:r>
        <w:rPr>
          <w:rFonts w:ascii="Times New Roman" w:cs="Times New Roman" w:eastAsia="Times New Roman" w:hAnsi="Times New Roman"/>
          <w:sz w:val="24"/>
          <w:szCs w:val="24"/>
        </w:rPr>
        <w:t xml:space="preserve">HUGHES, D.; SALATHÉ, M. An open access repository of images on plant health. arXiv, 2015.</w:t>
      </w:r>
    </w:p>
    <w:p>
      <w:pPr>
        <w:spacing w:line="360"/>
      </w:pPr>
    </w:p>
    <w:p>
      <w:pPr>
        <w:spacing w:line="360"/>
      </w:pPr>
      <w:r>
        <w:rPr>
          <w:rFonts w:ascii="Times New Roman" w:cs="Times New Roman" w:eastAsia="Times New Roman" w:hAnsi="Times New Roman"/>
          <w:sz w:val="24"/>
          <w:szCs w:val="24"/>
        </w:rPr>
        <w:t xml:space="preserve">JACOB, B. et al. Quantization and Training of Neural Networks for Efficient Integer-Arithmetic-Only Inference. CVPR, 2018.</w:t>
      </w:r>
    </w:p>
    <w:p>
      <w:pPr>
        <w:spacing w:line="360"/>
      </w:pPr>
    </w:p>
    <w:p>
      <w:pPr>
        <w:spacing w:line="360"/>
      </w:pPr>
      <w:r>
        <w:rPr>
          <w:rFonts w:ascii="Times New Roman" w:cs="Times New Roman" w:eastAsia="Times New Roman" w:hAnsi="Times New Roman"/>
          <w:sz w:val="24"/>
          <w:szCs w:val="24"/>
        </w:rPr>
        <w:t xml:space="preserve">LIN, T. Y. et al. Focal Loss for Dense Object Detection. ICCV, 2017.</w:t>
      </w:r>
    </w:p>
    <w:p>
      <w:pPr>
        <w:spacing w:line="360"/>
      </w:pPr>
    </w:p>
    <w:p>
      <w:pPr>
        <w:spacing w:line="360"/>
      </w:pPr>
      <w:r>
        <w:rPr>
          <w:rFonts w:ascii="Times New Roman" w:cs="Times New Roman" w:eastAsia="Times New Roman" w:hAnsi="Times New Roman"/>
          <w:sz w:val="24"/>
          <w:szCs w:val="24"/>
        </w:rPr>
        <w:t xml:space="preserve">MOHANTY, S. P.; HUGHES, D. P.; SALATHÉ, M. Using Deep Learning for Image-Based Plant Disease Detection. Frontiers in Plant Science, v. 7, 2016.</w:t>
      </w:r>
    </w:p>
    <w:p>
      <w:pPr>
        <w:spacing w:line="360"/>
      </w:pPr>
    </w:p>
    <w:p>
      <w:pPr>
        <w:spacing w:line="360"/>
      </w:pPr>
      <w:r>
        <w:rPr>
          <w:rFonts w:ascii="Times New Roman" w:cs="Times New Roman" w:eastAsia="Times New Roman" w:hAnsi="Times New Roman"/>
          <w:sz w:val="24"/>
          <w:szCs w:val="24"/>
        </w:rPr>
        <w:t xml:space="preserve">SANDLER, M. et al. MobileNetV2: Inverted Residuals and Linear Bottlenecks. CVPR, 2018.</w:t>
      </w:r>
    </w:p>
    <w:p>
      <w:pPr>
        <w:spacing w:line="360"/>
      </w:pPr>
    </w:p>
    <w:p>
      <w:pPr>
        <w:spacing w:line="360"/>
      </w:pPr>
      <w:r>
        <w:rPr>
          <w:rFonts w:ascii="Times New Roman" w:cs="Times New Roman" w:eastAsia="Times New Roman" w:hAnsi="Times New Roman"/>
          <w:sz w:val="24"/>
          <w:szCs w:val="24"/>
        </w:rPr>
        <w:t xml:space="preserve">SINGH, D. et al. PlantDoc: A Dataset for Visual Plant Disease Detection. ACM CODS-COMAD, 2020.</w:t>
      </w:r>
    </w:p>
    <w:p>
      <w:pPr>
        <w:spacing w:line="360"/>
      </w:pPr>
    </w:p>
    <w:p>
      <w:pPr>
        <w:spacing w:line="360"/>
      </w:pPr>
      <w:r>
        <w:rPr>
          <w:rFonts w:ascii="Times New Roman" w:cs="Times New Roman" w:eastAsia="Times New Roman" w:hAnsi="Times New Roman"/>
          <w:sz w:val="24"/>
          <w:szCs w:val="24"/>
        </w:rPr>
        <w:t xml:space="preserve">WARDEN, P.; SITUNAYAKE, D. TinyML: Machine Learning with TensorFlow Lite on Arduino and Ultra-Low-Power Microcontrollers. O'Reilly, 2019.</w:t>
      </w:r>
    </w:p>
    <w:p>
      <w:pPr>
        <w:spacing w:line="360"/>
      </w:pPr>
    </w:p>
    <w:p>
      <w:pPr>
        <w:spacing w:line="360"/>
      </w:pPr>
      <w:r>
        <w:rPr>
          <w:rFonts w:ascii="Times New Roman" w:cs="Times New Roman" w:eastAsia="Times New Roman" w:hAnsi="Times New Roman"/>
          <w:sz w:val="24"/>
          <w:szCs w:val="24"/>
        </w:rPr>
        <w:t xml:space="preserve">XU, M. et al. Plant disease recognition datasets in the age of deep learning. Frontiers in Plant Science, v. 15, 2024.</w:t>
      </w:r>
    </w:p>
    <w:p>
      <w:pPr>
        <w:spacing w:line="360"/>
      </w:pPr>
    </w:p>
    <w:p>
      <w:pPr>
        <w:spacing w:line="360"/>
      </w:pPr>
      <w:r>
        <w:rPr>
          <w:rFonts w:ascii="Times New Roman" w:cs="Times New Roman" w:eastAsia="Times New Roman" w:hAnsi="Times New Roman"/>
          <w:sz w:val="24"/>
          <w:szCs w:val="24"/>
        </w:rPr>
        <w:t xml:space="preserve">YOSINSKI, J. et al. How transferable are features in deep neural networks? NeurIPS, v. 27, 2014.</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2026-06-07T20:46:58.497Z</dcterms:created>
  <dcterms:modified xsi:type="dcterms:W3CDTF">2026-06-07T20:46:58.498Z</dcterms:modified>
</cp:coreProperties>
</file>

<file path=docProps/custom.xml><?xml version="1.0" encoding="utf-8"?>
<Properties xmlns="http://schemas.openxmlformats.org/officeDocument/2006/custom-properties" xmlns:vt="http://schemas.openxmlformats.org/officeDocument/2006/docPropsVTypes"/>
</file>