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Malgun Gothic" w:cs="Malgun Gothic" w:eastAsia="Malgun Gothic" w:hAnsi="Malgun Gothic"/>
          <w:b/>
          <w:bCs/>
          <w:color w:val="FFFFFF"/>
          <w:sz w:val="48"/>
          <w:szCs w:val="48"/>
        </w:rPr>
        <w:t xml:space="preserve">인디스워크(IN THIS WORK)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1A2E" w:val="clear"/>
            <w:tcMar>
              <w:top w:type="dxa" w:w="240"/>
              <w:left w:type="dxa" w:w="200"/>
              <w:bottom w:type="dxa" w:w="24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52"/>
                <w:szCs w:val="52"/>
              </w:rPr>
              <w:t xml:space="preserve">데이터분석 채용시장 분석 보고서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AACC"/>
                <w:sz w:val="22"/>
                <w:szCs w:val="22"/>
              </w:rPr>
              <w:t xml:space="preserve">인디스워크(IN THIS WORK) 전수 크롤링 분석 | 2026년 3월 22일</w:t>
            </w:r>
          </w:p>
        </w:tc>
      </w:tr>
    </w:tbl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5B5EA6"/>
                <w:sz w:val="20"/>
                <w:szCs w:val="20"/>
              </w:rPr>
              <w:t xml:space="preserve">수집 출처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https://inthiswork.com/data (데이터분석 카테고리)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5B5EA6"/>
                <w:sz w:val="20"/>
                <w:szCs w:val="20"/>
              </w:rPr>
              <w:t xml:space="preserve">수집 방법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Claude in Chrome 확장 · JavaScript fetch 병렬 크롤링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5B5EA6"/>
                <w:sz w:val="20"/>
                <w:szCs w:val="20"/>
              </w:rPr>
              <w:t xml:space="preserve">수집 기간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2026년 3월 22일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5B5EA6"/>
                <w:sz w:val="20"/>
                <w:szCs w:val="20"/>
              </w:rPr>
              <w:t xml:space="preserve">총 공고 수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317건 (13페이지 전수)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5B5EA6"/>
                <w:sz w:val="20"/>
                <w:szCs w:val="20"/>
              </w:rPr>
              <w:t xml:space="preserve">분석 도구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JavaScript · Python · reportlab · Chart.js</w:t>
            </w:r>
          </w:p>
        </w:tc>
      </w:tr>
    </w:tbl>
    <w:p>
      <w:pPr>
        <w:pBdr>
          <w:bottom w:val="single" w:color="DDDDDD" w:sz="4"/>
        </w:pBdr>
        <w:spacing w:after="200" w:before="200"/>
      </w:pP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A1A2E"/>
          <w:sz w:val="40"/>
          <w:szCs w:val="40"/>
        </w:rPr>
        <w:t xml:space="preserve">1. 핵심 지표 요약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E8E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B5EA6"/>
                <w:sz w:val="48"/>
                <w:szCs w:val="48"/>
              </w:rPr>
              <w:t xml:space="preserve">317건</w:t>
            </w:r>
          </w:p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수집 채용공고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888888"/>
                <w:sz w:val="17"/>
                <w:szCs w:val="17"/>
              </w:rPr>
              <w:t xml:space="preserve">전수 크롤링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E8E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B5EA6"/>
                <w:sz w:val="48"/>
                <w:szCs w:val="48"/>
              </w:rPr>
              <w:t xml:space="preserve">2.9개</w:t>
            </w:r>
          </w:p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공고당 평균 스킬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888888"/>
                <w:sz w:val="17"/>
                <w:szCs w:val="17"/>
              </w:rPr>
              <w:t xml:space="preserve">Python·SQL·통계 중심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E8E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B5EA6"/>
                <w:sz w:val="48"/>
                <w:szCs w:val="48"/>
              </w:rPr>
              <w:t xml:space="preserve">79.5%</w:t>
            </w:r>
          </w:p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서울 소재 비중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888888"/>
                <w:sz w:val="17"/>
                <w:szCs w:val="17"/>
              </w:rPr>
              <w:t xml:space="preserve">수도권 집중 현상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E8E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B5EA6"/>
                <w:sz w:val="48"/>
                <w:szCs w:val="48"/>
              </w:rPr>
              <w:t xml:space="preserve">87.7%</w:t>
            </w:r>
          </w:p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스타트업 비중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888888"/>
                <w:sz w:val="17"/>
                <w:szCs w:val="17"/>
              </w:rPr>
              <w:t xml:space="preserve">시장의 절대 다수</w:t>
            </w:r>
          </w:p>
        </w:tc>
      </w:tr>
      <w:tr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E8E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B5EA6"/>
                <w:sz w:val="48"/>
                <w:szCs w:val="48"/>
              </w:rPr>
              <w:t xml:space="preserve">37.5%</w:t>
            </w:r>
          </w:p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Python 요구 비율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888888"/>
                <w:sz w:val="17"/>
                <w:szCs w:val="17"/>
              </w:rPr>
              <w:t xml:space="preserve">119 / 317건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E8E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B5EA6"/>
                <w:sz w:val="48"/>
                <w:szCs w:val="48"/>
              </w:rPr>
              <w:t xml:space="preserve">31.5%</w:t>
            </w:r>
          </w:p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SQL 요구 비율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888888"/>
                <w:sz w:val="17"/>
                <w:szCs w:val="17"/>
              </w:rPr>
              <w:t xml:space="preserve">100 / 317건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E8E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B5EA6"/>
                <w:sz w:val="48"/>
                <w:szCs w:val="48"/>
              </w:rPr>
              <w:t xml:space="preserve">30.3%</w:t>
            </w:r>
          </w:p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신입·인턴 비중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888888"/>
                <w:sz w:val="17"/>
                <w:szCs w:val="17"/>
              </w:rPr>
              <w:t xml:space="preserve">진입 문턱 존재</w:t>
            </w:r>
          </w:p>
        </w:tc>
        <w:tc>
          <w:tcPr>
            <w:tcBorders>
              <w:top w:val="single" w:color="AAAACC" w:sz="1"/>
              <w:left w:val="single" w:color="AAAACC" w:sz="1"/>
              <w:bottom w:val="single" w:color="AAAACC" w:sz="1"/>
              <w:right w:val="single" w:color="AAAACC" w:sz="1"/>
            </w:tcBorders>
            <w:shd w:fill="E8E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B5EA6"/>
                <w:sz w:val="48"/>
                <w:szCs w:val="48"/>
              </w:rPr>
              <w:t xml:space="preserve">18.0%</w:t>
            </w:r>
          </w:p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20"/>
                <w:szCs w:val="20"/>
              </w:rPr>
              <w:t xml:space="preserve">급여 공개율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888888"/>
                <w:sz w:val="17"/>
                <w:szCs w:val="17"/>
              </w:rPr>
              <w:t xml:space="preserve">57 / 317건</w:t>
            </w:r>
          </w:p>
        </w:tc>
      </w:tr>
    </w:tbl>
    <w:p>
      <w:pPr>
        <w:pBdr>
          <w:bottom w:val="single" w:color="DDDDDD" w:sz="4"/>
        </w:pBdr>
        <w:spacing w:after="200" w:before="200"/>
      </w:pP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A1A2E"/>
          <w:sz w:val="40"/>
          <w:szCs w:val="40"/>
        </w:rPr>
        <w:t xml:space="preserve">2. 요구 스킬 TOP 20 분석</w:t>
      </w:r>
    </w:p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317개 공고에서 추출한 기술 키워드 빈도 (중복 허용)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  <w:gridCol w:w="120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5E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스킬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5E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빈도 (317개 공고 기준)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5E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건수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Python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tbl>
            <w:tblPr>
              <w:tblW w:type="dxa" w:w="5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500"/>
              <w:gridCol w:w="460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5B5EA6" w:val="clear"/>
                </w:tcPr>
                <w:p/>
              </w:tc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FFFFFF" w:val="clear"/>
                </w:tcPr>
                <w:p/>
              </w:tc>
            </w:tr>
          </w:tbl>
          <w:p/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5B5EA6"/>
                <w:sz w:val="19"/>
                <w:szCs w:val="19"/>
              </w:rPr>
              <w:t xml:space="preserve">119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데이터 분석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tbl>
            <w:tblPr>
              <w:tblW w:type="dxa" w:w="5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92"/>
              <w:gridCol w:w="968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5B5EA6" w:val="clear"/>
                </w:tcPr>
                <w:p/>
              </w:tc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F9F9FB" w:val="clear"/>
                </w:tcPr>
                <w:p/>
              </w:tc>
            </w:tr>
          </w:tbl>
          <w:p/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5B5EA6"/>
                <w:sz w:val="19"/>
                <w:szCs w:val="19"/>
              </w:rPr>
              <w:t xml:space="preserve">108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SQL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tbl>
            <w:tblPr>
              <w:tblW w:type="dxa" w:w="5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22"/>
              <w:gridCol w:w="1338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5B5EA6" w:val="clear"/>
                </w:tcPr>
                <w:p/>
              </w:tc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FFFFFF" w:val="clear"/>
                </w:tcPr>
                <w:p/>
              </w:tc>
            </w:tr>
          </w:tbl>
          <w:p/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5B5EA6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통계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tbl>
            <w:tblPr>
              <w:tblW w:type="dxa" w:w="5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57"/>
              <w:gridCol w:w="3603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5B5EA6" w:val="clear"/>
                </w:tcPr>
                <w:p/>
              </w:tc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F9F9FB" w:val="clear"/>
                </w:tcPr>
                <w:p/>
              </w:tc>
            </w:tr>
          </w:tbl>
          <w:p/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5B5EA6"/>
                <w:sz w:val="19"/>
                <w:szCs w:val="19"/>
              </w:rPr>
              <w:t xml:space="preserve">51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머신러닝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tbl>
            <w:tblPr>
              <w:tblW w:type="dxa" w:w="5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65"/>
              <w:gridCol w:w="3695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5B5EA6" w:val="clear"/>
                </w:tcPr>
                <w:p/>
              </w:tc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FFFFFF" w:val="clear"/>
                </w:tcPr>
                <w:p/>
              </w:tc>
            </w:tr>
          </w:tbl>
          <w:p/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5B5EA6"/>
                <w:sz w:val="19"/>
                <w:szCs w:val="19"/>
              </w:rPr>
              <w:t xml:space="preserve">49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딥러닝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tbl>
            <w:tblPr>
              <w:tblW w:type="dxa" w:w="5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72"/>
              <w:gridCol w:w="3788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5B5EA6" w:val="clear"/>
                </w:tcPr>
                <w:p/>
              </w:tc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F9F9FB" w:val="clear"/>
                </w:tcPr>
                <w:p/>
              </w:tc>
            </w:tr>
          </w:tbl>
          <w:p/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5B5EA6"/>
                <w:sz w:val="19"/>
                <w:szCs w:val="19"/>
              </w:rPr>
              <w:t xml:space="preserve">47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tbl>
            <w:tblPr>
              <w:tblW w:type="dxa" w:w="5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72"/>
              <w:gridCol w:w="3788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5B5EA6" w:val="clear"/>
                </w:tcPr>
                <w:p/>
              </w:tc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FFFFFF" w:val="clear"/>
                </w:tcPr>
                <w:p/>
              </w:tc>
            </w:tr>
          </w:tbl>
          <w:p/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5B5EA6"/>
                <w:sz w:val="19"/>
                <w:szCs w:val="19"/>
              </w:rPr>
              <w:t xml:space="preserve">47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데이터 파이프라인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tbl>
            <w:tblPr>
              <w:tblW w:type="dxa" w:w="5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34"/>
              <w:gridCol w:w="3926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5B5EA6" w:val="clear"/>
                </w:tcPr>
                <w:p/>
              </w:tc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F9F9FB" w:val="clear"/>
                </w:tcPr>
                <w:p/>
              </w:tc>
            </w:tr>
          </w:tbl>
          <w:p/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5B5EA6"/>
                <w:sz w:val="19"/>
                <w:szCs w:val="19"/>
              </w:rPr>
              <w:t xml:space="preserve">44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PyTorch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tbl>
            <w:tblPr>
              <w:tblW w:type="dxa" w:w="5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41"/>
              <w:gridCol w:w="4019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5B5EA6" w:val="clear"/>
                </w:tcPr>
                <w:p/>
              </w:tc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FFFFFF" w:val="clear"/>
                </w:tcPr>
                <w:p/>
              </w:tc>
            </w:tr>
          </w:tbl>
          <w:p/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5B5EA6"/>
                <w:sz w:val="19"/>
                <w:szCs w:val="19"/>
              </w:rPr>
              <w:t xml:space="preserve">42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시각화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tbl>
            <w:tblPr>
              <w:tblW w:type="dxa" w:w="5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18"/>
              <w:gridCol w:w="4342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5B5EA6" w:val="clear"/>
                </w:tcPr>
                <w:p/>
              </w:tc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F9F9FB" w:val="clear"/>
                </w:tcPr>
                <w:p/>
              </w:tc>
            </w:tr>
          </w:tbl>
          <w:p/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5B5EA6"/>
                <w:sz w:val="19"/>
                <w:szCs w:val="19"/>
              </w:rPr>
              <w:t xml:space="preserve">35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Excel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tbl>
            <w:tblPr>
              <w:tblW w:type="dxa" w:w="5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79"/>
              <w:gridCol w:w="4481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5B5EA6" w:val="clear"/>
                </w:tcPr>
                <w:p/>
              </w:tc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FFFFFF" w:val="clear"/>
                </w:tcPr>
                <w:p/>
              </w:tc>
            </w:tr>
          </w:tbl>
          <w:p/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5B5EA6"/>
                <w:sz w:val="19"/>
                <w:szCs w:val="19"/>
              </w:rPr>
              <w:t xml:space="preserve">32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AWS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tbl>
            <w:tblPr>
              <w:tblW w:type="dxa" w:w="5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40"/>
              <w:gridCol w:w="4620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5B5EA6" w:val="clear"/>
                </w:tcPr>
                <w:p/>
              </w:tc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F9F9FB" w:val="clear"/>
                </w:tcPr>
                <w:p/>
              </w:tc>
            </w:tr>
          </w:tbl>
          <w:p/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5B5EA6"/>
                <w:sz w:val="19"/>
                <w:szCs w:val="19"/>
              </w:rPr>
              <w:t xml:space="preserve">29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Tableau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tbl>
            <w:tblPr>
              <w:tblW w:type="dxa" w:w="5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94"/>
              <w:gridCol w:w="4666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5B5EA6" w:val="clear"/>
                </w:tcPr>
                <w:p/>
              </w:tc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FFFFFF" w:val="clear"/>
                </w:tcPr>
                <w:p/>
              </w:tc>
            </w:tr>
          </w:tbl>
          <w:p/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5B5EA6"/>
                <w:sz w:val="19"/>
                <w:szCs w:val="19"/>
              </w:rPr>
              <w:t xml:space="preserve">28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Airflow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tbl>
            <w:tblPr>
              <w:tblW w:type="dxa" w:w="5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94"/>
              <w:gridCol w:w="4666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5B5EA6" w:val="clear"/>
                </w:tcPr>
                <w:p/>
              </w:tc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F9F9FB" w:val="clear"/>
                </w:tcPr>
                <w:p/>
              </w:tc>
            </w:tr>
          </w:tbl>
          <w:p/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5B5EA6"/>
                <w:sz w:val="19"/>
                <w:szCs w:val="19"/>
              </w:rPr>
              <w:t xml:space="preserve">28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GCP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tbl>
            <w:tblPr>
              <w:tblW w:type="dxa" w:w="5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4"/>
              <w:gridCol w:w="5036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5B5EA6" w:val="clear"/>
                </w:tcPr>
                <w:p/>
              </w:tc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FFFFFF" w:val="clear"/>
                </w:tcPr>
                <w:p/>
              </w:tc>
            </w:tr>
          </w:tbl>
          <w:p/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5B5EA6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Spark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tbl>
            <w:tblPr>
              <w:tblW w:type="dxa" w:w="5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4"/>
              <w:gridCol w:w="5036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5B5EA6" w:val="clear"/>
                </w:tcPr>
                <w:p/>
              </w:tc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F9F9FB" w:val="clear"/>
                </w:tcPr>
                <w:p/>
              </w:tc>
            </w:tr>
          </w:tbl>
          <w:p/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5B5EA6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TensorFlow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tbl>
            <w:tblPr>
              <w:tblW w:type="dxa" w:w="5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93"/>
              <w:gridCol w:w="5267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5B5EA6" w:val="clear"/>
                </w:tcPr>
                <w:p/>
              </w:tc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FFFFFF" w:val="clear"/>
                </w:tcPr>
                <w:p/>
              </w:tc>
            </w:tr>
          </w:tbl>
          <w:p/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5B5EA6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BigQuery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tbl>
            <w:tblPr>
              <w:tblW w:type="dxa" w:w="5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1"/>
              <w:gridCol w:w="5359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5B5EA6" w:val="clear"/>
                </w:tcPr>
                <w:p/>
              </w:tc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F9F9FB" w:val="clear"/>
                </w:tcPr>
                <w:p/>
              </w:tc>
            </w:tr>
          </w:tbl>
          <w:p/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5B5EA6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Azure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tbl>
            <w:tblPr>
              <w:tblW w:type="dxa" w:w="5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55"/>
              <w:gridCol w:w="5405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5B5EA6" w:val="clear"/>
                </w:tcPr>
                <w:p/>
              </w:tc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FFFFFF" w:val="clear"/>
                </w:tcPr>
                <w:p/>
              </w:tc>
            </w:tr>
          </w:tbl>
          <w:p/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5B5EA6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ETL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tbl>
            <w:tblPr>
              <w:tblW w:type="dxa" w:w="5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55"/>
              <w:gridCol w:w="5405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5B5EA6" w:val="clear"/>
                </w:tcPr>
                <w:p/>
              </w:tc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F9F9FB" w:val="clear"/>
                </w:tcPr>
                <w:p/>
              </w:tc>
            </w:tr>
          </w:tbl>
          <w:p/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5B5EA6"/>
                <w:sz w:val="19"/>
                <w:szCs w:val="19"/>
              </w:rPr>
              <w:t xml:space="preserve">12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CC" w:sz="1"/>
              <w:left w:val="single" w:color="8888CC" w:sz="1"/>
              <w:bottom w:val="single" w:color="8888CC" w:sz="1"/>
              <w:right w:val="single" w:color="8888CC" w:sz="1"/>
            </w:tcBorders>
            <w:shd w:fill="E8E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Python이 압도적 1위 (37.5%)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317개 공고 중 119개에서 Python을 요구. SQL(31.5%), 통계(16.1%)와 함께 3대 필수 스킬 형성.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딥러닝 프레임워크 수요 급증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PyTorch(42건)가 TensorFlow(15건)를 크게 앞서며 ML 생태계의 주류 이동이 확인됨.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데이터 인프라 스킬 부상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Airflow(28건), Spark(20건), BigQuery(13건) 등 파이프라인·클라우드 스킬 수요 증가 추세.</w:t>
            </w:r>
          </w:p>
        </w:tc>
      </w:tr>
    </w:tbl>
    <w:p>
      <w:pPr>
        <w:pBdr>
          <w:bottom w:val="single" w:color="DDDDDD" w:sz="4"/>
        </w:pBdr>
        <w:spacing w:after="200" w:before="200"/>
      </w:pP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A1A2E"/>
          <w:sz w:val="40"/>
          <w:szCs w:val="40"/>
        </w:rPr>
        <w:t xml:space="preserve">3. 직무 카테고리 &amp; 고용형태 분포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1100"/>
              <w:gridCol w:w="1300"/>
            </w:tblGrid>
            <w:tr>
              <w:tc>
                <w:tcPr>
                  <w:tcW w:type="dxa" w:w="2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5B5EA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직무 카테고리</w:t>
                  </w:r>
                </w:p>
              </w:tc>
              <w:tc>
                <w:tcPr>
                  <w:tcW w:type="dxa" w:w="1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5B5EA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건수</w:t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5B5EA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비율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데이터사이언티스트</w:t>
                  </w:r>
                </w:p>
              </w:tc>
              <w:tc>
                <w:tcPr>
                  <w:tcW w:type="dxa" w:w="1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91</w:t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5B5EA6"/>
                      <w:sz w:val="20"/>
                      <w:szCs w:val="20"/>
                    </w:rPr>
                    <w:t xml:space="preserve">28.7%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데이터분석가</w:t>
                  </w:r>
                </w:p>
              </w:tc>
              <w:tc>
                <w:tcPr>
                  <w:tcW w:type="dxa" w:w="1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46</w:t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5B5EA6"/>
                      <w:sz w:val="20"/>
                      <w:szCs w:val="20"/>
                    </w:rPr>
                    <w:t xml:space="preserve">14.5%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DE/ML엔지니어</w:t>
                  </w:r>
                </w:p>
              </w:tc>
              <w:tc>
                <w:tcPr>
                  <w:tcW w:type="dxa" w:w="1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43</w:t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5B5EA6"/>
                      <w:sz w:val="20"/>
                      <w:szCs w:val="20"/>
                    </w:rPr>
                    <w:t xml:space="preserve">13.6%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리서치/인턴</w:t>
                  </w:r>
                </w:p>
              </w:tc>
              <w:tc>
                <w:tcPr>
                  <w:tcW w:type="dxa" w:w="1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30</w:t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5B5EA6"/>
                      <w:sz w:val="20"/>
                      <w:szCs w:val="20"/>
                    </w:rPr>
                    <w:t xml:space="preserve">9.5%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기획/전략</w:t>
                  </w:r>
                </w:p>
              </w:tc>
              <w:tc>
                <w:tcPr>
                  <w:tcW w:type="dxa" w:w="1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21</w:t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5B5EA6"/>
                      <w:sz w:val="20"/>
                      <w:szCs w:val="20"/>
                    </w:rPr>
                    <w:t xml:space="preserve">6.6%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기타</w:t>
                  </w:r>
                </w:p>
              </w:tc>
              <w:tc>
                <w:tcPr>
                  <w:tcW w:type="dxa" w:w="1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86</w:t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5B5EA6"/>
                      <w:sz w:val="20"/>
                      <w:szCs w:val="20"/>
                    </w:rPr>
                    <w:t xml:space="preserve">27.1%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1100"/>
              <w:gridCol w:w="1300"/>
            </w:tblGrid>
            <w:tr>
              <w:tc>
                <w:tcPr>
                  <w:tcW w:type="dxa" w:w="2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5B5EA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고용형태</w:t>
                  </w:r>
                </w:p>
              </w:tc>
              <w:tc>
                <w:tcPr>
                  <w:tcW w:type="dxa" w:w="1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5B5EA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건수</w:t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5B5EA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비율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미표기</w:t>
                  </w:r>
                </w:p>
              </w:tc>
              <w:tc>
                <w:tcPr>
                  <w:tcW w:type="dxa" w:w="1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183</w:t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5B5EA6"/>
                      <w:sz w:val="20"/>
                      <w:szCs w:val="20"/>
                    </w:rPr>
                    <w:t xml:space="preserve">57.7%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신입</w:t>
                  </w:r>
                </w:p>
              </w:tc>
              <w:tc>
                <w:tcPr>
                  <w:tcW w:type="dxa" w:w="1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58</w:t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5B5EA6"/>
                      <w:sz w:val="20"/>
                      <w:szCs w:val="20"/>
                    </w:rPr>
                    <w:t xml:space="preserve">18.3%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인턴</w:t>
                  </w:r>
                </w:p>
              </w:tc>
              <w:tc>
                <w:tcPr>
                  <w:tcW w:type="dxa" w:w="1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39</w:t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5B5EA6"/>
                      <w:sz w:val="20"/>
                      <w:szCs w:val="20"/>
                    </w:rPr>
                    <w:t xml:space="preserve">12.3%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경력</w:t>
                  </w:r>
                </w:p>
              </w:tc>
              <w:tc>
                <w:tcPr>
                  <w:tcW w:type="dxa" w:w="1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25</w:t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5B5EA6"/>
                      <w:sz w:val="20"/>
                      <w:szCs w:val="20"/>
                    </w:rPr>
                    <w:t xml:space="preserve">7.9%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계약직</w:t>
                  </w:r>
                </w:p>
              </w:tc>
              <w:tc>
                <w:tcPr>
                  <w:tcW w:type="dxa" w:w="1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8</w:t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5B5EA6"/>
                      <w:sz w:val="20"/>
                      <w:szCs w:val="20"/>
                    </w:rPr>
                    <w:t xml:space="preserve">2.5%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정규직</w:t>
                  </w:r>
                </w:p>
              </w:tc>
              <w:tc>
                <w:tcPr>
                  <w:tcW w:type="dxa" w:w="1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5B5EA6"/>
                      <w:sz w:val="20"/>
                      <w:szCs w:val="20"/>
                    </w:rPr>
                    <w:t xml:space="preserve">1.3%</w:t>
                  </w:r>
                </w:p>
              </w:tc>
            </w:tr>
          </w:tbl>
          <w:p/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CC" w:sz="1"/>
              <w:left w:val="single" w:color="8888CC" w:sz="1"/>
              <w:bottom w:val="single" w:color="8888CC" w:sz="1"/>
              <w:right w:val="single" w:color="8888CC" w:sz="1"/>
            </w:tcBorders>
            <w:shd w:fill="E8E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데이터사이언티스트 수요가 분석가를 2배 초과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데이터사이언티스트(91건, 28.7%)가 데이터분석가(46건, 14.5%)를 크게 앞섬. ML/AI 역량을 갖춘 인재에 대한 수요가 시장의 핵심 트렌드임.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고용형태 미표기가 57.7%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많은 공고가 명시적 고용형태를 기재하지 않음. 신입+인턴 합산 30.6%로 진입 기회는 충분히 존재함.</w:t>
            </w:r>
          </w:p>
        </w:tc>
      </w:tr>
    </w:tbl>
    <w:p>
      <w:pPr>
        <w:pBdr>
          <w:bottom w:val="single" w:color="DDDDDD" w:sz="4"/>
        </w:pBdr>
        <w:spacing w:after="200" w:before="200"/>
      </w:pP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A1A2E"/>
          <w:sz w:val="40"/>
          <w:szCs w:val="40"/>
        </w:rPr>
        <w:t xml:space="preserve">4. 기업 규모 &amp; 지역 분포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1100"/>
              <w:gridCol w:w="1300"/>
            </w:tblGrid>
            <w:tr>
              <w:tc>
                <w:tcPr>
                  <w:tcW w:type="dxa" w:w="2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5B5EA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기업 규모</w:t>
                  </w:r>
                </w:p>
              </w:tc>
              <w:tc>
                <w:tcPr>
                  <w:tcW w:type="dxa" w:w="1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5B5EA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건수</w:t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5B5EA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비율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스타트업</w:t>
                  </w:r>
                </w:p>
              </w:tc>
              <w:tc>
                <w:tcPr>
                  <w:tcW w:type="dxa" w:w="1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278</w:t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5B5EA6"/>
                      <w:sz w:val="20"/>
                      <w:szCs w:val="20"/>
                    </w:rPr>
                    <w:t xml:space="preserve">87.7%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대기업</w:t>
                  </w:r>
                </w:p>
              </w:tc>
              <w:tc>
                <w:tcPr>
                  <w:tcW w:type="dxa" w:w="1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31</w:t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5B5EA6"/>
                      <w:sz w:val="20"/>
                      <w:szCs w:val="20"/>
                    </w:rPr>
                    <w:t xml:space="preserve">9.8%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중견기업</w:t>
                  </w:r>
                </w:p>
              </w:tc>
              <w:tc>
                <w:tcPr>
                  <w:tcW w:type="dxa" w:w="1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5B5EA6"/>
                      <w:sz w:val="20"/>
                      <w:szCs w:val="20"/>
                    </w:rPr>
                    <w:t xml:space="preserve">1.6%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외국계</w:t>
                  </w:r>
                </w:p>
              </w:tc>
              <w:tc>
                <w:tcPr>
                  <w:tcW w:type="dxa" w:w="1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5B5EA6"/>
                      <w:sz w:val="20"/>
                      <w:szCs w:val="20"/>
                    </w:rPr>
                    <w:t xml:space="preserve">0.9%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00"/>
              <w:gridCol w:w="1100"/>
              <w:gridCol w:w="1300"/>
            </w:tblGrid>
            <w:tr>
              <w:tc>
                <w:tcPr>
                  <w:tcW w:type="dxa" w:w="2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5B5EA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근무 지역</w:t>
                  </w:r>
                </w:p>
              </w:tc>
              <w:tc>
                <w:tcPr>
                  <w:tcW w:type="dxa" w:w="1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5B5EA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건수</w:t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5B5EA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비율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서울</w:t>
                  </w:r>
                </w:p>
              </w:tc>
              <w:tc>
                <w:tcPr>
                  <w:tcW w:type="dxa" w:w="1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252</w:t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5B5EA6"/>
                      <w:sz w:val="20"/>
                      <w:szCs w:val="20"/>
                    </w:rPr>
                    <w:t xml:space="preserve">79.5%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기타</w:t>
                  </w:r>
                </w:p>
              </w:tc>
              <w:tc>
                <w:tcPr>
                  <w:tcW w:type="dxa" w:w="1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41</w:t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5B5EA6"/>
                      <w:sz w:val="20"/>
                      <w:szCs w:val="20"/>
                    </w:rPr>
                    <w:t xml:space="preserve">12.9%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경기</w:t>
                  </w:r>
                </w:p>
              </w:tc>
              <w:tc>
                <w:tcPr>
                  <w:tcW w:type="dxa" w:w="1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23</w:t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5B5EA6"/>
                      <w:sz w:val="20"/>
                      <w:szCs w:val="20"/>
                    </w:rPr>
                    <w:t xml:space="preserve">7.3%</w:t>
                  </w:r>
                </w:p>
              </w:tc>
            </w:tr>
            <w:tr>
              <w:tc>
                <w:tcPr>
                  <w:tcW w:type="dxa" w:w="2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대전</w:t>
                  </w:r>
                </w:p>
              </w:tc>
              <w:tc>
                <w:tcPr>
                  <w:tcW w:type="dxa" w:w="11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333333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9F9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i w:val="false"/>
                      <w:iCs w:val="false"/>
                      <w:color w:val="5B5EA6"/>
                      <w:sz w:val="20"/>
                      <w:szCs w:val="20"/>
                    </w:rPr>
                    <w:t xml:space="preserve">0.3%</w:t>
                  </w:r>
                </w:p>
              </w:tc>
            </w:tr>
          </w:tbl>
          <w:p/>
        </w:tc>
      </w:tr>
    </w:tbl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color w:val="00B5AD"/>
          <w:sz w:val="24"/>
          <w:szCs w:val="24"/>
        </w:rPr>
        <w:t xml:space="preserve">TOP 15 채용 활성 기업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60"/>
        <w:gridCol w:w="1600"/>
        <w:gridCol w:w="960"/>
        <w:gridCol w:w="1600"/>
        <w:gridCol w:w="9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5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기업명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5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건수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5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기업명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5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건수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5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기업명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5A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건수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업스테이지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B5AD"/>
                <w:sz w:val="20"/>
                <w:szCs w:val="20"/>
              </w:rPr>
              <w:t xml:space="preserve">12건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LG AI연구원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B5AD"/>
                <w:sz w:val="20"/>
                <w:szCs w:val="20"/>
              </w:rPr>
              <w:t xml:space="preserve">8건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우아한형제들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B5AD"/>
                <w:sz w:val="20"/>
                <w:szCs w:val="20"/>
              </w:rPr>
              <w:t xml:space="preserve">8건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토스뱅크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B5AD"/>
                <w:sz w:val="20"/>
                <w:szCs w:val="20"/>
              </w:rPr>
              <w:t xml:space="preserve">6건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카카오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B5AD"/>
                <w:sz w:val="20"/>
                <w:szCs w:val="20"/>
              </w:rPr>
              <w:t xml:space="preserve">5건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42dot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B5AD"/>
                <w:sz w:val="20"/>
                <w:szCs w:val="20"/>
              </w:rPr>
              <w:t xml:space="preserve">5건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넥슨코리아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B5AD"/>
                <w:sz w:val="20"/>
                <w:szCs w:val="20"/>
              </w:rPr>
              <w:t xml:space="preserve">5건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한국산업은행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B5AD"/>
                <w:sz w:val="20"/>
                <w:szCs w:val="20"/>
              </w:rPr>
              <w:t xml:space="preserve">4건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토스증권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B5AD"/>
                <w:sz w:val="20"/>
                <w:szCs w:val="20"/>
              </w:rPr>
              <w:t xml:space="preserve">4건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마키나락스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B5AD"/>
                <w:sz w:val="20"/>
                <w:szCs w:val="20"/>
              </w:rPr>
              <w:t xml:space="preserve">4건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라이너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B5AD"/>
                <w:sz w:val="20"/>
                <w:szCs w:val="20"/>
              </w:rPr>
              <w:t xml:space="preserve">4건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카카오페이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B5AD"/>
                <w:sz w:val="20"/>
                <w:szCs w:val="20"/>
              </w:rPr>
              <w:t xml:space="preserve">3건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디노티시아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B5AD"/>
                <w:sz w:val="20"/>
                <w:szCs w:val="20"/>
              </w:rPr>
              <w:t xml:space="preserve">3건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PTKOREA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B5AD"/>
                <w:sz w:val="20"/>
                <w:szCs w:val="20"/>
              </w:rPr>
              <w:t xml:space="preserve">3건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신용보증기금</w:t>
            </w:r>
          </w:p>
        </w:tc>
        <w:tc>
          <w:tcPr>
            <w:tcW w:type="dxa" w:w="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B5AD"/>
                <w:sz w:val="20"/>
                <w:szCs w:val="20"/>
              </w:rPr>
              <w:t xml:space="preserve">3건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CC" w:sz="1"/>
              <w:left w:val="single" w:color="8888CC" w:sz="1"/>
              <w:bottom w:val="single" w:color="8888CC" w:sz="1"/>
              <w:right w:val="single" w:color="8888CC" w:sz="1"/>
            </w:tcBorders>
            <w:shd w:fill="E8E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스타트업이 시장의 87.7%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데이터분석 채용의 대부분은 스타트업에서 발생. 업스테이지, 마키나락스, 라이너 등 AI 전문 기업이 채용 선두에 섬.</w:t>
            </w:r>
          </w:p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9"/>
                <w:szCs w:val="19"/>
              </w:rPr>
              <w:t xml:space="preserve">서울 집중도 79.5%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color w:val="555555"/>
                <w:sz w:val="18"/>
                <w:szCs w:val="18"/>
              </w:rPr>
              <w:t xml:space="preserve">252개 공고가 서울 소재. 판교/경기 7.3% 포함 시 수도권이 전체의 86.8%를 차지함.</w:t>
            </w:r>
          </w:p>
        </w:tc>
      </w:tr>
    </w:tbl>
    <w:p>
      <w:pPr>
        <w:pBdr>
          <w:bottom w:val="single" w:color="DDDDDD" w:sz="4"/>
        </w:pBdr>
        <w:spacing w:after="200" w:before="200"/>
      </w:pP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A1A2E"/>
          <w:sz w:val="40"/>
          <w:szCs w:val="40"/>
        </w:rPr>
        <w:t xml:space="preserve">5. 취업 전략 제언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E74C3C" w:sz="1"/>
              <w:left w:val="single" w:color="E74C3C" w:sz="1"/>
              <w:bottom w:val="single" w:color="E74C3C" w:sz="1"/>
              <w:right w:val="single" w:color="E74C3C" w:sz="1"/>
            </w:tcBorders>
            <w:shd w:fill="E74C3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1순위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2"/>
                <w:szCs w:val="22"/>
              </w:rPr>
              <w:t xml:space="preserve">Python + SQL 필수화</w:t>
            </w:r>
          </w:p>
          <w:p>
            <w:r>
              <w:rPr>
                <w:rFonts w:ascii="Malgun Gothic" w:cs="Malgun Gothic" w:eastAsia="Malgun Gothic" w:hAnsi="Malgun Gothic"/>
                <w:color w:val="555555"/>
                <w:sz w:val="19"/>
                <w:szCs w:val="19"/>
              </w:rPr>
              <w:t xml:space="preserve">전체 공고의 37.5%, 31.5%에서 각각 요구. 이 두 스킬 없이는 지원 자격조차 충족하기 어려운 공고가 대다수.</w:t>
            </w:r>
          </w:p>
        </w:tc>
      </w:tr>
      <w:tr>
        <w:tc>
          <w:tcPr>
            <w:tcW w:type="dxa" w:w="90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39C1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2순위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2"/>
                <w:szCs w:val="22"/>
              </w:rPr>
              <w:t xml:space="preserve">통계 + 시각화 역량</w:t>
            </w:r>
          </w:p>
          <w:p>
            <w:r>
              <w:rPr>
                <w:rFonts w:ascii="Malgun Gothic" w:cs="Malgun Gothic" w:eastAsia="Malgun Gothic" w:hAnsi="Malgun Gothic"/>
                <w:color w:val="555555"/>
                <w:sz w:val="19"/>
                <w:szCs w:val="19"/>
              </w:rPr>
              <w:t xml:space="preserve">통계(16.1%), 시각화(11.0%)는 분석 포지션의 기본 역량. Tableau 또는 Python 기반 시각화 라이브러리 숙련 권장.</w:t>
            </w:r>
          </w:p>
        </w:tc>
      </w:tr>
      <w:tr>
        <w:tc>
          <w:tcPr>
            <w:tcW w:type="dxa" w:w="900"/>
            <w:tcBorders>
              <w:top w:val="single" w:color="3498DB" w:sz="1"/>
              <w:left w:val="single" w:color="3498DB" w:sz="1"/>
              <w:bottom w:val="single" w:color="3498DB" w:sz="1"/>
              <w:right w:val="single" w:color="3498DB" w:sz="1"/>
            </w:tcBorders>
            <w:shd w:fill="3498D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3순위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2"/>
                <w:szCs w:val="22"/>
              </w:rPr>
              <w:t xml:space="preserve">ML/DL 프레임워크 (PyTorch)</w:t>
            </w:r>
          </w:p>
          <w:p>
            <w:r>
              <w:rPr>
                <w:rFonts w:ascii="Malgun Gothic" w:cs="Malgun Gothic" w:eastAsia="Malgun Gothic" w:hAnsi="Malgun Gothic"/>
                <w:color w:val="555555"/>
                <w:sz w:val="19"/>
                <w:szCs w:val="19"/>
              </w:rPr>
              <w:t xml:space="preserve">데이터사이언티스트 포지션(28.7%) 도전 시 PyTorch(42건)가 TensorFlow(15건)보다 우선 학습 대상.</w:t>
            </w:r>
          </w:p>
        </w:tc>
      </w:tr>
      <w:tr>
        <w:tc>
          <w:tcPr>
            <w:tcW w:type="dxa" w:w="900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1ABC9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4순위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2"/>
                <w:szCs w:val="22"/>
              </w:rPr>
              <w:t xml:space="preserve">클라우드 &amp; 파이프라인</w:t>
            </w:r>
          </w:p>
          <w:p>
            <w:r>
              <w:rPr>
                <w:rFonts w:ascii="Malgun Gothic" w:cs="Malgun Gothic" w:eastAsia="Malgun Gothic" w:hAnsi="Malgun Gothic"/>
                <w:color w:val="555555"/>
                <w:sz w:val="19"/>
                <w:szCs w:val="19"/>
              </w:rPr>
              <w:t xml:space="preserve">AWS(29건), Airflow(28건), GCP(20건). 데이터 엔지니어링 방향 지원 시 Airflow + SQL + 클라우드 조합이 핵심.</w:t>
            </w:r>
          </w:p>
        </w:tc>
      </w:tr>
      <w:tr>
        <w:tc>
          <w:tcPr>
            <w:tcW w:type="dxa" w:w="9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9B59B6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타겟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2"/>
                <w:szCs w:val="22"/>
              </w:rPr>
              <w:t xml:space="preserve">스타트업 중심 접근</w:t>
            </w:r>
          </w:p>
          <w:p>
            <w:r>
              <w:rPr>
                <w:rFonts w:ascii="Malgun Gothic" w:cs="Malgun Gothic" w:eastAsia="Malgun Gothic" w:hAnsi="Malgun Gothic"/>
                <w:color w:val="555555"/>
                <w:sz w:val="19"/>
                <w:szCs w:val="19"/>
              </w:rPr>
              <w:t xml:space="preserve">채용의 87.7%가 스타트업. 업스테이지, 토스, 카카오 계열, 넥슨 등 데이터 중심 기업이 채용 빈도 상위권.</w:t>
            </w:r>
          </w:p>
        </w:tc>
      </w:tr>
    </w:tbl>
    <w:p>
      <w:pPr>
        <w:pBdr>
          <w:bottom w:val="single" w:color="DDDDDD" w:sz="4"/>
        </w:pBdr>
        <w:spacing w:after="200" w:before="200"/>
      </w:pP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A1A2E"/>
          <w:sz w:val="40"/>
          <w:szCs w:val="40"/>
        </w:rPr>
        <w:t xml:space="preserve">6. 분석 방법론 및 한계점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00B5AD"/>
          <w:sz w:val="28"/>
          <w:szCs w:val="28"/>
        </w:rPr>
        <w:t xml:space="preserve">수집 파이프라인</w:t>
      </w:r>
    </w:p>
    <w:p>
      <w:pPr>
        <w:spacing w:after="16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① 인디스워크 /data 페이지에서 13페이지 순회 → ② 고유 URL 317개 추출 → ③ 각 공고 상세 페이지 병렬 fetch (8개 동시) → ④ 정규식 기반 필드 파싱 → ⑤ 키워드 사전(37개 스킬) 매칭 → ⑥ 분류 규칙 적용 → ⑦ CSV 저장 &amp; 시각화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00B5AD"/>
          <w:sz w:val="28"/>
          <w:szCs w:val="28"/>
        </w:rPr>
        <w:t xml:space="preserve">데이터 품질 및 한계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고용형태 미표기 비율 57.7%: 원문에 명시하지 않은 공고가 많아 정확한 분류에 한계 존재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급여 정보 공개율 18.0%: 대부분의 공고가 급여를 비공개 처리하여 급여 분석 불가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스킬 추출 방식: 정규식 키워드 사전 기반이므로 신조어·약어는 누락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수집 시점 편향: 2026년 3월 특정 시점의 스냅샷이므로 계절적 편향 존재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인디스워크 플랫폼 편향: 신입·주니어 중심 플랫폼의 특성상 시니어 포지션은 과소 표현됨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Malgun Gothic" w:cs="Malgun Gothic" w:eastAsia="Malgun Gothic" w:hAnsi="Malgun Gothic"/>
        <w:color w:val="AAAAAA"/>
        <w:sz w:val="16"/>
        <w:szCs w:val="16"/>
      </w:rPr>
      <w:t xml:space="preserve">본 보고서는 포트폴리오 목적으로 작성되었습니다. 데이터 출처: inthiswork.com · 분석 기준일: 2026년 3월 22일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5EA6" w:sz="4" w:space="4"/>
      </w:pBdr>
      <w:jc w:val="right"/>
    </w:pPr>
    <w:r>
      <w:rPr>
        <w:rFonts w:ascii="Malgun Gothic" w:cs="Malgun Gothic" w:eastAsia="Malgun Gothic" w:hAnsi="Malgun Gothic"/>
        <w:color w:val="888888"/>
        <w:sz w:val="17"/>
        <w:szCs w:val="17"/>
      </w:rPr>
      <w:t xml:space="preserve">데이터분석 채용시장 분석 | 인디스워크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algun Gothic" w:cs="Malgun Gothic" w:eastAsia="Malgun Gothic" w:hAnsi="Malgun Gothic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00B5A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2026-03-22T14:30:23.635Z</dcterms:created>
  <dcterms:modified xsi:type="dcterms:W3CDTF">2026-03-22T14:30:23.635Z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