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8221" w14:textId="77777777" w:rsidR="00511A52" w:rsidRDefault="00511A52" w:rsidP="00511A52">
      <w:pPr>
        <w:jc w:val="center"/>
        <w:rPr>
          <w:b/>
          <w:bCs/>
          <w:sz w:val="54"/>
          <w:szCs w:val="54"/>
        </w:rPr>
      </w:pPr>
      <w:r w:rsidRPr="00511A52">
        <w:rPr>
          <w:rFonts w:ascii="Segoe UI Emoji" w:hAnsi="Segoe UI Emoji" w:cs="Segoe UI Emoji"/>
          <w:b/>
          <w:bCs/>
          <w:sz w:val="54"/>
          <w:szCs w:val="54"/>
        </w:rPr>
        <w:t>📑</w:t>
      </w:r>
      <w:r w:rsidRPr="00511A52">
        <w:rPr>
          <w:b/>
          <w:bCs/>
          <w:sz w:val="54"/>
          <w:szCs w:val="54"/>
        </w:rPr>
        <w:t xml:space="preserve"> Smoking Health Risk Analysis Report Documentation</w:t>
      </w:r>
    </w:p>
    <w:p w14:paraId="19421F58" w14:textId="4D58F10F" w:rsidR="00511A52" w:rsidRDefault="00511A52" w:rsidP="00511A52">
      <w:r>
        <w:rPr>
          <w:b/>
          <w:bCs/>
        </w:rPr>
        <w:t>Name</w:t>
      </w:r>
      <w:r w:rsidRPr="00E55193">
        <w:rPr>
          <w:b/>
          <w:bCs/>
        </w:rPr>
        <w:t>:</w:t>
      </w:r>
      <w:r w:rsidRPr="00E55193">
        <w:t xml:space="preserve"> </w:t>
      </w:r>
      <w:r>
        <w:t>Douzi Narmeen Khanam</w:t>
      </w:r>
      <w:r w:rsidRPr="00E55193">
        <w:br/>
      </w:r>
      <w:r w:rsidRPr="00E55193">
        <w:rPr>
          <w:b/>
          <w:bCs/>
        </w:rPr>
        <w:t>Date:</w:t>
      </w:r>
      <w:r w:rsidRPr="00E55193">
        <w:t xml:space="preserve"> </w:t>
      </w:r>
      <w:r>
        <w:t>2</w:t>
      </w:r>
      <w:r>
        <w:t>5-02-2026</w:t>
      </w:r>
    </w:p>
    <w:p w14:paraId="4CC66EAA" w14:textId="024FF9A7" w:rsidR="00511A52" w:rsidRPr="00511A52" w:rsidRDefault="00511A52" w:rsidP="00511A52">
      <w:pPr>
        <w:rPr>
          <w:b/>
          <w:bCs/>
        </w:rPr>
      </w:pPr>
      <w:r w:rsidRPr="00511A52">
        <w:pict w14:anchorId="73904FBD">
          <v:rect id="_x0000_i1049" style="width:0;height:1.5pt" o:hralign="center" o:hrstd="t" o:hr="t" fillcolor="#a0a0a0" stroked="f"/>
        </w:pict>
      </w:r>
    </w:p>
    <w:p w14:paraId="305D0082" w14:textId="77777777" w:rsidR="00511A52" w:rsidRDefault="00511A52" w:rsidP="00511A52">
      <w:pPr>
        <w:rPr>
          <w:b/>
          <w:bCs/>
        </w:rPr>
      </w:pPr>
      <w:r w:rsidRPr="00511A52">
        <w:rPr>
          <w:b/>
          <w:bCs/>
        </w:rPr>
        <w:t>1. Project Overview</w:t>
      </w:r>
    </w:p>
    <w:p w14:paraId="5A0BB11C" w14:textId="1282B115" w:rsidR="000D734C" w:rsidRPr="00511A52" w:rsidRDefault="000D734C" w:rsidP="00511A52">
      <w:pPr>
        <w:rPr>
          <w:b/>
          <w:bCs/>
        </w:rPr>
      </w:pPr>
      <w:r w:rsidRPr="000D734C">
        <w:rPr>
          <w:b/>
          <w:bCs/>
        </w:rPr>
        <w:drawing>
          <wp:inline distT="0" distB="0" distL="0" distR="0" wp14:anchorId="3AD03DDC" wp14:editId="1405E958">
            <wp:extent cx="5731510" cy="3220720"/>
            <wp:effectExtent l="0" t="0" r="2540" b="0"/>
            <wp:docPr id="15575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814" name=""/>
                    <pic:cNvPicPr/>
                  </pic:nvPicPr>
                  <pic:blipFill>
                    <a:blip r:embed="rId5"/>
                    <a:stretch>
                      <a:fillRect/>
                    </a:stretch>
                  </pic:blipFill>
                  <pic:spPr>
                    <a:xfrm>
                      <a:off x="0" y="0"/>
                      <a:ext cx="5731510" cy="3220720"/>
                    </a:xfrm>
                    <a:prstGeom prst="rect">
                      <a:avLst/>
                    </a:prstGeom>
                  </pic:spPr>
                </pic:pic>
              </a:graphicData>
            </a:graphic>
          </wp:inline>
        </w:drawing>
      </w:r>
    </w:p>
    <w:p w14:paraId="7AE950DE" w14:textId="77777777" w:rsidR="00511A52" w:rsidRPr="00511A52" w:rsidRDefault="00511A52" w:rsidP="00511A52">
      <w:r w:rsidRPr="00511A52">
        <w:t>The objective of this report is to analyze the physiological and demographic risks associated with different smoking statuses (Never, Current, and Former). It utilizes patient data to visualize correlations between smoking duration, daily intake, and the health of vital organs such as the heart, liver, kidneys, and lungs.</w:t>
      </w:r>
    </w:p>
    <w:p w14:paraId="63D04617" w14:textId="77777777" w:rsidR="00511A52" w:rsidRPr="00511A52" w:rsidRDefault="00511A52" w:rsidP="00511A52">
      <w:pPr>
        <w:rPr>
          <w:b/>
          <w:bCs/>
        </w:rPr>
      </w:pPr>
      <w:r w:rsidRPr="00511A52">
        <w:rPr>
          <w:b/>
          <w:bCs/>
        </w:rPr>
        <w:t>2. Data Source &amp; Assets</w:t>
      </w:r>
    </w:p>
    <w:p w14:paraId="481DBA7E" w14:textId="77777777" w:rsidR="00511A52" w:rsidRPr="00511A52" w:rsidRDefault="00511A52" w:rsidP="00511A52">
      <w:pPr>
        <w:numPr>
          <w:ilvl w:val="0"/>
          <w:numId w:val="1"/>
        </w:numPr>
      </w:pPr>
      <w:r w:rsidRPr="00511A52">
        <w:rPr>
          <w:b/>
          <w:bCs/>
        </w:rPr>
        <w:t>Dataset:</w:t>
      </w:r>
      <w:r w:rsidRPr="00511A52">
        <w:t xml:space="preserve"> Provided in the video description of the tutorial by Isaac Emmanuel.</w:t>
      </w:r>
    </w:p>
    <w:p w14:paraId="37886152" w14:textId="77777777" w:rsidR="00511A52" w:rsidRPr="00511A52" w:rsidRDefault="00511A52" w:rsidP="00511A52">
      <w:pPr>
        <w:numPr>
          <w:ilvl w:val="0"/>
          <w:numId w:val="1"/>
        </w:numPr>
      </w:pPr>
      <w:r w:rsidRPr="00511A52">
        <w:rPr>
          <w:b/>
          <w:bCs/>
        </w:rPr>
        <w:t>Assets:</w:t>
      </w:r>
      <w:r w:rsidRPr="00511A52">
        <w:t xml:space="preserve"> All visual assets, including anatomical 3D renders (Heart, Liver, Kidney, Lungs) and background UI elements, were sourced from the project assets folder included in the video description.</w:t>
      </w:r>
    </w:p>
    <w:p w14:paraId="060A4FB3" w14:textId="77777777" w:rsidR="00511A52" w:rsidRPr="00511A52" w:rsidRDefault="00511A52" w:rsidP="00511A52">
      <w:r w:rsidRPr="00511A52">
        <w:pict w14:anchorId="631ADD93">
          <v:rect id="_x0000_i1043" style="width:0;height:1.5pt" o:hralign="center" o:hrstd="t" o:hr="t" fillcolor="#a0a0a0" stroked="f"/>
        </w:pict>
      </w:r>
    </w:p>
    <w:p w14:paraId="54A02F63" w14:textId="77777777" w:rsidR="00511A52" w:rsidRPr="00511A52" w:rsidRDefault="00511A52" w:rsidP="00511A52">
      <w:pPr>
        <w:rPr>
          <w:b/>
          <w:bCs/>
        </w:rPr>
      </w:pPr>
      <w:r w:rsidRPr="00511A52">
        <w:rPr>
          <w:b/>
          <w:bCs/>
        </w:rPr>
        <w:t>3. Technical Stack</w:t>
      </w:r>
    </w:p>
    <w:p w14:paraId="2046CCFF" w14:textId="77777777" w:rsidR="00511A52" w:rsidRPr="00511A52" w:rsidRDefault="00511A52" w:rsidP="00511A52">
      <w:pPr>
        <w:numPr>
          <w:ilvl w:val="0"/>
          <w:numId w:val="2"/>
        </w:numPr>
      </w:pPr>
      <w:r w:rsidRPr="00511A52">
        <w:rPr>
          <w:b/>
          <w:bCs/>
        </w:rPr>
        <w:t>Power BI Desktop:</w:t>
      </w:r>
      <w:r w:rsidRPr="00511A52">
        <w:t xml:space="preserve"> Used for report authoring and data visualization.</w:t>
      </w:r>
    </w:p>
    <w:p w14:paraId="573318EB" w14:textId="77777777" w:rsidR="00511A52" w:rsidRPr="00511A52" w:rsidRDefault="00511A52" w:rsidP="00511A52">
      <w:pPr>
        <w:numPr>
          <w:ilvl w:val="0"/>
          <w:numId w:val="2"/>
        </w:numPr>
      </w:pPr>
      <w:r w:rsidRPr="00511A52">
        <w:rPr>
          <w:b/>
          <w:bCs/>
        </w:rPr>
        <w:lastRenderedPageBreak/>
        <w:t>Power Query:</w:t>
      </w:r>
      <w:r w:rsidRPr="00511A52">
        <w:t xml:space="preserve"> Employed for data cleaning and transforming raw patient records.</w:t>
      </w:r>
    </w:p>
    <w:p w14:paraId="5E4FD7BF" w14:textId="77777777" w:rsidR="00511A52" w:rsidRPr="00511A52" w:rsidRDefault="00511A52" w:rsidP="00511A52">
      <w:pPr>
        <w:numPr>
          <w:ilvl w:val="0"/>
          <w:numId w:val="2"/>
        </w:numPr>
      </w:pPr>
      <w:r w:rsidRPr="00511A52">
        <w:rPr>
          <w:b/>
          <w:bCs/>
        </w:rPr>
        <w:t>DAX (Data Analysis Expressions):</w:t>
      </w:r>
      <w:r w:rsidRPr="00511A52">
        <w:t xml:space="preserve"> Used to create measures for Average Age, Average BMI, and risk percentages across age groups.</w:t>
      </w:r>
    </w:p>
    <w:p w14:paraId="38149533" w14:textId="77777777" w:rsidR="00511A52" w:rsidRPr="00511A52" w:rsidRDefault="00511A52" w:rsidP="00511A52">
      <w:r w:rsidRPr="00511A52">
        <w:pict w14:anchorId="18B34285">
          <v:rect id="_x0000_i1044" style="width:0;height:1.5pt" o:hralign="center" o:hrstd="t" o:hr="t" fillcolor="#a0a0a0" stroked="f"/>
        </w:pict>
      </w:r>
    </w:p>
    <w:p w14:paraId="08ACA511" w14:textId="77777777" w:rsidR="00511A52" w:rsidRPr="00511A52" w:rsidRDefault="00511A52" w:rsidP="00511A52">
      <w:pPr>
        <w:rPr>
          <w:b/>
          <w:bCs/>
        </w:rPr>
      </w:pPr>
      <w:r w:rsidRPr="00511A52">
        <w:rPr>
          <w:b/>
          <w:bCs/>
        </w:rPr>
        <w:t>4. Key Report Components &amp; Features</w:t>
      </w:r>
    </w:p>
    <w:p w14:paraId="624520FD" w14:textId="77777777" w:rsidR="00511A52" w:rsidRDefault="00511A52" w:rsidP="00511A52">
      <w:pPr>
        <w:rPr>
          <w:b/>
          <w:bCs/>
        </w:rPr>
      </w:pPr>
      <w:r w:rsidRPr="00511A52">
        <w:rPr>
          <w:rFonts w:ascii="Segoe UI Emoji" w:hAnsi="Segoe UI Emoji" w:cs="Segoe UI Emoji"/>
          <w:b/>
          <w:bCs/>
        </w:rPr>
        <w:t>🩺</w:t>
      </w:r>
      <w:r w:rsidRPr="00511A52">
        <w:rPr>
          <w:b/>
          <w:bCs/>
        </w:rPr>
        <w:t xml:space="preserve"> Patient Demographics &amp; KPI Cards</w:t>
      </w:r>
    </w:p>
    <w:p w14:paraId="0D2AB117" w14:textId="72FFC43E" w:rsidR="00511A52" w:rsidRPr="00511A52" w:rsidRDefault="00511A52" w:rsidP="00511A52">
      <w:pPr>
        <w:rPr>
          <w:b/>
          <w:bCs/>
        </w:rPr>
      </w:pPr>
      <w:r w:rsidRPr="00511A52">
        <w:rPr>
          <w:b/>
          <w:bCs/>
        </w:rPr>
        <w:drawing>
          <wp:inline distT="0" distB="0" distL="0" distR="0" wp14:anchorId="59188385" wp14:editId="262D2F5A">
            <wp:extent cx="2420815" cy="596354"/>
            <wp:effectExtent l="0" t="0" r="0" b="0"/>
            <wp:docPr id="7616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9212" name=""/>
                    <pic:cNvPicPr/>
                  </pic:nvPicPr>
                  <pic:blipFill>
                    <a:blip r:embed="rId6"/>
                    <a:stretch>
                      <a:fillRect/>
                    </a:stretch>
                  </pic:blipFill>
                  <pic:spPr>
                    <a:xfrm>
                      <a:off x="0" y="0"/>
                      <a:ext cx="2501673" cy="616273"/>
                    </a:xfrm>
                    <a:prstGeom prst="rect">
                      <a:avLst/>
                    </a:prstGeom>
                  </pic:spPr>
                </pic:pic>
              </a:graphicData>
            </a:graphic>
          </wp:inline>
        </w:drawing>
      </w:r>
    </w:p>
    <w:p w14:paraId="1B2F97D9" w14:textId="7A1742C3" w:rsidR="00511A52" w:rsidRPr="00511A52" w:rsidRDefault="00511A52" w:rsidP="00511A52">
      <w:r w:rsidRPr="00511A52">
        <w:t>The report tracks key patient metrics to provide context for the health data:</w:t>
      </w:r>
    </w:p>
    <w:p w14:paraId="587463EB" w14:textId="11D149FA" w:rsidR="00511A52" w:rsidRPr="00511A52" w:rsidRDefault="00511A52" w:rsidP="00511A52">
      <w:pPr>
        <w:numPr>
          <w:ilvl w:val="0"/>
          <w:numId w:val="3"/>
        </w:numPr>
      </w:pPr>
      <w:r w:rsidRPr="00511A52">
        <w:rPr>
          <w:b/>
          <w:bCs/>
        </w:rPr>
        <w:t>Total Patient Count:</w:t>
      </w:r>
      <w:r w:rsidRPr="00511A52">
        <w:t xml:space="preserve"> Dynamic count based on filtered views (e.g., 336 patients in the primary view).</w:t>
      </w:r>
    </w:p>
    <w:p w14:paraId="5AEE9845" w14:textId="0FC267EE" w:rsidR="00511A52" w:rsidRPr="00511A52" w:rsidRDefault="00511A52" w:rsidP="00511A52">
      <w:pPr>
        <w:numPr>
          <w:ilvl w:val="0"/>
          <w:numId w:val="3"/>
        </w:numPr>
      </w:pPr>
      <w:r w:rsidRPr="00511A52">
        <w:rPr>
          <w:b/>
          <w:bCs/>
        </w:rPr>
        <w:t>Vs Average Age:</w:t>
      </w:r>
      <w:r w:rsidRPr="00511A52">
        <w:t xml:space="preserve"> Benchmarks the current selection against the global average age (approx. 53–57 years).</w:t>
      </w:r>
    </w:p>
    <w:p w14:paraId="5BD2A9B4" w14:textId="4CF80B81" w:rsidR="00511A52" w:rsidRPr="00511A52" w:rsidRDefault="00511A52" w:rsidP="00511A52">
      <w:pPr>
        <w:numPr>
          <w:ilvl w:val="0"/>
          <w:numId w:val="3"/>
        </w:numPr>
      </w:pPr>
      <w:r w:rsidRPr="00511A52">
        <w:rPr>
          <w:b/>
          <w:bCs/>
        </w:rPr>
        <w:t>Vs Average BMI:</w:t>
      </w:r>
      <w:r w:rsidRPr="00511A52">
        <w:t xml:space="preserve"> Tracks body mass index, indicating an average BMI of approximately 30.0 (Obese/Overweight threshold).</w:t>
      </w:r>
    </w:p>
    <w:p w14:paraId="4172CC26" w14:textId="51B01170" w:rsidR="00511A52" w:rsidRPr="00511A52" w:rsidRDefault="00511A52" w:rsidP="00511A52">
      <w:pPr>
        <w:rPr>
          <w:b/>
          <w:bCs/>
        </w:rPr>
      </w:pPr>
      <w:r w:rsidRPr="00511A52">
        <w:rPr>
          <w:rFonts w:ascii="Segoe UI Emoji" w:hAnsi="Segoe UI Emoji" w:cs="Segoe UI Emoji"/>
          <w:b/>
          <w:bCs/>
        </w:rPr>
        <w:t>🚬</w:t>
      </w:r>
      <w:r w:rsidRPr="00511A52">
        <w:rPr>
          <w:b/>
          <w:bCs/>
        </w:rPr>
        <w:t xml:space="preserve"> Smoking Status Analysis</w:t>
      </w:r>
    </w:p>
    <w:p w14:paraId="3B868C13" w14:textId="4A5CFFCA" w:rsidR="00511A52" w:rsidRDefault="00511A52" w:rsidP="00511A52">
      <w:pPr>
        <w:numPr>
          <w:ilvl w:val="0"/>
          <w:numId w:val="4"/>
        </w:numPr>
      </w:pPr>
      <w:r w:rsidRPr="00511A52">
        <w:rPr>
          <w:b/>
          <w:bCs/>
        </w:rPr>
        <w:t>Smoking Status Distribution:</w:t>
      </w:r>
      <w:r w:rsidRPr="00511A52">
        <w:t xml:space="preserve"> A donut chart breaks down the patient population into </w:t>
      </w:r>
      <w:r w:rsidRPr="00511A52">
        <w:rPr>
          <w:b/>
          <w:bCs/>
        </w:rPr>
        <w:t>Never Smoked</w:t>
      </w:r>
      <w:r w:rsidRPr="00511A52">
        <w:t xml:space="preserve"> (approx. 40.18%), </w:t>
      </w:r>
      <w:r w:rsidRPr="00511A52">
        <w:rPr>
          <w:b/>
          <w:bCs/>
        </w:rPr>
        <w:t>Current Smokers</w:t>
      </w:r>
      <w:r w:rsidRPr="00511A52">
        <w:t xml:space="preserve"> (approx. 30.95%), and </w:t>
      </w:r>
      <w:r w:rsidRPr="00511A52">
        <w:rPr>
          <w:b/>
          <w:bCs/>
        </w:rPr>
        <w:t>Former Smokers</w:t>
      </w:r>
      <w:r w:rsidRPr="00511A52">
        <w:t xml:space="preserve"> (approx. 28.87%)</w:t>
      </w:r>
      <w:r>
        <w:t>.</w:t>
      </w:r>
    </w:p>
    <w:p w14:paraId="10472D2E" w14:textId="2C33938B" w:rsidR="00511A52" w:rsidRPr="00511A52" w:rsidRDefault="00511A52" w:rsidP="00511A52">
      <w:pPr>
        <w:ind w:left="720"/>
      </w:pPr>
      <w:r>
        <w:t xml:space="preserve">                               </w:t>
      </w:r>
      <w:r w:rsidRPr="00511A52">
        <w:rPr>
          <w:b/>
          <w:bCs/>
        </w:rPr>
        <w:drawing>
          <wp:inline distT="0" distB="0" distL="0" distR="0" wp14:anchorId="000AA803" wp14:editId="5495E9AF">
            <wp:extent cx="2438557" cy="1664677"/>
            <wp:effectExtent l="0" t="0" r="0" b="0"/>
            <wp:docPr id="76663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32493" name=""/>
                    <pic:cNvPicPr/>
                  </pic:nvPicPr>
                  <pic:blipFill>
                    <a:blip r:embed="rId7"/>
                    <a:stretch>
                      <a:fillRect/>
                    </a:stretch>
                  </pic:blipFill>
                  <pic:spPr>
                    <a:xfrm>
                      <a:off x="0" y="0"/>
                      <a:ext cx="2451748" cy="1673682"/>
                    </a:xfrm>
                    <a:prstGeom prst="rect">
                      <a:avLst/>
                    </a:prstGeom>
                  </pic:spPr>
                </pic:pic>
              </a:graphicData>
            </a:graphic>
          </wp:inline>
        </w:drawing>
      </w:r>
    </w:p>
    <w:p w14:paraId="4495054D" w14:textId="4E459AAF" w:rsidR="00511A52" w:rsidRDefault="00511A52" w:rsidP="00511A52">
      <w:pPr>
        <w:numPr>
          <w:ilvl w:val="0"/>
          <w:numId w:val="4"/>
        </w:numPr>
      </w:pPr>
      <w:r w:rsidRPr="00511A52">
        <w:rPr>
          <w:b/>
          <w:bCs/>
        </w:rPr>
        <w:t>Gender Analysis (</w:t>
      </w:r>
      <w:r>
        <w:rPr>
          <w:b/>
          <w:bCs/>
        </w:rPr>
        <w:t>Ribbon Chart</w:t>
      </w:r>
      <w:r w:rsidRPr="00511A52">
        <w:rPr>
          <w:b/>
          <w:bCs/>
        </w:rPr>
        <w:t>):</w:t>
      </w:r>
      <w:r w:rsidRPr="00511A52">
        <w:t xml:space="preserve"> Visualizes the flow of smoking habits between Male and Female patients across all categories.</w:t>
      </w:r>
    </w:p>
    <w:p w14:paraId="33B1227B" w14:textId="2246BD60" w:rsidR="00511A52" w:rsidRPr="00511A52" w:rsidRDefault="00511A52" w:rsidP="00511A52">
      <w:pPr>
        <w:ind w:left="720"/>
      </w:pPr>
      <w:r>
        <w:lastRenderedPageBreak/>
        <w:t xml:space="preserve">                              </w:t>
      </w:r>
      <w:r w:rsidRPr="00511A52">
        <w:drawing>
          <wp:inline distT="0" distB="0" distL="0" distR="0" wp14:anchorId="79D4383C" wp14:editId="13DB4826">
            <wp:extent cx="2526323" cy="1917139"/>
            <wp:effectExtent l="0" t="0" r="7620" b="6985"/>
            <wp:docPr id="14518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9019" name=""/>
                    <pic:cNvPicPr/>
                  </pic:nvPicPr>
                  <pic:blipFill>
                    <a:blip r:embed="rId8"/>
                    <a:stretch>
                      <a:fillRect/>
                    </a:stretch>
                  </pic:blipFill>
                  <pic:spPr>
                    <a:xfrm>
                      <a:off x="0" y="0"/>
                      <a:ext cx="2535467" cy="1924078"/>
                    </a:xfrm>
                    <a:prstGeom prst="rect">
                      <a:avLst/>
                    </a:prstGeom>
                  </pic:spPr>
                </pic:pic>
              </a:graphicData>
            </a:graphic>
          </wp:inline>
        </w:drawing>
      </w:r>
    </w:p>
    <w:p w14:paraId="2CE724A8" w14:textId="4939035C" w:rsidR="00511A52" w:rsidRDefault="00511A52" w:rsidP="00511A52">
      <w:pPr>
        <w:numPr>
          <w:ilvl w:val="0"/>
          <w:numId w:val="4"/>
        </w:numPr>
      </w:pPr>
      <w:r w:rsidRPr="00511A52">
        <w:rPr>
          <w:b/>
          <w:bCs/>
        </w:rPr>
        <w:t>Smoking Duration &amp; Intake:</w:t>
      </w:r>
      <w:r w:rsidRPr="00511A52">
        <w:t xml:space="preserve"> A line chart tracks </w:t>
      </w:r>
      <w:r w:rsidRPr="00511A52">
        <w:rPr>
          <w:b/>
          <w:bCs/>
        </w:rPr>
        <w:t>Years Smoked (YOS)</w:t>
      </w:r>
      <w:r w:rsidRPr="00511A52">
        <w:t xml:space="preserve"> vs. </w:t>
      </w:r>
      <w:r w:rsidRPr="00511A52">
        <w:rPr>
          <w:b/>
          <w:bCs/>
        </w:rPr>
        <w:t>Cigarettes Per Day (CPD)</w:t>
      </w:r>
      <w:r w:rsidRPr="00511A52">
        <w:t xml:space="preserve"> across age groups (18–69+), identifying peak usage years.</w:t>
      </w:r>
    </w:p>
    <w:p w14:paraId="5F1AB4B2" w14:textId="3A91E10E" w:rsidR="00511A52" w:rsidRPr="00511A52" w:rsidRDefault="00511A52" w:rsidP="00511A52">
      <w:pPr>
        <w:ind w:left="720"/>
      </w:pPr>
      <w:r>
        <w:t xml:space="preserve">                                     </w:t>
      </w:r>
      <w:r w:rsidRPr="00511A52">
        <w:drawing>
          <wp:inline distT="0" distB="0" distL="0" distR="0" wp14:anchorId="2FCEEE73" wp14:editId="3BC95526">
            <wp:extent cx="2798758" cy="1600200"/>
            <wp:effectExtent l="0" t="0" r="1905" b="0"/>
            <wp:docPr id="18523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50531" name=""/>
                    <pic:cNvPicPr/>
                  </pic:nvPicPr>
                  <pic:blipFill>
                    <a:blip r:embed="rId9"/>
                    <a:stretch>
                      <a:fillRect/>
                    </a:stretch>
                  </pic:blipFill>
                  <pic:spPr>
                    <a:xfrm>
                      <a:off x="0" y="0"/>
                      <a:ext cx="2810124" cy="1606699"/>
                    </a:xfrm>
                    <a:prstGeom prst="rect">
                      <a:avLst/>
                    </a:prstGeom>
                  </pic:spPr>
                </pic:pic>
              </a:graphicData>
            </a:graphic>
          </wp:inline>
        </w:drawing>
      </w:r>
    </w:p>
    <w:p w14:paraId="3A75FE06" w14:textId="77777777" w:rsidR="00511A52" w:rsidRPr="00511A52" w:rsidRDefault="00511A52" w:rsidP="00511A52">
      <w:pPr>
        <w:rPr>
          <w:b/>
          <w:bCs/>
        </w:rPr>
      </w:pPr>
      <w:r w:rsidRPr="00511A52">
        <w:rPr>
          <w:rFonts w:ascii="Segoe UI Emoji" w:hAnsi="Segoe UI Emoji" w:cs="Segoe UI Emoji"/>
          <w:b/>
          <w:bCs/>
        </w:rPr>
        <w:t>📉</w:t>
      </w:r>
      <w:r w:rsidRPr="00511A52">
        <w:rPr>
          <w:b/>
          <w:bCs/>
        </w:rPr>
        <w:t xml:space="preserve"> Clinical Risk Assessment</w:t>
      </w:r>
    </w:p>
    <w:p w14:paraId="7DE2090E" w14:textId="735E48FA" w:rsidR="00511A52" w:rsidRDefault="00511A52" w:rsidP="00511A52">
      <w:pPr>
        <w:numPr>
          <w:ilvl w:val="0"/>
          <w:numId w:val="5"/>
        </w:numPr>
      </w:pPr>
      <w:r w:rsidRPr="00511A52">
        <w:rPr>
          <w:b/>
          <w:bCs/>
        </w:rPr>
        <w:t>Organ Health Status:</w:t>
      </w:r>
      <w:r w:rsidRPr="00511A52">
        <w:t xml:space="preserve"> High-quality anatomical visuals indicate whether an organ is </w:t>
      </w:r>
      <w:r w:rsidRPr="00511A52">
        <w:rPr>
          <w:b/>
          <w:bCs/>
        </w:rPr>
        <w:t>Healthy</w:t>
      </w:r>
      <w:r w:rsidRPr="00511A52">
        <w:t xml:space="preserve"> or </w:t>
      </w:r>
      <w:r w:rsidRPr="00511A52">
        <w:rPr>
          <w:b/>
          <w:bCs/>
        </w:rPr>
        <w:t>Damaged</w:t>
      </w:r>
      <w:r w:rsidRPr="00511A52">
        <w:t xml:space="preserve"> based on user selection.</w:t>
      </w:r>
    </w:p>
    <w:p w14:paraId="1B30E9A4" w14:textId="2FC95814" w:rsidR="000D734C" w:rsidRPr="00511A52" w:rsidRDefault="000D734C" w:rsidP="000D734C">
      <w:pPr>
        <w:ind w:left="720"/>
      </w:pPr>
      <w:r>
        <w:t xml:space="preserve">            </w:t>
      </w:r>
      <w:r>
        <w:rPr>
          <w:noProof/>
        </w:rPr>
        <w:drawing>
          <wp:inline distT="0" distB="0" distL="0" distR="0" wp14:anchorId="5C6801DF" wp14:editId="091A26BE">
            <wp:extent cx="1949592" cy="1790700"/>
            <wp:effectExtent l="0" t="0" r="0" b="0"/>
            <wp:docPr id="158124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41683" name=""/>
                    <pic:cNvPicPr/>
                  </pic:nvPicPr>
                  <pic:blipFill rotWithShape="1">
                    <a:blip r:embed="rId10"/>
                    <a:srcRect l="38555"/>
                    <a:stretch>
                      <a:fillRect/>
                    </a:stretch>
                  </pic:blipFill>
                  <pic:spPr bwMode="auto">
                    <a:xfrm>
                      <a:off x="0" y="0"/>
                      <a:ext cx="1957945" cy="179837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00178319" wp14:editId="623797B7">
            <wp:extent cx="1822450" cy="1781833"/>
            <wp:effectExtent l="0" t="0" r="6350" b="8890"/>
            <wp:docPr id="42944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46067" name=""/>
                    <pic:cNvPicPr/>
                  </pic:nvPicPr>
                  <pic:blipFill rotWithShape="1">
                    <a:blip r:embed="rId11"/>
                    <a:srcRect l="39220" r="3612"/>
                    <a:stretch>
                      <a:fillRect/>
                    </a:stretch>
                  </pic:blipFill>
                  <pic:spPr bwMode="auto">
                    <a:xfrm>
                      <a:off x="0" y="0"/>
                      <a:ext cx="1837968" cy="1797005"/>
                    </a:xfrm>
                    <a:prstGeom prst="rect">
                      <a:avLst/>
                    </a:prstGeom>
                    <a:ln>
                      <a:noFill/>
                    </a:ln>
                    <a:extLst>
                      <a:ext uri="{53640926-AAD7-44D8-BBD7-CCE9431645EC}">
                        <a14:shadowObscured xmlns:a14="http://schemas.microsoft.com/office/drawing/2010/main"/>
                      </a:ext>
                    </a:extLst>
                  </pic:spPr>
                </pic:pic>
              </a:graphicData>
            </a:graphic>
          </wp:inline>
        </w:drawing>
      </w:r>
    </w:p>
    <w:p w14:paraId="1B0C12C5" w14:textId="48AE2DB8" w:rsidR="00511A52" w:rsidRDefault="00511A52" w:rsidP="00511A52">
      <w:pPr>
        <w:numPr>
          <w:ilvl w:val="0"/>
          <w:numId w:val="5"/>
        </w:numPr>
      </w:pPr>
      <w:r w:rsidRPr="00511A52">
        <w:rPr>
          <w:b/>
          <w:bCs/>
        </w:rPr>
        <w:t>Cholesterol &amp; Hypertension Risk:</w:t>
      </w:r>
      <w:r w:rsidRPr="00511A52">
        <w:t xml:space="preserve"> A stacked bar chart analyzes Blood Pressure (BP) risks (High, Low, Normal) across various age groups.</w:t>
      </w:r>
    </w:p>
    <w:p w14:paraId="1B1CE13F" w14:textId="3D723478" w:rsidR="000D734C" w:rsidRPr="00511A52" w:rsidRDefault="000D734C" w:rsidP="000D734C">
      <w:pPr>
        <w:ind w:left="720"/>
      </w:pPr>
      <w:r>
        <w:lastRenderedPageBreak/>
        <w:t xml:space="preserve">                         </w:t>
      </w:r>
      <w:r w:rsidRPr="000D734C">
        <w:drawing>
          <wp:inline distT="0" distB="0" distL="0" distR="0" wp14:anchorId="4A2CE330" wp14:editId="4B0F1765">
            <wp:extent cx="2343150" cy="2068132"/>
            <wp:effectExtent l="0" t="0" r="0" b="8890"/>
            <wp:docPr id="23875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52292" name=""/>
                    <pic:cNvPicPr/>
                  </pic:nvPicPr>
                  <pic:blipFill>
                    <a:blip r:embed="rId12"/>
                    <a:stretch>
                      <a:fillRect/>
                    </a:stretch>
                  </pic:blipFill>
                  <pic:spPr>
                    <a:xfrm>
                      <a:off x="0" y="0"/>
                      <a:ext cx="2359171" cy="2082273"/>
                    </a:xfrm>
                    <a:prstGeom prst="rect">
                      <a:avLst/>
                    </a:prstGeom>
                  </pic:spPr>
                </pic:pic>
              </a:graphicData>
            </a:graphic>
          </wp:inline>
        </w:drawing>
      </w:r>
    </w:p>
    <w:p w14:paraId="3938DA58" w14:textId="77777777" w:rsidR="00511A52" w:rsidRPr="00511A52" w:rsidRDefault="00511A52" w:rsidP="00511A52">
      <w:r w:rsidRPr="00511A52">
        <w:pict w14:anchorId="300BB44C">
          <v:rect id="_x0000_i1045" style="width:0;height:1.5pt" o:hralign="center" o:hrstd="t" o:hr="t" fillcolor="#a0a0a0" stroked="f"/>
        </w:pict>
      </w:r>
    </w:p>
    <w:p w14:paraId="551D4672" w14:textId="77777777" w:rsidR="00511A52" w:rsidRPr="00511A52" w:rsidRDefault="00511A52" w:rsidP="00511A52">
      <w:pPr>
        <w:rPr>
          <w:b/>
          <w:bCs/>
        </w:rPr>
      </w:pPr>
      <w:r w:rsidRPr="00511A52">
        <w:rPr>
          <w:b/>
          <w:bCs/>
        </w:rPr>
        <w:t>5. Visual Summary of Findings</w:t>
      </w:r>
    </w:p>
    <w:p w14:paraId="147011E1" w14:textId="59B0ADFF" w:rsidR="00511A52" w:rsidRPr="00511A52" w:rsidRDefault="00511A52" w:rsidP="00511A52">
      <w:pPr>
        <w:numPr>
          <w:ilvl w:val="0"/>
          <w:numId w:val="6"/>
        </w:numPr>
      </w:pPr>
      <w:r w:rsidRPr="00511A52">
        <w:rPr>
          <w:b/>
          <w:bCs/>
        </w:rPr>
        <w:t>Age Correlation:</w:t>
      </w:r>
      <w:r w:rsidRPr="00511A52">
        <w:t xml:space="preserve"> Older age groups (59–68 and 69+) show a higher prevalence of Former Smokers and higher BP risk.</w:t>
      </w:r>
    </w:p>
    <w:p w14:paraId="56D9E217" w14:textId="60586E48" w:rsidR="00511A52" w:rsidRPr="00511A52" w:rsidRDefault="00511A52" w:rsidP="00511A52">
      <w:pPr>
        <w:numPr>
          <w:ilvl w:val="0"/>
          <w:numId w:val="6"/>
        </w:numPr>
      </w:pPr>
      <w:r w:rsidRPr="00511A52">
        <w:rPr>
          <w:b/>
          <w:bCs/>
        </w:rPr>
        <w:t>Organ Impact:</w:t>
      </w:r>
      <w:r w:rsidRPr="00511A52">
        <w:t xml:space="preserve"> The report demonstrates a visual correlation between high "Cigarettes Per Day" and damaged organ indicators.</w:t>
      </w:r>
    </w:p>
    <w:p w14:paraId="7FC3745A" w14:textId="77777777" w:rsidR="00511A52" w:rsidRPr="00511A52" w:rsidRDefault="00511A52" w:rsidP="00511A52">
      <w:pPr>
        <w:numPr>
          <w:ilvl w:val="0"/>
          <w:numId w:val="6"/>
        </w:numPr>
      </w:pPr>
      <w:r w:rsidRPr="00511A52">
        <w:rPr>
          <w:b/>
          <w:bCs/>
        </w:rPr>
        <w:t>BMI Risk:</w:t>
      </w:r>
      <w:r w:rsidRPr="00511A52">
        <w:t xml:space="preserve"> The average BMI remains consistently high (</w:t>
      </w:r>
      <w:r w:rsidRPr="00511A52">
        <w:rPr>
          <w:rFonts w:ascii="Arial" w:hAnsi="Arial" w:cs="Arial"/>
        </w:rPr>
        <w:t>▲</w:t>
      </w:r>
      <w:r w:rsidRPr="00511A52">
        <w:t xml:space="preserve"> 30.0) across the patient dataset, suggesting a combined risk factor with smoking.</w:t>
      </w:r>
    </w:p>
    <w:p w14:paraId="7AA503E3" w14:textId="77777777" w:rsidR="00511A52" w:rsidRDefault="00511A52"/>
    <w:sectPr w:rsidR="00511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7345"/>
    <w:multiLevelType w:val="multilevel"/>
    <w:tmpl w:val="D1D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4187"/>
    <w:multiLevelType w:val="multilevel"/>
    <w:tmpl w:val="1B6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2E1B"/>
    <w:multiLevelType w:val="multilevel"/>
    <w:tmpl w:val="E9C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04003"/>
    <w:multiLevelType w:val="multilevel"/>
    <w:tmpl w:val="CDD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26C01"/>
    <w:multiLevelType w:val="multilevel"/>
    <w:tmpl w:val="85DCC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92777B"/>
    <w:multiLevelType w:val="multilevel"/>
    <w:tmpl w:val="F94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05951">
    <w:abstractNumId w:val="3"/>
  </w:num>
  <w:num w:numId="2" w16cid:durableId="156309421">
    <w:abstractNumId w:val="2"/>
  </w:num>
  <w:num w:numId="3" w16cid:durableId="1557351338">
    <w:abstractNumId w:val="5"/>
  </w:num>
  <w:num w:numId="4" w16cid:durableId="1193762691">
    <w:abstractNumId w:val="1"/>
  </w:num>
  <w:num w:numId="5" w16cid:durableId="658189857">
    <w:abstractNumId w:val="0"/>
  </w:num>
  <w:num w:numId="6" w16cid:durableId="547494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A52"/>
    <w:rsid w:val="000D734C"/>
    <w:rsid w:val="00446F11"/>
    <w:rsid w:val="00511A52"/>
    <w:rsid w:val="009B0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2592"/>
  <w15:chartTrackingRefBased/>
  <w15:docId w15:val="{A4CA8DBC-F84B-4F64-83A3-313A9665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A52"/>
    <w:rPr>
      <w:rFonts w:eastAsiaTheme="majorEastAsia" w:cstheme="majorBidi"/>
      <w:color w:val="272727" w:themeColor="text1" w:themeTint="D8"/>
    </w:rPr>
  </w:style>
  <w:style w:type="paragraph" w:styleId="Title">
    <w:name w:val="Title"/>
    <w:basedOn w:val="Normal"/>
    <w:next w:val="Normal"/>
    <w:link w:val="TitleChar"/>
    <w:uiPriority w:val="10"/>
    <w:qFormat/>
    <w:rsid w:val="00511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A52"/>
    <w:pPr>
      <w:spacing w:before="160"/>
      <w:jc w:val="center"/>
    </w:pPr>
    <w:rPr>
      <w:i/>
      <w:iCs/>
      <w:color w:val="404040" w:themeColor="text1" w:themeTint="BF"/>
    </w:rPr>
  </w:style>
  <w:style w:type="character" w:customStyle="1" w:styleId="QuoteChar">
    <w:name w:val="Quote Char"/>
    <w:basedOn w:val="DefaultParagraphFont"/>
    <w:link w:val="Quote"/>
    <w:uiPriority w:val="29"/>
    <w:rsid w:val="00511A52"/>
    <w:rPr>
      <w:i/>
      <w:iCs/>
      <w:color w:val="404040" w:themeColor="text1" w:themeTint="BF"/>
    </w:rPr>
  </w:style>
  <w:style w:type="paragraph" w:styleId="ListParagraph">
    <w:name w:val="List Paragraph"/>
    <w:basedOn w:val="Normal"/>
    <w:uiPriority w:val="34"/>
    <w:qFormat/>
    <w:rsid w:val="00511A52"/>
    <w:pPr>
      <w:ind w:left="720"/>
      <w:contextualSpacing/>
    </w:pPr>
  </w:style>
  <w:style w:type="character" w:styleId="IntenseEmphasis">
    <w:name w:val="Intense Emphasis"/>
    <w:basedOn w:val="DefaultParagraphFont"/>
    <w:uiPriority w:val="21"/>
    <w:qFormat/>
    <w:rsid w:val="00511A52"/>
    <w:rPr>
      <w:i/>
      <w:iCs/>
      <w:color w:val="2F5496" w:themeColor="accent1" w:themeShade="BF"/>
    </w:rPr>
  </w:style>
  <w:style w:type="paragraph" w:styleId="IntenseQuote">
    <w:name w:val="Intense Quote"/>
    <w:basedOn w:val="Normal"/>
    <w:next w:val="Normal"/>
    <w:link w:val="IntenseQuoteChar"/>
    <w:uiPriority w:val="30"/>
    <w:qFormat/>
    <w:rsid w:val="00511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A52"/>
    <w:rPr>
      <w:i/>
      <w:iCs/>
      <w:color w:val="2F5496" w:themeColor="accent1" w:themeShade="BF"/>
    </w:rPr>
  </w:style>
  <w:style w:type="character" w:styleId="IntenseReference">
    <w:name w:val="Intense Reference"/>
    <w:basedOn w:val="DefaultParagraphFont"/>
    <w:uiPriority w:val="32"/>
    <w:qFormat/>
    <w:rsid w:val="00511A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Narmeen Khanam</dc:creator>
  <cp:keywords/>
  <dc:description/>
  <cp:lastModifiedBy>Narmeen Khanam</cp:lastModifiedBy>
  <cp:revision>2</cp:revision>
  <dcterms:created xsi:type="dcterms:W3CDTF">2026-02-25T10:48:00Z</dcterms:created>
  <dcterms:modified xsi:type="dcterms:W3CDTF">2026-02-25T11:04:00Z</dcterms:modified>
</cp:coreProperties>
</file>