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AUDIT — Spécification</w:t>
      </w:r>
    </w:p>
    <w:p/>
    <w:p>
      <w:r>
        <w:t xml:space="preserve">Domaine Audit de Naminto.Ex — reconstitution du 2026-08-25, dérivée de NAMINTO.EX ARCHITECTURE GENERALE (sections 41, 53, 56, 57) et du Master Prompt / Prompt 28 des 30 prompts de vibecoding.</w:t>
      </w:r>
    </w:p>
    <w:p/>
    <w:p>
      <w:pPr>
        <w:pStyle w:val="Heading1"/>
        <w:spacing w:after="120" w:before="260"/>
      </w:pPr>
      <w:r>
        <w:t xml:space="preserve">1. Objet et périmètre</w:t>
      </w:r>
    </w:p>
    <w:p/>
    <w:p>
      <w:r>
        <w:t xml:space="preserve">Le domaine Audit assure la traçabilité de toute action sensible, qu'elle soit initiée par un utilisateur, un administrateur ou le système. Il constitue, avec le Ledger, l'un des piliers de vérifiabilité de Naminto.Ex.</w:t>
      </w:r>
    </w:p>
    <w:p/>
    <w:p>
      <w:pPr>
        <w:pStyle w:val="Heading1"/>
        <w:spacing w:after="120" w:before="260"/>
      </w:pPr>
      <w:r>
        <w:t xml:space="preserve">2. Portée de l'audit</w:t>
      </w:r>
    </w:p>
    <w:p/>
    <w:p>
      <w:pPr>
        <w:pStyle w:val="ListParagraph"/>
        <w:numPr>
          <w:ilvl w:val="0"/>
          <w:numId w:val="1"/>
        </w:numPr>
      </w:pPr>
      <w:r>
        <w:t xml:space="preserve">Actions administratives sensibles réalisées depuis le Back Office.</w:t>
      </w:r>
    </w:p>
    <w:p>
      <w:pPr>
        <w:pStyle w:val="ListParagraph"/>
        <w:numPr>
          <w:ilvl w:val="0"/>
          <w:numId w:val="1"/>
        </w:numPr>
      </w:pPr>
      <w:r>
        <w:t xml:space="preserve">Événements de sécurité liés à l'identité (connexion, appareil, session) — voir spécification IDENTITY.</w:t>
      </w:r>
    </w:p>
    <w:p>
      <w:pPr>
        <w:pStyle w:val="ListParagraph"/>
        <w:numPr>
          <w:ilvl w:val="0"/>
          <w:numId w:val="1"/>
        </w:numPr>
      </w:pPr>
      <w:r>
        <w:t xml:space="preserve">Décisions des moteurs Risk, Fraud et Compliance.</w:t>
      </w:r>
    </w:p>
    <w:p>
      <w:pPr>
        <w:pStyle w:val="ListParagraph"/>
        <w:numPr>
          <w:ilvl w:val="0"/>
          <w:numId w:val="1"/>
        </w:numPr>
      </w:pPr>
      <w:r>
        <w:t xml:space="preserve">Écritures et corrections du Ledger — voir domaine Finance.</w:t>
      </w:r>
    </w:p>
    <w:p>
      <w:pPr>
        <w:pStyle w:val="ListParagraph"/>
        <w:numPr>
          <w:ilvl w:val="0"/>
          <w:numId w:val="1"/>
        </w:numPr>
      </w:pPr>
      <w:r>
        <w:t xml:space="preserve">Réception et traitement des webhooks fournisseurs.</w:t>
      </w:r>
    </w:p>
    <w:p/>
    <w:p>
      <w:pPr>
        <w:pStyle w:val="Heading1"/>
        <w:spacing w:after="120" w:before="260"/>
      </w:pPr>
      <w:r>
        <w:t xml:space="preserve">3. Modèle d'un enregistrement d'audit</w:t>
      </w:r>
    </w:p>
    <w:p/>
    <w:p>
      <w:pPr>
        <w:pStyle w:val="ListParagraph"/>
        <w:numPr>
          <w:ilvl w:val="0"/>
          <w:numId w:val="1"/>
        </w:numPr>
      </w:pPr>
      <w:r>
        <w:t xml:space="preserve">id, timestamp</w:t>
      </w:r>
    </w:p>
    <w:p>
      <w:pPr>
        <w:pStyle w:val="ListParagraph"/>
        <w:numPr>
          <w:ilvl w:val="0"/>
          <w:numId w:val="1"/>
        </w:numPr>
      </w:pPr>
      <w:r>
        <w:t xml:space="preserve">actor_type (USER / ADMIN / SYSTEM / PROVIDER), actor_id</w:t>
      </w:r>
    </w:p>
    <w:p>
      <w:pPr>
        <w:pStyle w:val="ListParagraph"/>
        <w:numPr>
          <w:ilvl w:val="0"/>
          <w:numId w:val="1"/>
        </w:numPr>
      </w:pPr>
      <w:r>
        <w:t xml:space="preserve">action, object_type, object_id</w:t>
      </w:r>
    </w:p>
    <w:p>
      <w:pPr>
        <w:pStyle w:val="ListParagraph"/>
        <w:numPr>
          <w:ilvl w:val="0"/>
          <w:numId w:val="1"/>
        </w:numPr>
      </w:pPr>
      <w:r>
        <w:t xml:space="preserve">old_value, new_value</w:t>
      </w:r>
    </w:p>
    <w:p>
      <w:pPr>
        <w:pStyle w:val="ListParagraph"/>
        <w:numPr>
          <w:ilvl w:val="0"/>
          <w:numId w:val="1"/>
        </w:numPr>
      </w:pPr>
      <w:r>
        <w:t xml:space="preserve">justification</w:t>
      </w:r>
    </w:p>
    <w:p>
      <w:pPr>
        <w:pStyle w:val="ListParagraph"/>
        <w:numPr>
          <w:ilvl w:val="0"/>
          <w:numId w:val="1"/>
        </w:numPr>
      </w:pPr>
      <w:r>
        <w:t xml:space="preserve">technical_context (ip_hash, device, request_id, correlation_id)</w:t>
      </w:r>
    </w:p>
    <w:p/>
    <w:p>
      <w:pPr>
        <w:pStyle w:val="Heading1"/>
        <w:spacing w:after="120" w:before="260"/>
      </w:pPr>
      <w:r>
        <w:t xml:space="preserve">4. Règles</w:t>
      </w:r>
    </w:p>
    <w:p/>
    <w:p>
      <w:pPr>
        <w:pStyle w:val="ListParagraph"/>
        <w:numPr>
          <w:ilvl w:val="0"/>
          <w:numId w:val="1"/>
        </w:numPr>
      </w:pPr>
      <w:r>
        <w:t xml:space="preserve">Un enregistrement d'audit n'est jamais modifiable ni supprimable : la journalisation est append-only, au même titre que le Ledger.</w:t>
      </w:r>
    </w:p>
    <w:p>
      <w:pPr>
        <w:pStyle w:val="ListParagraph"/>
        <w:numPr>
          <w:ilvl w:val="0"/>
          <w:numId w:val="1"/>
        </w:numPr>
      </w:pPr>
      <w:r>
        <w:t xml:space="preserve">Toute opération administrative sensible exige une justification explicite avant validation.</w:t>
      </w:r>
    </w:p>
    <w:p>
      <w:pPr>
        <w:pStyle w:val="ListParagraph"/>
        <w:numPr>
          <w:ilvl w:val="0"/>
          <w:numId w:val="1"/>
        </w:numPr>
      </w:pPr>
      <w:r>
        <w:t xml:space="preserve">Certaines actions à haut risque nécessitent une double validation, conformément au principe de séparation des rôles (Support, KYC, Compliance, Risk, Finance, Operations, Security, Legal, Super Admin).</w:t>
      </w:r>
    </w:p>
    <w:p/>
    <w:p>
      <w:pPr>
        <w:pStyle w:val="Heading1"/>
        <w:spacing w:after="120" w:before="260"/>
      </w:pPr>
      <w:r>
        <w:t xml:space="preserve">5. Accès</w:t>
      </w:r>
    </w:p>
    <w:p/>
    <w:p>
      <w:r>
        <w:t xml:space="preserve">La lecture des journaux d'audit est réservée aux rôles autorisés via la permission `audit.read`, contrôlée strictement côté serveur.</w:t>
      </w:r>
    </w:p>
    <w:p/>
    <w:p>
      <w:pPr>
        <w:pStyle w:val="Heading1"/>
        <w:spacing w:after="120" w:before="260"/>
      </w:pPr>
      <w:r>
        <w:t xml:space="preserve">6. Rétention</w:t>
      </w:r>
    </w:p>
    <w:p/>
    <w:p>
      <w:r>
        <w:t xml:space="preserve">La conservation des journaux respecte un minimum réglementaire ; toute suppression n'intervient que lorsqu'elle est légalement permise, en cohérence avec la Politique de confidentialité de Naminto.Ex.</w:t>
      </w:r>
    </w:p>
    <w:p/>
    <w:p>
      <w:pPr>
        <w:pStyle w:val="Heading1"/>
        <w:spacing w:after="120" w:before="260"/>
      </w:pPr>
      <w:r>
        <w:t xml:space="preserve">7. Audit de sécurité offensif</w:t>
      </w:r>
    </w:p>
    <w:p/>
    <w:p>
      <w:r>
        <w:t xml:space="preserve">Un audit offensif continu du projet doit rechercher notamment : auth bypass, privilege escalation, IDOR, injection, XSS, CSRF, secrets exposés, logs sensibles, brute force, replay, paiement dupliqué, race condition, permissions insuffisantes, données personnelles exposées.</w:t>
      </w:r>
    </w:p>
    <w:p/>
    <w:p>
      <w:r>
        <w:t xml:space="preserve">Pour chaque problème détecté, le cycle appliqué est : DETECT → CLASSIFY → FIX → TEST → DOCUMENT. Un problème signalé doit être corrigé, pas seulement documenté.</w:t>
      </w:r>
    </w:p>
    <w:p/>
    <w:p>
      <w:pPr>
        <w:pStyle w:val="Heading1"/>
        <w:spacing w:after="120" w:before="260"/>
      </w:pPr>
      <w:r>
        <w:t xml:space="preserve">8. Points À DÉCIDER</w:t>
      </w:r>
    </w:p>
    <w:p/>
    <w:p>
      <w:pPr>
        <w:pStyle w:val="ListParagraph"/>
        <w:numPr>
          <w:ilvl w:val="0"/>
          <w:numId w:val="1"/>
        </w:numPr>
      </w:pPr>
      <w:r>
        <w:t xml:space="preserve">Durée de rétention exacte des journaux d'audit par juridiction.</w:t>
      </w:r>
    </w:p>
    <w:p>
      <w:pPr>
        <w:pStyle w:val="ListParagraph"/>
        <w:numPr>
          <w:ilvl w:val="0"/>
          <w:numId w:val="1"/>
        </w:numPr>
      </w:pPr>
      <w:r>
        <w:t xml:space="preserve">Liste exhaustive des actions administratives nécessitant une double validation.</w:t>
      </w:r>
    </w:p>
    <w:p>
      <w:pPr>
        <w:pStyle w:val="ListParagraph"/>
        <w:numPr>
          <w:ilvl w:val="0"/>
          <w:numId w:val="1"/>
        </w:numPr>
      </w:pPr>
      <w:r>
        <w:t xml:space="preserve">Plateforme et mécanisme de stockage retenus pour les journaux d'audit (immuabilité technique, WORM ou équivalent).</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2026-08-24T23:00:11.788Z</dcterms:created>
  <dcterms:modified xsi:type="dcterms:W3CDTF">2026-08-24T23:00:11.789Z</dcterms:modified>
</cp:coreProperties>
</file>

<file path=docProps/custom.xml><?xml version="1.0" encoding="utf-8"?>
<Properties xmlns="http://schemas.openxmlformats.org/officeDocument/2006/custom-properties" xmlns:vt="http://schemas.openxmlformats.org/officeDocument/2006/docPropsVTypes"/>
</file>