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OBSERVABILITY — Spécification</w:t>
      </w:r>
    </w:p>
    <w:p/>
    <w:p>
      <w:r>
        <w:t xml:space="preserve">Domaine Observability de Naminto.Ex — reconstitution du 2026-08-25, dérivée de NAMINTO.EX ARCHITECTURE GENERALE (sections 47, 58 à 60, 64) et du Prompt 27 des 30 prompts de vibecoding.</w:t>
      </w:r>
    </w:p>
    <w:p/>
    <w:p>
      <w:pPr>
        <w:pStyle w:val="Heading1"/>
        <w:spacing w:after="120" w:before="260"/>
      </w:pPr>
      <w:r>
        <w:t xml:space="preserve">1. Objet et périmètre</w:t>
      </w:r>
    </w:p>
    <w:p/>
    <w:p>
      <w:r>
        <w:t xml:space="preserve">L'observabilité couvre la capacité à comprendre, mesurer et suivre le comportement technique de Naminto.Ex, ainsi que la disponibilité des services externes et la continuité d'activité.</w:t>
      </w:r>
    </w:p>
    <w:p/>
    <w:p>
      <w:pPr>
        <w:pStyle w:val="Heading1"/>
        <w:spacing w:after="120" w:before="260"/>
      </w:pPr>
      <w:r>
        <w:t xml:space="preserve">2. Piliers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Logs</w:t>
      </w:r>
      <w:r>
        <w:t xml:space="preserve"> : pour comprendre les événements.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Metrics</w:t>
      </w:r>
      <w:r>
        <w:t xml:space="preserve"> : pour mesurer le système.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Traces</w:t>
      </w:r>
      <w:r>
        <w:t xml:space="preserve"> : pour suivre le parcours technique d'une transaction.</w:t>
      </w:r>
    </w:p>
    <w:p/>
    <w:p>
      <w:pPr>
        <w:pStyle w:val="Heading1"/>
        <w:spacing w:after="120" w:before="260"/>
      </w:pPr>
      <w:r>
        <w:t xml:space="preserve">3. Métriques minimales à mesurer</w:t>
      </w:r>
    </w:p>
    <w:p/>
    <w:p>
      <w:pPr>
        <w:pStyle w:val="ListParagraph"/>
        <w:numPr>
          <w:ilvl w:val="0"/>
          <w:numId w:val="1"/>
        </w:numPr>
      </w:pPr>
      <w:r>
        <w:t xml:space="preserve">API latency</w:t>
      </w:r>
    </w:p>
    <w:p>
      <w:pPr>
        <w:pStyle w:val="ListParagraph"/>
        <w:numPr>
          <w:ilvl w:val="0"/>
          <w:numId w:val="1"/>
        </w:numPr>
      </w:pPr>
      <w:r>
        <w:t xml:space="preserve">error rate</w:t>
      </w:r>
    </w:p>
    <w:p>
      <w:pPr>
        <w:pStyle w:val="ListParagraph"/>
        <w:numPr>
          <w:ilvl w:val="0"/>
          <w:numId w:val="1"/>
        </w:numPr>
      </w:pPr>
      <w:r>
        <w:t xml:space="preserve">provider latency</w:t>
      </w:r>
    </w:p>
    <w:p>
      <w:pPr>
        <w:pStyle w:val="ListParagraph"/>
        <w:numPr>
          <w:ilvl w:val="0"/>
          <w:numId w:val="1"/>
        </w:numPr>
      </w:pPr>
      <w:r>
        <w:t xml:space="preserve">provider errors</w:t>
      </w:r>
    </w:p>
    <w:p>
      <w:pPr>
        <w:pStyle w:val="ListParagraph"/>
        <w:numPr>
          <w:ilvl w:val="0"/>
          <w:numId w:val="1"/>
        </w:numPr>
      </w:pPr>
      <w:r>
        <w:t xml:space="preserve">transaction success rate</w:t>
      </w:r>
    </w:p>
    <w:p>
      <w:pPr>
        <w:pStyle w:val="ListParagraph"/>
        <w:numPr>
          <w:ilvl w:val="0"/>
          <w:numId w:val="1"/>
        </w:numPr>
      </w:pPr>
      <w:r>
        <w:t xml:space="preserve">webhook failures</w:t>
      </w:r>
    </w:p>
    <w:p>
      <w:pPr>
        <w:pStyle w:val="ListParagraph"/>
        <w:numPr>
          <w:ilvl w:val="0"/>
          <w:numId w:val="1"/>
        </w:numPr>
      </w:pPr>
      <w:r>
        <w:t xml:space="preserve">reconciliation anomalies</w:t>
      </w:r>
    </w:p>
    <w:p>
      <w:pPr>
        <w:pStyle w:val="ListParagraph"/>
        <w:numPr>
          <w:ilvl w:val="0"/>
          <w:numId w:val="1"/>
        </w:numPr>
      </w:pPr>
      <w:r>
        <w:t xml:space="preserve">notification failures</w:t>
      </w:r>
    </w:p>
    <w:p>
      <w:pPr>
        <w:pStyle w:val="ListParagraph"/>
        <w:numPr>
          <w:ilvl w:val="0"/>
          <w:numId w:val="1"/>
        </w:numPr>
      </w:pPr>
      <w:r>
        <w:t xml:space="preserve">authentication anomalies</w:t>
      </w:r>
    </w:p>
    <w:p/>
    <w:p>
      <w:pPr>
        <w:pStyle w:val="Heading1"/>
        <w:spacing w:after="120" w:before="260"/>
      </w:pPr>
      <w:r>
        <w:t xml:space="preserve">4. Corrélation</w:t>
      </w:r>
    </w:p>
    <w:p/>
    <w:p>
      <w:r>
        <w:t xml:space="preserve">Chaque requête importante doit pouvoir être corrélée à un request_id. Chaque transaction doit pouvoir être suivie de bout en bout via un correlation_id partagé avec l'architecture événementielle (voir domaine Payments et Finance).</w:t>
      </w:r>
    </w:p>
    <w:p/>
    <w:p>
      <w:pPr>
        <w:pStyle w:val="Heading1"/>
        <w:spacing w:after="120" w:before="260"/>
      </w:pPr>
      <w:r>
        <w:t xml:space="preserve">5. Availability Engine</w:t>
      </w:r>
    </w:p>
    <w:p/>
    <w:p>
      <w:r>
        <w:t xml:space="preserve">Naminto.Ex doit connaître l'état des services externes : Opérationnel, Dégradé, Indisponible, Maintenance. L'utilisateur doit être informé avant de lancer une opération impossible.</w:t>
      </w:r>
    </w:p>
    <w:p/>
    <w:p>
      <w:pPr>
        <w:pStyle w:val="Heading1"/>
        <w:spacing w:after="120" w:before="260"/>
      </w:pPr>
      <w:r>
        <w:t xml:space="preserve">6. Gestion des incidents</w:t>
      </w:r>
    </w:p>
    <w:p/>
    <w:p>
      <w:r>
        <w:t xml:space="preserve">Cycle : Détection → Classification → Évaluation → Mitigation → Communication → Rétablissement → Analyse post-incident.</w:t>
      </w:r>
    </w:p>
    <w:p/>
    <w:p>
      <w:pPr>
        <w:pStyle w:val="Heading1"/>
        <w:spacing w:after="120" w:before="260"/>
      </w:pPr>
      <w:r>
        <w:t xml:space="preserve">7. Continuité d'activité</w:t>
      </w:r>
    </w:p>
    <w:p/>
    <w:p>
      <w:r>
        <w:t xml:space="preserve">L'infrastructure doit prévoir : sauvegardes, réplication, restauration, haute disponibilité, plan de reprise, Disaster Recovery, procédures d'urgence.</w:t>
      </w:r>
    </w:p>
    <w:p/>
    <w:p>
      <w:pPr>
        <w:pStyle w:val="Heading1"/>
        <w:spacing w:after="120" w:before="260"/>
      </w:pPr>
      <w:r>
        <w:t xml:space="preserve">8. Séparation des données</w:t>
      </w:r>
    </w:p>
    <w:p/>
    <w:p>
      <w:r>
        <w:t xml:space="preserve">Les données analytiques ne doivent jamais devenir la source de vérité financière : le Ledger demeure la référence, conformément à la section 64 de l'architecture générale.</w:t>
      </w:r>
    </w:p>
    <w:p/>
    <w:p>
      <w:pPr>
        <w:pStyle w:val="Heading1"/>
        <w:spacing w:after="120" w:before="260"/>
      </w:pPr>
      <w:r>
        <w:t xml:space="preserve">9. Points À DÉCIDER</w:t>
      </w:r>
    </w:p>
    <w:p/>
    <w:p>
      <w:pPr>
        <w:pStyle w:val="ListParagraph"/>
        <w:numPr>
          <w:ilvl w:val="0"/>
          <w:numId w:val="1"/>
        </w:numPr>
      </w:pPr>
      <w:r>
        <w:t xml:space="preserve">Plateforme d'observabilité retenue (logs, metrics, traces, alerting).</w:t>
      </w:r>
    </w:p>
    <w:p>
      <w:pPr>
        <w:pStyle w:val="ListParagraph"/>
        <w:numPr>
          <w:ilvl w:val="0"/>
          <w:numId w:val="1"/>
        </w:numPr>
      </w:pPr>
      <w:r>
        <w:t xml:space="preserve">Seuils d'alerte précis pour chaque métrique.</w:t>
      </w:r>
    </w:p>
    <w:p>
      <w:pPr>
        <w:pStyle w:val="ListParagraph"/>
        <w:numPr>
          <w:ilvl w:val="0"/>
          <w:numId w:val="1"/>
        </w:numPr>
      </w:pPr>
      <w:r>
        <w:t xml:space="preserve">Objectifs RTO / RPO cibles du plan de reprise après sinistre.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2026-08-24T23:00:11.919Z</dcterms:created>
  <dcterms:modified xsi:type="dcterms:W3CDTF">2026-08-24T23:00:11.919Z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