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PAYMENTS — Spécification</w:t>
      </w:r>
    </w:p>
    <w:p/>
    <w:p>
      <w:r>
        <w:t xml:space="preserve">Domaine Payments de Naminto.Ex — reconstitution du 2026-08-25, dérivée de NAMINTO.EX ARCHITECTURE GENERALE (sections 20 à 36) et des Prompts 08, 09, 10, 11, 13, 14, 15, 16 des 30 prompts de vibecoding.</w:t>
      </w:r>
    </w:p>
    <w:p/>
    <w:p>
      <w:pPr>
        <w:pStyle w:val="Heading1"/>
        <w:spacing w:after="120" w:before="260"/>
      </w:pPr>
      <w:r>
        <w:t xml:space="preserve">1. Objet et périmètre</w:t>
      </w:r>
    </w:p>
    <w:p/>
    <w:p>
      <w:r>
        <w:t xml:space="preserve">Le domaine Payments couvre l'envoi d'argent, la réception, les demandes d'argent, le QR Code, la matrice des transferts, le calcul des frais, la gestion des limites et l'orchestration bout-en-bout d'une transaction.</w:t>
      </w:r>
    </w:p>
    <w:p/>
    <w:p>
      <w:pPr>
        <w:pStyle w:val="Heading1"/>
        <w:spacing w:after="120" w:before="260"/>
      </w:pPr>
      <w:r>
        <w:t xml:space="preserve">2. Modèle Transaction</w:t>
      </w:r>
    </w:p>
    <w:p/>
    <w:p>
      <w:r>
        <w:t xml:space="preserve">Une transaction doit pouvoir représenter :</w:t>
      </w:r>
    </w:p>
    <w:p/>
    <w:p>
      <w:pPr>
        <w:pStyle w:val="ListParagraph"/>
        <w:numPr>
          <w:ilvl w:val="0"/>
          <w:numId w:val="1"/>
        </w:numPr>
      </w:pPr>
      <w:r>
        <w:t xml:space="preserve">sender, recipient</w:t>
      </w:r>
    </w:p>
    <w:p>
      <w:pPr>
        <w:pStyle w:val="ListParagraph"/>
        <w:numPr>
          <w:ilvl w:val="0"/>
          <w:numId w:val="1"/>
        </w:numPr>
      </w:pPr>
      <w:r>
        <w:t xml:space="preserve">source, destination</w:t>
      </w:r>
    </w:p>
    <w:p>
      <w:pPr>
        <w:pStyle w:val="ListParagraph"/>
        <w:numPr>
          <w:ilvl w:val="0"/>
          <w:numId w:val="1"/>
        </w:numPr>
      </w:pPr>
      <w:r>
        <w:t xml:space="preserve">provider</w:t>
      </w:r>
    </w:p>
    <w:p>
      <w:pPr>
        <w:pStyle w:val="ListParagraph"/>
        <w:numPr>
          <w:ilvl w:val="0"/>
          <w:numId w:val="1"/>
        </w:numPr>
      </w:pPr>
      <w:r>
        <w:t xml:space="preserve">amount, currency, fee, total</w:t>
      </w:r>
    </w:p>
    <w:p>
      <w:pPr>
        <w:pStyle w:val="ListParagraph"/>
        <w:numPr>
          <w:ilvl w:val="0"/>
          <w:numId w:val="1"/>
        </w:numPr>
      </w:pPr>
      <w:r>
        <w:t xml:space="preserve">reference, idempotency key</w:t>
      </w:r>
    </w:p>
    <w:p>
      <w:pPr>
        <w:pStyle w:val="ListParagraph"/>
        <w:numPr>
          <w:ilvl w:val="0"/>
          <w:numId w:val="1"/>
        </w:numPr>
      </w:pPr>
      <w:r>
        <w:t xml:space="preserve">status</w:t>
      </w:r>
    </w:p>
    <w:p>
      <w:pPr>
        <w:pStyle w:val="ListParagraph"/>
        <w:numPr>
          <w:ilvl w:val="0"/>
          <w:numId w:val="1"/>
        </w:numPr>
      </w:pPr>
      <w:r>
        <w:t xml:space="preserve">timestamps</w:t>
      </w:r>
    </w:p>
    <w:p/>
    <w:p>
      <w:r>
        <w:t xml:space="preserve">Aucune modification libre du statut n'est possible depuis le frontend.</w:t>
      </w:r>
    </w:p>
    <w:p/>
    <w:p>
      <w:pPr>
        <w:pStyle w:val="Heading1"/>
        <w:spacing w:after="120" w:before="260"/>
      </w:pPr>
      <w:r>
        <w:t xml:space="preserve">3. State Machine des statuts</w:t>
      </w:r>
    </w:p>
    <w:p/>
    <w:p>
      <w:r>
        <w:t xml:space="preserve">Statuts possibles : Créée, En validation, Authentification requise, Authentifiée, En cours, Confirmée fournisseur, Réglée, Échouée, Refusée, Expirée, Annulée, Inversée, Remboursée, Contestée.</w:t>
      </w:r>
    </w:p>
    <w:p/>
    <w:p>
      <w:r>
        <w:t xml:space="preserve">Transitions autorisées :</w:t>
      </w:r>
    </w:p>
    <w:p/>
    <w:p>
      <w:pPr>
        <w:pStyle w:val="ListParagraph"/>
        <w:numPr>
          <w:ilvl w:val="0"/>
          <w:numId w:val="1"/>
        </w:numPr>
      </w:pPr>
      <w:r>
        <w:t xml:space="preserve">Créée → En validation</w:t>
      </w:r>
    </w:p>
    <w:p>
      <w:pPr>
        <w:pStyle w:val="ListParagraph"/>
        <w:numPr>
          <w:ilvl w:val="0"/>
          <w:numId w:val="1"/>
        </w:numPr>
      </w:pPr>
      <w:r>
        <w:t xml:space="preserve">En validation → Authentification requise | Échouée | Refusée</w:t>
      </w:r>
    </w:p>
    <w:p>
      <w:pPr>
        <w:pStyle w:val="ListParagraph"/>
        <w:numPr>
          <w:ilvl w:val="0"/>
          <w:numId w:val="1"/>
        </w:numPr>
      </w:pPr>
      <w:r>
        <w:t xml:space="preserve">Authentification requise → Authentifiée | Expirée | Annulée</w:t>
      </w:r>
    </w:p>
    <w:p>
      <w:pPr>
        <w:pStyle w:val="ListParagraph"/>
        <w:numPr>
          <w:ilvl w:val="0"/>
          <w:numId w:val="1"/>
        </w:numPr>
      </w:pPr>
      <w:r>
        <w:t xml:space="preserve">Authentifiée → En cours</w:t>
      </w:r>
    </w:p>
    <w:p>
      <w:pPr>
        <w:pStyle w:val="ListParagraph"/>
        <w:numPr>
          <w:ilvl w:val="0"/>
          <w:numId w:val="1"/>
        </w:numPr>
      </w:pPr>
      <w:r>
        <w:t xml:space="preserve">En cours → Confirmée fournisseur | Échouée | Expirée (timeout)</w:t>
      </w:r>
    </w:p>
    <w:p>
      <w:pPr>
        <w:pStyle w:val="ListParagraph"/>
        <w:numPr>
          <w:ilvl w:val="0"/>
          <w:numId w:val="1"/>
        </w:numPr>
      </w:pPr>
      <w:r>
        <w:t xml:space="preserve">Confirmée fournisseur → Réglée</w:t>
      </w:r>
    </w:p>
    <w:p>
      <w:pPr>
        <w:pStyle w:val="ListParagraph"/>
        <w:numPr>
          <w:ilvl w:val="0"/>
          <w:numId w:val="1"/>
        </w:numPr>
      </w:pPr>
      <w:r>
        <w:t xml:space="preserve">Réglée → Inversée | Remboursée | Contestée (cas exceptionnels et tracés)</w:t>
      </w:r>
    </w:p>
    <w:p/>
    <w:p>
      <w:r>
        <w:t xml:space="preserve">Toute transition hors de cette liste est interdite et doit être rejetée par la State Machine, avec test dédié.</w:t>
      </w:r>
    </w:p>
    <w:p/>
    <w:p>
      <w:pPr>
        <w:pStyle w:val="Heading1"/>
        <w:spacing w:after="120" w:before="260"/>
      </w:pPr>
      <w:r>
        <w:t xml:space="preserve">4. Payment Orchestrator — flux détaillé</w:t>
      </w:r>
    </w:p>
    <w:p/>
    <w:p>
      <w:r>
        <w:t xml:space="preserve">Request → Validation → Authentication → Risk → Compliance → Limits → Fee → Routing → Provider Gateway → Transaction → Ledger → Notification → Reconciliation.</w:t>
      </w:r>
    </w:p>
    <w:p/>
    <w:p>
      <w:r>
        <w:t xml:space="preserve">Chaque étape est indépendante et retourne un succès ou une erreur classifiée :</w:t>
      </w:r>
    </w:p>
    <w:p/>
    <w:p>
      <w:pPr>
        <w:pStyle w:val="ListParagraph"/>
        <w:numPr>
          <w:ilvl w:val="0"/>
          <w:numId w:val="1"/>
        </w:numPr>
      </w:pPr>
      <w:r>
        <w:t xml:space="preserve">VALIDATION_ERROR</w:t>
      </w:r>
    </w:p>
    <w:p>
      <w:pPr>
        <w:pStyle w:val="ListParagraph"/>
        <w:numPr>
          <w:ilvl w:val="0"/>
          <w:numId w:val="1"/>
        </w:numPr>
      </w:pPr>
      <w:r>
        <w:t xml:space="preserve">AUTH_ERROR</w:t>
      </w:r>
    </w:p>
    <w:p>
      <w:pPr>
        <w:pStyle w:val="ListParagraph"/>
        <w:numPr>
          <w:ilvl w:val="0"/>
          <w:numId w:val="1"/>
        </w:numPr>
      </w:pPr>
      <w:r>
        <w:t xml:space="preserve">RISK_REJECTION</w:t>
      </w:r>
    </w:p>
    <w:p>
      <w:pPr>
        <w:pStyle w:val="ListParagraph"/>
        <w:numPr>
          <w:ilvl w:val="0"/>
          <w:numId w:val="1"/>
        </w:numPr>
      </w:pPr>
      <w:r>
        <w:t xml:space="preserve">COMPLIANCE_REJECTION</w:t>
      </w:r>
    </w:p>
    <w:p>
      <w:pPr>
        <w:pStyle w:val="ListParagraph"/>
        <w:numPr>
          <w:ilvl w:val="0"/>
          <w:numId w:val="1"/>
        </w:numPr>
      </w:pPr>
      <w:r>
        <w:t xml:space="preserve">LIMIT_ERROR</w:t>
      </w:r>
    </w:p>
    <w:p>
      <w:pPr>
        <w:pStyle w:val="ListParagraph"/>
        <w:numPr>
          <w:ilvl w:val="0"/>
          <w:numId w:val="1"/>
        </w:numPr>
      </w:pPr>
      <w:r>
        <w:t xml:space="preserve">PROVIDER_ERROR</w:t>
      </w:r>
    </w:p>
    <w:p>
      <w:pPr>
        <w:pStyle w:val="ListParagraph"/>
        <w:numPr>
          <w:ilvl w:val="0"/>
          <w:numId w:val="1"/>
        </w:numPr>
      </w:pPr>
      <w:r>
        <w:t xml:space="preserve">TIMEOUT</w:t>
      </w:r>
    </w:p>
    <w:p>
      <w:pPr>
        <w:pStyle w:val="ListParagraph"/>
        <w:numPr>
          <w:ilvl w:val="0"/>
          <w:numId w:val="1"/>
        </w:numPr>
      </w:pPr>
      <w:r>
        <w:t xml:space="preserve">SYSTEM_ERROR</w:t>
      </w:r>
    </w:p>
    <w:p/>
    <w:p>
      <w:r>
        <w:t xml:space="preserve">Les retries doivent être conçus comme sûrs (idempotents), jamais comme une nouvelle transaction.</w:t>
      </w:r>
    </w:p>
    <w:p/>
    <w:p>
      <w:pPr>
        <w:pStyle w:val="Heading1"/>
        <w:spacing w:after="120" w:before="260"/>
      </w:pPr>
      <w:r>
        <w:t xml:space="preserve">5. Fee Engine</w:t>
      </w:r>
    </w:p>
    <w:p/>
    <w:p>
      <w:r>
        <w:t xml:space="preserve">Le Fee Engine calcule dynamiquement les frais à partir de : montant, pays, devise, réseau, source, destination, type de transaction, niveau utilisateur.</w:t>
      </w:r>
    </w:p>
    <w:p/>
    <w:p>
      <w:r>
        <w:t xml:space="preserve">Il retourne : fee, senderDebit, recipientCredit, feePayer.</w:t>
      </w:r>
    </w:p>
    <w:p/>
    <w:p>
      <w:r>
        <w:t xml:space="preserve">La tarification initiale du projet est de 3,5 % pour 1 000 FCFA, avec évolution selon les montants. Cette règle doit être implémentée comme configurable, jamais codée en dur.</w:t>
      </w:r>
    </w:p>
    <w:p/>
    <w:p>
      <w:pPr>
        <w:pStyle w:val="Heading1"/>
        <w:spacing w:after="120" w:before="260"/>
      </w:pPr>
      <w:r>
        <w:t xml:space="preserve">6. Limit Engine</w:t>
      </w:r>
    </w:p>
    <w:p/>
    <w:p>
      <w:r>
        <w:t xml:space="preserve">Les limites dépendent de : utilisateur, statut KYC, pays, devise, transaction, période, fournisseur. Le moteur supporte une limite journalière, mensuelle, par transaction et de fréquence, et retourne toujours une décision explicable. Aucun blocage ne repose uniquement sur le frontend.</w:t>
      </w:r>
    </w:p>
    <w:p/>
    <w:p>
      <w:pPr>
        <w:pStyle w:val="Heading1"/>
        <w:spacing w:after="120" w:before="260"/>
      </w:pPr>
      <w:r>
        <w:t xml:space="preserve">7. Envoi d'argent — parcours UX de référence</w:t>
      </w:r>
    </w:p>
    <w:p/>
    <w:p>
      <w:r>
        <w:t xml:space="preserve">Envoyer → Choisir la source → Choisir le bénéficiaire → Choisir le réseau destination → Entrer / scanner le numéro → Entrer le montant → Calculer les frais → Choisir qui paie les frais → Vérifier le numéro → Authentification → Récapitulatif → Confirmation → Exécution → Reçu.</w:t>
      </w:r>
    </w:p>
    <w:p/>
    <w:p>
      <w:r>
        <w:t xml:space="preserve">Avant toute exécution, le système affiche clairement : montant, frais, total débité, montant reçu, bénéficiaire, réseau.</w:t>
      </w:r>
    </w:p>
    <w:p/>
    <w:p>
      <w:pPr>
        <w:pStyle w:val="Heading1"/>
        <w:spacing w:after="120" w:before="260"/>
      </w:pPr>
      <w:r>
        <w:t xml:space="preserve">8. Réception et demande d'argent</w:t>
      </w:r>
    </w:p>
    <w:p/>
    <w:p>
      <w:r>
        <w:t xml:space="preserve">Une demande d'argent génère un identifiant sécurisé et expirant, ainsi qu'un lien de partage. Les liens de demande doivent être uniques, signés, expirables, révocables et non prédictibles, sans donnée personnelle ou financière inutile.</w:t>
      </w:r>
    </w:p>
    <w:p/>
    <w:p>
      <w:pPr>
        <w:pStyle w:val="Heading1"/>
        <w:spacing w:after="120" w:before="260"/>
      </w:pPr>
      <w:r>
        <w:t xml:space="preserve">9. QR Engine</w:t>
      </w:r>
    </w:p>
    <w:p/>
    <w:p>
      <w:r>
        <w:t xml:space="preserve">Types de QR : BENEFICIARY, REQUEST, PAYMENT_REQUEST, PREFILLED_PAYMENT.</w:t>
      </w:r>
    </w:p>
    <w:p/>
    <w:p>
      <w:r>
        <w:t xml:space="preserve">Cycle obligatoire : decode → validate → resolve → display → confirm → authenticate → execute. Un scan ne doit jamais suffire à finaliser une transaction financière (jamais « scan → execute »).</w:t>
      </w:r>
    </w:p>
    <w:p/>
    <w:p>
      <w:pPr>
        <w:pStyle w:val="Heading1"/>
        <w:spacing w:after="120" w:before="260"/>
      </w:pPr>
      <w:r>
        <w:t xml:space="preserve">10. Historique et reçus</w:t>
      </w:r>
    </w:p>
    <w:p/>
    <w:p>
      <w:r>
        <w:t xml:space="preserve">Chaque transaction doit être retrouvable par sa référence. Le reçu doit rester strictement cohérent avec le Ledger ; aucune information ne doit être inventée si elle n'existe pas réellement.</w:t>
      </w:r>
    </w:p>
    <w:p/>
    <w:p>
      <w:pPr>
        <w:pStyle w:val="Heading1"/>
        <w:spacing w:after="120" w:before="260"/>
      </w:pPr>
      <w:r>
        <w:t xml:space="preserve">11. Idempotence</w:t>
      </w:r>
    </w:p>
    <w:p/>
    <w:p>
      <w:r>
        <w:t xml:space="preserve">Toute opération pouvant provoquer un mouvement financier doit supporter l'idempotence, avec une clé dédiée, et être protégée contre le double clic, le refresh, le retry, le timeout et le double webhook.</w:t>
      </w:r>
    </w:p>
    <w:p/>
    <w:p>
      <w:pPr>
        <w:pStyle w:val="Heading1"/>
        <w:spacing w:after="120" w:before="260"/>
      </w:pPr>
      <w:r>
        <w:t xml:space="preserve">12. Points À DÉCIDER</w:t>
      </w:r>
    </w:p>
    <w:p/>
    <w:p>
      <w:pPr>
        <w:pStyle w:val="ListParagraph"/>
        <w:numPr>
          <w:ilvl w:val="0"/>
          <w:numId w:val="1"/>
        </w:numPr>
      </w:pPr>
      <w:r>
        <w:t xml:space="preserve">Barème complet des frais au-delà du palier initial de 3,5 % pour 1 000 FCFA.</w:t>
      </w:r>
    </w:p>
    <w:p>
      <w:pPr>
        <w:pStyle w:val="ListParagraph"/>
        <w:numPr>
          <w:ilvl w:val="0"/>
          <w:numId w:val="1"/>
        </w:numPr>
      </w:pPr>
      <w:r>
        <w:t xml:space="preserve">Durée d'expiration par défaut des demandes d'argent et des liens QR.</w:t>
      </w:r>
    </w:p>
    <w:p>
      <w:pPr>
        <w:pStyle w:val="ListParagraph"/>
        <w:numPr>
          <w:ilvl w:val="0"/>
          <w:numId w:val="1"/>
        </w:numPr>
      </w:pPr>
      <w:r>
        <w:t xml:space="preserve">Politique de reversal automatique versus manuel selon le type d'échec fournisseur.</w:t>
      </w:r>
    </w:p>
    <w:p>
      <w:pPr>
        <w:pStyle w:val="ListParagraph"/>
        <w:numPr>
          <w:ilvl w:val="0"/>
          <w:numId w:val="1"/>
        </w:numPr>
      </w:pPr>
      <w:r>
        <w:t xml:space="preserve">Devises et pays supplémentaires, et rails de paiement associés, au-delà du FCFA / Côte d'Ivoire.</w:t>
      </w:r>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2026-08-24T23:00:11.997Z</dcterms:created>
  <dcterms:modified xsi:type="dcterms:W3CDTF">2026-08-24T23:00:11.997Z</dcterms:modified>
</cp:coreProperties>
</file>

<file path=docProps/custom.xml><?xml version="1.0" encoding="utf-8"?>
<Properties xmlns="http://schemas.openxmlformats.org/officeDocument/2006/custom-properties" xmlns:vt="http://schemas.openxmlformats.org/officeDocument/2006/docPropsVTypes"/>
</file>