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USER — Spécification</w:t>
      </w:r>
    </w:p>
    <w:p/>
    <w:p>
      <w:r>
        <w:t xml:space="preserve">Domaine User de Naminto.Ex — reconstitution du 2026-08-25, dérivée de NAMINTO.EX ARCHITECTURE GENERALE (sections 4, 10 à 12, 39) et du Prompt 05 des 30 prompts de vibecoding.</w:t>
      </w:r>
    </w:p>
    <w:p/>
    <w:p>
      <w:pPr>
        <w:pStyle w:val="Heading1"/>
        <w:spacing w:after="120" w:before="260"/>
      </w:pPr>
      <w:r>
        <w:t xml:space="preserve">1. Objet et périmètre</w:t>
      </w:r>
    </w:p>
    <w:p/>
    <w:p>
      <w:r>
        <w:t xml:space="preserve">Le domaine User couvre le profil fonctionnel de l'utilisateur, ses préférences, ses bénéficiaires/contacts, et l'affichage de son statut KYC. Il consomme le statut KYC produit par le domaine Compliance mais n'exécute jamais lui-même la vérification d'identité réelle.</w:t>
      </w:r>
    </w:p>
    <w:p/>
    <w:p>
      <w:pPr>
        <w:pStyle w:val="Heading1"/>
        <w:spacing w:after="120" w:before="260"/>
      </w:pPr>
      <w:r>
        <w:t xml:space="preserve">2. Modèle de données (vue fonctionnelle)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UserProfile</w:t>
      </w:r>
      <w:r>
        <w:t xml:space="preserve"> : identity_id, naminto_id, display_name, legal_name, phone, preferred_language (FR/EN), preferred_currency, theme (LIGHT/DARK), kyc_status, created_at, updated_at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Preferences</w:t>
      </w:r>
      <w:r>
        <w:t xml:space="preserve"> : canaux de notification (opt-in/opt-out), sons activés/désactivés, options d'accessibilité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Contact / Bénéficiaire</w:t>
      </w:r>
      <w:r>
        <w:t xml:space="preserve"> : id, user_id, label, réseau, référence externe, favori (bool)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LinkedAccountRef</w:t>
      </w:r>
      <w:r>
        <w:t xml:space="preserve"> : résumé des comptes liés visibles depuis le profil (le détail complet vit dans le domaine Accounts)</w:t>
      </w:r>
    </w:p>
    <w:p/>
    <w:p>
      <w:pPr>
        <w:pStyle w:val="Heading1"/>
        <w:spacing w:after="120" w:before="260"/>
      </w:pPr>
      <w:r>
        <w:t xml:space="preserve">3. États KYC</w:t>
      </w:r>
    </w:p>
    <w:p/>
    <w:p>
      <w:pPr>
        <w:pStyle w:val="ListParagraph"/>
        <w:numPr>
          <w:ilvl w:val="0"/>
          <w:numId w:val="1"/>
        </w:numPr>
      </w:pPr>
      <w:r>
        <w:t xml:space="preserve">UNVERIFIED</w:t>
      </w:r>
    </w:p>
    <w:p>
      <w:pPr>
        <w:pStyle w:val="ListParagraph"/>
        <w:numPr>
          <w:ilvl w:val="0"/>
          <w:numId w:val="1"/>
        </w:numPr>
      </w:pPr>
      <w:r>
        <w:t xml:space="preserve">PENDING</w:t>
      </w:r>
    </w:p>
    <w:p>
      <w:pPr>
        <w:pStyle w:val="ListParagraph"/>
        <w:numPr>
          <w:ilvl w:val="0"/>
          <w:numId w:val="1"/>
        </w:numPr>
      </w:pPr>
      <w:r>
        <w:t xml:space="preserve">VERIFIED</w:t>
      </w:r>
    </w:p>
    <w:p>
      <w:pPr>
        <w:pStyle w:val="ListParagraph"/>
        <w:numPr>
          <w:ilvl w:val="0"/>
          <w:numId w:val="1"/>
        </w:numPr>
      </w:pPr>
      <w:r>
        <w:t xml:space="preserve">REJECTED</w:t>
      </w:r>
    </w:p>
    <w:p>
      <w:pPr>
        <w:pStyle w:val="ListParagraph"/>
        <w:numPr>
          <w:ilvl w:val="0"/>
          <w:numId w:val="1"/>
        </w:numPr>
      </w:pPr>
      <w:r>
        <w:t xml:space="preserve">REQUIRES_ACTION</w:t>
      </w:r>
    </w:p>
    <w:p/>
    <w:p>
      <w:r>
        <w:t xml:space="preserve">Pour les montants supérieurs à 200 000 FCFA, la règle produit initiale prévoit une vérification renforcée (CNI ou passeport), sous réserve des exigences réglementaires applicables par pays.</w:t>
      </w:r>
    </w:p>
    <w:p/>
    <w:p>
      <w:pPr>
        <w:pStyle w:val="Heading1"/>
        <w:spacing w:after="120" w:before="260"/>
      </w:pPr>
      <w:r>
        <w:t xml:space="preserve">4. Règles</w:t>
      </w:r>
    </w:p>
    <w:p/>
    <w:p>
      <w:pPr>
        <w:pStyle w:val="ListParagraph"/>
        <w:numPr>
          <w:ilvl w:val="0"/>
          <w:numId w:val="1"/>
        </w:numPr>
      </w:pPr>
      <w:r>
        <w:t xml:space="preserve">Le domaine User n'invente jamais un statut KYC : il affiche fidèlement celui produit par Compliance.</w:t>
      </w:r>
    </w:p>
    <w:p>
      <w:pPr>
        <w:pStyle w:val="ListParagraph"/>
        <w:numPr>
          <w:ilvl w:val="0"/>
          <w:numId w:val="1"/>
        </w:numPr>
      </w:pPr>
      <w:r>
        <w:t xml:space="preserve">Les préférences utilisateur (langue, thème, devise préférée) n'influencent jamais les règles financières (frais, limites, risque).</w:t>
      </w:r>
    </w:p>
    <w:p>
      <w:pPr>
        <w:pStyle w:val="ListParagraph"/>
        <w:numPr>
          <w:ilvl w:val="0"/>
          <w:numId w:val="1"/>
        </w:numPr>
      </w:pPr>
      <w:r>
        <w:t xml:space="preserve">La devise préférée est une préférence d'affichage ; elle ne modifie pas le routage réel d'une transaction sauf décision explicite (voir point À DÉCIDER).</w:t>
      </w:r>
    </w:p>
    <w:p/>
    <w:p>
      <w:pPr>
        <w:pStyle w:val="Heading1"/>
        <w:spacing w:after="120" w:before="260"/>
      </w:pPr>
      <w:r>
        <w:t xml:space="preserve">5. Permissions</w:t>
      </w:r>
    </w:p>
    <w:p/>
    <w:p>
      <w:pPr>
        <w:pStyle w:val="ListParagraph"/>
        <w:numPr>
          <w:ilvl w:val="0"/>
          <w:numId w:val="1"/>
        </w:numPr>
      </w:pPr>
      <w:r>
        <w:t xml:space="preserve">L'utilisateur peut lire et modifier son propre profil, à l'exception des champs verrouillés après vérification KYC (ex. nom légal).</w:t>
      </w:r>
    </w:p>
    <w:p>
      <w:pPr>
        <w:pStyle w:val="ListParagraph"/>
        <w:numPr>
          <w:ilvl w:val="0"/>
          <w:numId w:val="1"/>
        </w:numPr>
      </w:pPr>
      <w:r>
        <w:t xml:space="preserve">Les rôles Support, KYC et Compliance peuvent consulter le profil en lecture selon la matrice RBAC (voir spécification AUDIT et Back Office, section 55-56 de l'architecture).</w:t>
      </w:r>
    </w:p>
    <w:p/>
    <w:p>
      <w:pPr>
        <w:pStyle w:val="Heading1"/>
        <w:spacing w:after="120" w:before="260"/>
      </w:pPr>
      <w:r>
        <w:t xml:space="preserve">6. Audit</w:t>
      </w:r>
    </w:p>
    <w:p/>
    <w:p>
      <w:r>
        <w:t xml:space="preserve">Toute modification d'un champ sensible du profil (nom légal, numéro de téléphone) doit être journalisée avec ancienne valeur, nouvelle valeur, auteur et justification, conformément à la spécification AUDIT.</w:t>
      </w:r>
    </w:p>
    <w:p/>
    <w:p>
      <w:pPr>
        <w:pStyle w:val="Heading1"/>
        <w:spacing w:after="120" w:before="260"/>
      </w:pPr>
      <w:r>
        <w:t xml:space="preserve">7. Points À DÉCIDER</w:t>
      </w:r>
    </w:p>
    <w:p/>
    <w:p>
      <w:pPr>
        <w:pStyle w:val="ListParagraph"/>
        <w:numPr>
          <w:ilvl w:val="0"/>
          <w:numId w:val="1"/>
        </w:numPr>
      </w:pPr>
      <w:r>
        <w:t xml:space="preserve">Processus exact de changement de numéro de téléphone : ré-vérification complète ou partielle.</w:t>
      </w:r>
    </w:p>
    <w:p>
      <w:pPr>
        <w:pStyle w:val="ListParagraph"/>
        <w:numPr>
          <w:ilvl w:val="0"/>
          <w:numId w:val="1"/>
        </w:numPr>
      </w:pPr>
      <w:r>
        <w:t xml:space="preserve">Politique de changement du nom légal après une vérification KYC déjà validée.</w:t>
      </w:r>
    </w:p>
    <w:p>
      <w:pPr>
        <w:pStyle w:val="ListParagraph"/>
        <w:numPr>
          <w:ilvl w:val="0"/>
          <w:numId w:val="1"/>
        </w:numPr>
      </w:pPr>
      <w:r>
        <w:t xml:space="preserve">La devise préférée doit-elle pouvoir influencer le routage ou le calcul par défaut d'une transaction, au-delà du simple affichage.</w:t>
      </w:r>
    </w:p>
    <w:p>
      <w:pPr>
        <w:pStyle w:val="ListParagraph"/>
        <w:numPr>
          <w:ilvl w:val="0"/>
          <w:numId w:val="1"/>
        </w:numPr>
      </w:pPr>
      <w:r>
        <w:t xml:space="preserve">Nombre maximal de bénéficiaires favoris et règles de nettoyage des contacts inactifs.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2026-08-24T23:00:12.011Z</dcterms:created>
  <dcterms:modified xsi:type="dcterms:W3CDTF">2026-08-24T23:00:12.011Z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