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E34B" w14:textId="77777777" w:rsidR="00681279" w:rsidRDefault="00681279" w:rsidP="00681279">
      <w:pPr>
        <w:spacing w:after="0"/>
        <w:jc w:val="center"/>
        <w:rPr>
          <w:b/>
          <w:sz w:val="32"/>
        </w:rPr>
      </w:pPr>
    </w:p>
    <w:p w14:paraId="71093520" w14:textId="77777777" w:rsidR="00681279" w:rsidRDefault="00681279" w:rsidP="00681279">
      <w:pPr>
        <w:spacing w:after="0"/>
        <w:jc w:val="center"/>
        <w:rPr>
          <w:b/>
          <w:sz w:val="32"/>
        </w:rPr>
      </w:pPr>
    </w:p>
    <w:p w14:paraId="48CA32EA" w14:textId="77777777" w:rsidR="00681279" w:rsidRDefault="00681279" w:rsidP="00681279">
      <w:pPr>
        <w:spacing w:after="0"/>
        <w:jc w:val="center"/>
        <w:rPr>
          <w:b/>
          <w:sz w:val="32"/>
        </w:rPr>
      </w:pPr>
    </w:p>
    <w:p w14:paraId="7BA2137D" w14:textId="77777777" w:rsidR="00681279" w:rsidRDefault="00681279" w:rsidP="00681279">
      <w:pPr>
        <w:spacing w:after="0"/>
        <w:jc w:val="center"/>
        <w:rPr>
          <w:b/>
          <w:sz w:val="32"/>
        </w:rPr>
      </w:pPr>
    </w:p>
    <w:p w14:paraId="6D12DF1B" w14:textId="77777777" w:rsidR="00681279" w:rsidRDefault="00681279" w:rsidP="00681279">
      <w:pPr>
        <w:spacing w:after="0"/>
        <w:jc w:val="center"/>
        <w:rPr>
          <w:b/>
          <w:sz w:val="32"/>
        </w:rPr>
      </w:pPr>
    </w:p>
    <w:p w14:paraId="3D7F7852" w14:textId="77777777" w:rsidR="00681279" w:rsidRDefault="00681279" w:rsidP="00681279">
      <w:pPr>
        <w:spacing w:after="0"/>
        <w:jc w:val="center"/>
        <w:rPr>
          <w:b/>
          <w:sz w:val="32"/>
        </w:rPr>
      </w:pPr>
    </w:p>
    <w:p w14:paraId="4EC1BD50" w14:textId="77777990" w:rsidR="00816090" w:rsidRDefault="00784F92" w:rsidP="00681279">
      <w:pPr>
        <w:spacing w:after="0"/>
        <w:jc w:val="center"/>
      </w:pPr>
      <w:r>
        <w:rPr>
          <w:b/>
          <w:sz w:val="32"/>
        </w:rPr>
        <w:t>Progress Report 3: Research Proposal</w:t>
      </w:r>
    </w:p>
    <w:p w14:paraId="798887EA" w14:textId="77777777" w:rsidR="00816090" w:rsidRDefault="00784F92" w:rsidP="00681279">
      <w:pPr>
        <w:spacing w:after="0"/>
        <w:jc w:val="center"/>
      </w:pPr>
      <w:r>
        <w:rPr>
          <w:b/>
          <w:sz w:val="32"/>
        </w:rPr>
        <w:t>Explainable AI for Fraud Detection in Financial Transactions</w:t>
      </w:r>
    </w:p>
    <w:p w14:paraId="05D324C1" w14:textId="77777777" w:rsidR="00816090" w:rsidRDefault="00784F92" w:rsidP="00681279">
      <w:pPr>
        <w:spacing w:after="0"/>
        <w:jc w:val="center"/>
      </w:pPr>
      <w:r>
        <w:rPr>
          <w:b/>
        </w:rPr>
        <w:t>Namig Planov</w:t>
      </w:r>
    </w:p>
    <w:p w14:paraId="1035C6A0" w14:textId="77777777" w:rsidR="00816090" w:rsidRDefault="00784F92" w:rsidP="00681279">
      <w:pPr>
        <w:spacing w:after="0"/>
        <w:jc w:val="center"/>
      </w:pPr>
      <w:r>
        <w:rPr>
          <w:b/>
        </w:rPr>
        <w:t>School of IT and Engineering</w:t>
      </w:r>
    </w:p>
    <w:p w14:paraId="7A1198AD" w14:textId="77777777" w:rsidR="00816090" w:rsidRDefault="00784F92" w:rsidP="00681279">
      <w:pPr>
        <w:spacing w:after="0"/>
        <w:jc w:val="center"/>
      </w:pPr>
      <w:r>
        <w:rPr>
          <w:b/>
        </w:rPr>
        <w:t>ADA University</w:t>
      </w:r>
    </w:p>
    <w:p w14:paraId="101B19AA" w14:textId="77777777" w:rsidR="00816090" w:rsidRDefault="00784F92" w:rsidP="00681279">
      <w:pPr>
        <w:spacing w:after="0"/>
        <w:jc w:val="center"/>
      </w:pPr>
      <w:r>
        <w:rPr>
          <w:b/>
        </w:rPr>
        <w:t>Baku, Azerbaijan</w:t>
      </w:r>
    </w:p>
    <w:p w14:paraId="7AB44920" w14:textId="77777777" w:rsidR="00816090" w:rsidRDefault="00784F92" w:rsidP="00681279">
      <w:pPr>
        <w:spacing w:after="0"/>
        <w:jc w:val="center"/>
      </w:pPr>
      <w:r>
        <w:rPr>
          <w:b/>
        </w:rPr>
        <w:t>nplanov24625@ada.edu.az</w:t>
      </w:r>
    </w:p>
    <w:p w14:paraId="71663D91" w14:textId="77777777" w:rsidR="00816090" w:rsidRDefault="00816090"/>
    <w:p w14:paraId="7A54E812" w14:textId="77777777" w:rsidR="00816090" w:rsidRDefault="00784F92">
      <w:pPr>
        <w:pStyle w:val="Heading1"/>
        <w:jc w:val="center"/>
      </w:pPr>
      <w:r>
        <w:lastRenderedPageBreak/>
        <w:t>1. Problem Statement</w:t>
      </w:r>
    </w:p>
    <w:p w14:paraId="2657F93F" w14:textId="77777777" w:rsidR="00816090" w:rsidRDefault="00784F92">
      <w:pPr>
        <w:pStyle w:val="Heading2"/>
      </w:pPr>
      <w:r>
        <w:t>1.1 Introduction to the problem</w:t>
      </w:r>
    </w:p>
    <w:p w14:paraId="2D15D65F" w14:textId="77777777" w:rsidR="00681279" w:rsidRDefault="00681279" w:rsidP="00681279">
      <w:pPr>
        <w:pStyle w:val="Heading2"/>
      </w:pPr>
      <w:r>
        <w:t>Fraud detection machine learning models are opaque and accurate. On all published benchmarks, gradient-boosted ensembles and deep architectures outperform their interpretable counterparts, but they cannot explain why a specific transaction was identified. But a flag can result in a declined payment, a frozen account or a report to a financial intelligence unit, so the industry has come to rely on post-hoc explainable AI (XAI), mainly SHAP and LIME, as the industry standard solution.</w:t>
      </w:r>
    </w:p>
    <w:p w14:paraId="39CDC1B2" w14:textId="77777777" w:rsidR="00681279" w:rsidRDefault="00681279" w:rsidP="00681279">
      <w:pPr>
        <w:pStyle w:val="Heading2"/>
      </w:pPr>
      <w:r>
        <w:t>In Progress Report 2, there was a literature review and this remedy was found to be largely untested. The present proposal is based on three findings. Explanation quality is asserted, not measured: A systematic review of 49 studies comparing the quality of explanations with the success of the model's predictions finds that more than 80% of the studies compare the quality of the explanations with the success rate in the prediction, while in fact, the two properties are logically independent. Second, evaluations conducted on real fraud analysts have yielded negative results — Weerts et al. (2019) did not observe any significant improvement in alert-processing performance when SHAP was provided, and Jesus et al. (2021) found that a popular set of explainers "a worse impact than desired". Third, the elements V1 to V28 in the field's most common dataset, the ULB European card dataset, are anonymous principal components, which means that no investigator can take action based on the SHAP attribution and no customer can be told that V14 "driven" the decision.</w:t>
      </w:r>
    </w:p>
    <w:p w14:paraId="59838621" w14:textId="24B75073" w:rsidR="00681279" w:rsidRPr="00681279" w:rsidRDefault="00681279" w:rsidP="00681279">
      <w:r>
        <w:t xml:space="preserve">This research does not have the problem of lacking explanations for fraud models, however. But what has not been demonstrated is that the explanations already produced and used are </w:t>
      </w:r>
      <w:r>
        <w:rPr>
          <w:b/>
        </w:rPr>
        <w:t>faithful, stable, and actionable</w:t>
      </w:r>
      <w:r>
        <w:t>, and that a method that is novel for fraud data — resampling for extreme class imbalance — can introduce bias into those explanations that has not yet been tested in the field.</w:t>
      </w:r>
    </w:p>
    <w:p w14:paraId="5985F2A3" w14:textId="77777777" w:rsidR="00816090" w:rsidRDefault="00784F92">
      <w:pPr>
        <w:pStyle w:val="Heading2"/>
      </w:pPr>
      <w:r>
        <w:t>1.2 Context and relevance</w:t>
      </w:r>
    </w:p>
    <w:p w14:paraId="76AB243D" w14:textId="77777777" w:rsidR="00681279" w:rsidRDefault="00681279">
      <w:r>
        <w:t>Both regulatory and operational context. Financial-services and creditworthiness systems are considered high risk in the EU AI Act and Article 22 of the GDPR still limits automated decision-making, requiring institutions to document why automated decisions are made. Explanations are being created in bulk to meet obligations concerning which there is no evidential basis that has been examined.</w:t>
      </w:r>
    </w:p>
    <w:p w14:paraId="76AB243D" w14:textId="77777777" w:rsidR="00681279" w:rsidRDefault="00681279">
      <w:r>
        <w:t>In practice, however, time is a constraint for human analysts to read the alerts and false positives cost customers directly. If an explanation fails to enhance the judgement of the analyst, then it makes no sense for the analyst in terms of use of review time; worse, if it is dishonest in itself, it can mislead the analyst.</w:t>
      </w:r>
    </w:p>
    <w:p w14:paraId="5714A8F6" w14:textId="7C417825" w:rsidR="00681279" w:rsidRDefault="00681279">
      <w:r>
        <w:t>The consequences of the real world are thus tangible. If a bank records a "decision" with a false explanation, it is a bank that is not in accordance with a regulator, if one; if an analyst is not only trusting an "attribution" that is derived from an unstable model but also deciding whether a transaction is fraudulent or not, it is a wrong explanation or a false decision; if a customer is denied a payment because the bank did not rely on a model, that is, because the explanation is "unfaithful", there is no explanation at all, and that's a field's "dominant benchmark".</w:t>
      </w:r>
    </w:p>
    <w:p w14:paraId="5714A8F6" w14:textId="7C417825" w:rsidR="00681279" w:rsidRDefault="00681279">
      <w:r>
        <w:t>However each of these failures is undetectable unless the quality of the explanation is measured directly.</w:t>
      </w:r>
    </w:p>
    <w:p w14:paraId="58CB95E3" w14:textId="0E355480" w:rsidR="00816090" w:rsidRDefault="00681279">
      <w:r w:rsidRPr="00681279">
        <w:t>The relevance is methodological with computer science and data analytics. Although they are evaluated much less rigorously than the models they are used for, explanation methods are increasingly considered a validated part of a machine-learning pipeline. The problem of whether there is anything that is done “standardly” which is not measurable is a contribution to the validation of machine-learning systems in general, and the imbalance–explanation interaction is a concrete, testable instance of that more general problem.</w:t>
      </w:r>
    </w:p>
    <w:p w14:paraId="1541F80A" w14:textId="77777777" w:rsidR="00816090" w:rsidRDefault="00784F92">
      <w:pPr>
        <w:pStyle w:val="Heading1"/>
        <w:jc w:val="center"/>
      </w:pPr>
      <w:r>
        <w:t>2. Research Objectives</w:t>
      </w:r>
    </w:p>
    <w:p w14:paraId="1ED5518E" w14:textId="77777777" w:rsidR="00816090" w:rsidRDefault="00784F92">
      <w:pPr>
        <w:pStyle w:val="Heading2"/>
      </w:pPr>
      <w:r>
        <w:t>2.1 Primary objective</w:t>
      </w:r>
    </w:p>
    <w:p w14:paraId="1F2FF0F2" w14:textId="4EF02C7A" w:rsidR="00681279" w:rsidRPr="00681279" w:rsidRDefault="00681279" w:rsidP="00681279">
      <w:r>
        <w:t xml:space="preserve">To measure empirically the quality of the post hoc explanations generated for models for transactional fraud detection, both with respect to their </w:t>
      </w:r>
      <w:r>
        <w:rPr>
          <w:b/>
        </w:rPr>
        <w:t>fidelity to the underlying model</w:t>
      </w:r>
      <w:r>
        <w:t xml:space="preserve">, stability when the input is perturbed slightly, and their </w:t>
      </w:r>
      <w:r>
        <w:rPr>
          <w:b/>
        </w:rPr>
        <w:t>semantic actionability</w:t>
      </w:r>
      <w:r>
        <w:t>, as well as to analyze whether working with class imbalance in the data systematically distorts them.</w:t>
      </w:r>
    </w:p>
    <w:p w14:paraId="254BC475" w14:textId="77777777" w:rsidR="00816090" w:rsidRDefault="00784F92">
      <w:pPr>
        <w:pStyle w:val="Heading2"/>
      </w:pPr>
      <w:r>
        <w:t>2.2 Secondary objectives</w:t>
      </w:r>
    </w:p>
    <w:p w14:paraId="66BC84A8" w14:textId="0360EC49" w:rsidR="00816090" w:rsidRDefault="00784F92">
      <w:pPr>
        <w:pStyle w:val="ListParagraph"/>
        <w:spacing w:after="160"/>
        <w:jc w:val="both"/>
      </w:pPr>
      <w:r>
        <w:t xml:space="preserve">1. Set up a baseline for modelling that can be replicated. Fit the logistic regression, random forest and XGBoost classifiers on two public fraud datasets using time-ordered splits instead of random splits. </w:t>
      </w:r>
      <w:r>
        <w:rPr>
          <w:b/>
        </w:rPr>
        <w:t>Measurable outcome:</w:t>
      </w:r>
      <w:r>
        <w:t xml:space="preserve"> </w:t>
      </w:r>
      <w:r>
        <w:rPr>
          <w:i/>
        </w:rPr>
        <w:t>AUC-PR</w:t>
      </w:r>
      <w:r>
        <w:t xml:space="preserve"> and recall at fixed alert budgets reported for each model–dataset pair, in the range of published results, with code and fixed random seeds released.</w:t>
      </w:r>
    </w:p>
    <w:p w14:paraId="4BB0E94C" w14:textId="1DBF1C2B" w:rsidR="00681279" w:rsidRDefault="00784F92">
      <w:pPr>
        <w:pStyle w:val="ListParagraph"/>
        <w:spacing w:after="160"/>
        <w:jc w:val="both"/>
      </w:pPr>
      <w:r>
        <w:t xml:space="preserve">2. Set up and use metrics of direct explanation quality. Calculate deletion–insertion curves and infidelity, maximum sensitivity under ε-bounded perturbation to compute stability, and Spearman rank correlation and Jaccard overlap of top-k features between SHAP and LIME to compute cross-method agreement. </w:t>
      </w:r>
      <w:r>
        <w:rPr>
          <w:b/>
        </w:rPr>
        <w:t>Measurable outcome:</w:t>
      </w:r>
      <w:r>
        <w:t xml:space="preserve"> each measure is calculated with a sample size of at least 1,000 test instances, on which bootstrap confidence intervals are computed.</w:t>
      </w:r>
    </w:p>
    <w:p w14:paraId="75A3F1C5" w14:textId="4565C196" w:rsidR="00816090" w:rsidRDefault="00784F92">
      <w:pPr>
        <w:pStyle w:val="ListParagraph"/>
        <w:spacing w:after="160"/>
        <w:jc w:val="both"/>
      </w:pPr>
      <w:r>
        <w:t xml:space="preserve">3. Experiment with the interaction of imbalance/ explanation under controlled conditions. Explain under three regimes (natural imbalance, random undersampling and SMOTE) and compare explanations across regimes while strategically controlling predictive performance. </w:t>
      </w:r>
      <w:r>
        <w:rPr>
          <w:b/>
        </w:rPr>
        <w:t>Measurable outcome:</w:t>
      </w:r>
      <w:r>
        <w:t xml:space="preserve"> Statistical test of the null hypothesis of the invariance of the order of explanation for resampling regimes, and effect sizes reported.</w:t>
      </w:r>
    </w:p>
    <w:p w14:paraId="2D7EFB78" w14:textId="63539D3E" w:rsidR="00816090" w:rsidRDefault="00784F92">
      <w:pPr>
        <w:pStyle w:val="ListParagraph"/>
        <w:spacing w:after="160"/>
        <w:jc w:val="both"/>
      </w:pPr>
      <w:r>
        <w:t xml:space="preserve">4. Develop a comparison of semantic actionability across feature representations. Create explanation reports of matched alerts generated from the PCA-anonymised ULB dataset and from the semantically named IEEE-CIS dataset and rate them against a rubric that covers the extraction of a named feature, direction, and plausible investigative next step. </w:t>
      </w:r>
      <w:r>
        <w:rPr>
          <w:b/>
        </w:rPr>
        <w:t>Measurable outcome:</w:t>
      </w:r>
      <w:r>
        <w:t xml:space="preserve"> Rubric scores of at least 100 alerts per data set, with scores independently given by two raters and reports of agreement.</w:t>
      </w:r>
    </w:p>
    <w:p w14:paraId="41E6168E" w14:textId="3F369FF5" w:rsidR="00816090" w:rsidRDefault="00784F92" w:rsidP="00681279">
      <w:pPr>
        <w:pStyle w:val="ListParagraph"/>
        <w:spacing w:after="160"/>
        <w:jc w:val="both"/>
      </w:pPr>
      <w:r>
        <w:t>5. Release reusable artefacts. Release the metric implementations, experimental setup and a brief practitioner checklist for explanation quality reporting. Measurable outcome is a public repository that calculates all the reported numbers from the raw data.</w:t>
      </w:r>
    </w:p>
    <w:p w14:paraId="41E6168E" w14:textId="3F369FF5" w:rsidR="00816090" w:rsidRDefault="00784F92" w:rsidP="00681279">
      <w:pPr>
        <w:pStyle w:val="ListParagraph"/>
        <w:spacing w:after="160"/>
        <w:jc w:val="both"/>
      </w:pPr>
      <w:r>
        <w:t>Objectives 2, 3 and 4 operationalise research questions RQ2, RQ3 and RQ4 of Progress Report 2 and address Gaps 1, 2 and 4 identified there.</w:t>
      </w:r>
    </w:p>
    <w:p w14:paraId="32FC128A" w14:textId="77777777" w:rsidR="00816090" w:rsidRDefault="00784F92">
      <w:pPr>
        <w:pStyle w:val="Heading1"/>
        <w:jc w:val="center"/>
      </w:pPr>
      <w:r>
        <w:t>3. Selected Methodology</w:t>
      </w:r>
    </w:p>
    <w:p w14:paraId="0B600084" w14:textId="77777777" w:rsidR="00816090" w:rsidRDefault="00784F92">
      <w:pPr>
        <w:pStyle w:val="Heading2"/>
      </w:pPr>
      <w:r>
        <w:t>3.1 Research approach</w:t>
      </w:r>
    </w:p>
    <w:p w14:paraId="7C239CF5" w14:textId="77777777" w:rsidR="00681279" w:rsidRDefault="00681279">
      <w:r>
        <w:t xml:space="preserve">The research design is a </w:t>
      </w:r>
      <w:r>
        <w:rPr>
          <w:b/>
        </w:rPr>
        <w:t>mixed-methods design</w:t>
      </w:r>
      <w:r>
        <w:t xml:space="preserve"> and the quantitative part of the study is dominant. The three objectives (1–3) are quantitative and experimental and involve the calculation of measurable properties of the outputs of the explanations under controlled manipulation of a single variable (the resampling regime) and differences assessed statistically. There is a limited but structured qualitative element added in Objective 4 as actionability cannot be expressed on a scalar and must be evaluated with a rubric. This is suitable since the identified gap is that of the field using narrative claims rather than measurement. </w:t>
      </w:r>
    </w:p>
    <w:p w14:paraId="19381DDB" w14:textId="7147B934" w:rsidR="00816090" w:rsidRPr="00681279" w:rsidRDefault="00681279">
      <w:r w:rsidRPr="00681279">
        <w:t>A purely qualitative study would be no better at addressing whether an explanation is meaningful—a question at the heart of Gap 4—but a purely quantitative study would fall short in this regard. The unbalanced design needed for Objective 3 is also only available in computational experimentation, as the model trained under another design regime (counterfactual) is not present in observational data</w:t>
      </w:r>
      <w:r w:rsidR="00784F92" w:rsidRPr="00681279">
        <w:t>.</w:t>
      </w:r>
    </w:p>
    <w:p w14:paraId="18DE1E39" w14:textId="77777777" w:rsidR="00816090" w:rsidRDefault="00784F92">
      <w:pPr>
        <w:pStyle w:val="Heading2"/>
      </w:pPr>
      <w:r>
        <w:t>3.2 Data collection methods</w:t>
      </w:r>
    </w:p>
    <w:p w14:paraId="7A991ABF" w14:textId="2A8ECBFE" w:rsidR="00816090" w:rsidRDefault="00681279">
      <w:r>
        <w:t xml:space="preserve">The research is based on secondary data (two public benchmark data sets, no new data was collected from individuals). </w:t>
      </w:r>
      <w:r>
        <w:rPr>
          <w:i/>
        </w:rPr>
        <w:t>ULB Credit Card Fraud Detection</w:t>
      </w:r>
      <w:r>
        <w:t xml:space="preserve"> consists of 284,807 transactions from European credit cardholders during two days in September 2013, with 492 of these transactions (0.172%) being fraudulent. The features V1 - V28 are the principal components, while the remaining components, such as Time and Amount, are not transformed. It is included because it is the field's dominant benchmark and so results can be compared directly with previous work; and because it is a field benchmark where results can be compared with those of the negative case (Objective 4) which has anonymous features.</w:t>
      </w:r>
    </w:p>
    <w:p w14:paraId="7A991ABF" w14:textId="2A8ECBFE" w:rsidR="00816090" w:rsidRDefault="00681279">
      <w:r>
        <w:rPr>
          <w:i/>
        </w:rPr>
        <w:t>IEEE-CIS Fraud Detection</w:t>
      </w:r>
      <w:r>
        <w:t>, supplied by Vesta Corporation, has 590,540 labeled e-commerce transactions, with ~3.5% of fraud, and several hundred features, many of which are semantically named: transaction amount, product code, card and address fields, email domains, counting features, time deltas. It provides the feature space that can be interpreted by Objective 4, and the time-based separation of train/test data provides the basis of using temporal rather than random split.</w:t>
      </w:r>
    </w:p>
    <w:p w14:paraId="7A991ABF" w14:textId="2A8ECBFE" w:rsidR="00816090" w:rsidRDefault="00681279">
      <w:r>
        <w:t>The main objects of measurement are not transactions but explanation outputs which are synthesized, not collected, from the transactions. The public benchmarks are suitable because they enable the reproduction of the results, there is no processing of personal data, and the results can be compared with the published results of the review criticized.</w:t>
      </w:r>
    </w:p>
    <w:p w14:paraId="5EA40320" w14:textId="77777777" w:rsidR="00816090" w:rsidRDefault="00784F92">
      <w:pPr>
        <w:pStyle w:val="Heading2"/>
      </w:pPr>
      <w:r>
        <w:t>3.3 Data analysis techniques</w:t>
      </w:r>
    </w:p>
    <w:p w14:paraId="5098E832" w14:textId="074B7D8A" w:rsidR="00816090" w:rsidRDefault="00681279">
      <w:r>
        <w:t>The models will be implemented in Python 3.11 and will include logistic regression, random forest, gradient boosting (XGBoost), and SMOTE and random undersampling (</w:t>
      </w:r>
      <w:r>
        <w:rPr>
          <w:i/>
        </w:rPr>
        <w:t>imbalanced-learn</w:t>
      </w:r>
      <w:r>
        <w:t xml:space="preserve">). Explanations will be produced using the </w:t>
      </w:r>
      <w:r>
        <w:rPr>
          <w:i/>
        </w:rPr>
        <w:t>shap</w:t>
      </w:r>
      <w:r>
        <w:t xml:space="preserve"> library (TreeExplainer for tree ensembles, KernelExplainer if model-agnostic comparisons need to be made) and </w:t>
      </w:r>
      <w:r>
        <w:rPr>
          <w:i/>
        </w:rPr>
        <w:t>lime</w:t>
      </w:r>
      <w:r>
        <w:t>. Predictive performance will be reported as AUC-PR and recall at a fixed alert budget, instead of accuracy, which is uninformative at a base rate of 0.17%.</w:t>
      </w:r>
    </w:p>
    <w:p w14:paraId="5098E832" w14:textId="074B7D8A" w:rsidR="00816090" w:rsidRDefault="00681279">
      <w:r>
        <w:t>The deletion–insertion curves, infidelity and maximum-sensitivity scores as well as rank-agreement statistics between explainers will be used to analyse the quality of the explanations. For each instance, Inference will perform paired non-parametric tests (</w:t>
      </w:r>
      <w:r>
        <w:rPr>
          <w:i/>
        </w:rPr>
        <w:t>Wilcoxon signed-rank</w:t>
      </w:r>
      <w:r>
        <w:t xml:space="preserve"> for paired comparisons) with bootstrap confidence intervals and Holm correction for multiple comparisons between resampling regimes.</w:t>
      </w:r>
    </w:p>
    <w:p w14:paraId="5098E832" w14:textId="074B7D8A" w:rsidR="00816090" w:rsidRDefault="00681279">
      <w:r>
        <w:rPr>
          <w:i/>
        </w:rPr>
        <w:t>Krippendorff's alpha</w:t>
      </w:r>
      <w:r>
        <w:t xml:space="preserve"> will be used for reporting inter-rater agreement on the actionability rubric. Fixed seeds will be used throughout all experiments and version controlled in Git.</w:t>
      </w:r>
    </w:p>
    <w:p w14:paraId="1510AE2B" w14:textId="77777777" w:rsidR="00816090" w:rsidRDefault="00784F92">
      <w:pPr>
        <w:pStyle w:val="Heading1"/>
        <w:jc w:val="center"/>
      </w:pPr>
      <w:r>
        <w:t>4. Proposed Research Design</w:t>
      </w:r>
    </w:p>
    <w:p w14:paraId="3BF65F98" w14:textId="77777777" w:rsidR="00816090" w:rsidRDefault="00784F92">
      <w:pPr>
        <w:pStyle w:val="Heading2"/>
      </w:pPr>
      <w:r>
        <w:t>4.1 Research structure</w:t>
      </w:r>
    </w:p>
    <w:p w14:paraId="0142F347" w14:textId="07C5FE49" w:rsidR="00681279" w:rsidRPr="00681279" w:rsidRDefault="00681279" w:rsidP="00681279">
      <w:r w:rsidRPr="00681279">
        <w:t>The work is carried out in seven phases. Environment set-up, data collection and preliminary analysis. Development of baseline models using splits over time, and performance comparisons based on published models. (S3) Pipeline for building explanation for SHAP and LIME. For those same reasons, the implementation of the explanation quality metrics and the validation of the implementations on synthetic models where the true feature importances are known by construction is necessary. (S5) The experiment on controlled imbalance. Semantic actionability study (S6). Statistical analysis, error analysis and writing (S7).</w:t>
      </w:r>
    </w:p>
    <w:p w14:paraId="18AB59F2" w14:textId="77777777" w:rsidR="00816090" w:rsidRDefault="00784F92">
      <w:pPr>
        <w:pStyle w:val="Heading2"/>
      </w:pPr>
      <w:r>
        <w:t>4.2 Timeline</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58"/>
        <w:gridCol w:w="7192"/>
      </w:tblGrid>
      <w:tr w:rsidR="00816090" w14:paraId="7590BF6D" w14:textId="77777777">
        <w:tc>
          <w:tcPr>
            <w:tcW w:w="2160" w:type="dxa"/>
          </w:tcPr>
          <w:p w14:paraId="00A65755" w14:textId="77777777" w:rsidR="00816090" w:rsidRDefault="00784F92">
            <w:pPr>
              <w:spacing w:after="40" w:line="240" w:lineRule="auto"/>
            </w:pPr>
            <w:r>
              <w:rPr>
                <w:b/>
                <w:sz w:val="22"/>
              </w:rPr>
              <w:t>Period</w:t>
            </w:r>
          </w:p>
        </w:tc>
        <w:tc>
          <w:tcPr>
            <w:tcW w:w="7200" w:type="dxa"/>
          </w:tcPr>
          <w:p w14:paraId="0871171F" w14:textId="77777777" w:rsidR="00816090" w:rsidRDefault="00784F92">
            <w:pPr>
              <w:spacing w:after="40" w:line="240" w:lineRule="auto"/>
            </w:pPr>
            <w:r>
              <w:rPr>
                <w:b/>
                <w:sz w:val="22"/>
              </w:rPr>
              <w:t>Activity</w:t>
            </w:r>
          </w:p>
        </w:tc>
      </w:tr>
      <w:tr w:rsidR="00816090" w14:paraId="50EE3413" w14:textId="77777777">
        <w:tc>
          <w:tcPr>
            <w:tcW w:w="2160" w:type="dxa"/>
          </w:tcPr>
          <w:p w14:paraId="4D0CA2A8" w14:textId="77777777" w:rsidR="00816090" w:rsidRDefault="00784F92">
            <w:pPr>
              <w:spacing w:after="40" w:line="240" w:lineRule="auto"/>
            </w:pPr>
            <w:r>
              <w:rPr>
                <w:sz w:val="22"/>
              </w:rPr>
              <w:t>October 2026</w:t>
            </w:r>
          </w:p>
        </w:tc>
        <w:tc>
          <w:tcPr>
            <w:tcW w:w="7200" w:type="dxa"/>
          </w:tcPr>
          <w:p w14:paraId="78C8F865" w14:textId="77777777" w:rsidR="00816090" w:rsidRDefault="00784F92">
            <w:pPr>
              <w:spacing w:after="40" w:line="240" w:lineRule="auto"/>
            </w:pPr>
            <w:r>
              <w:rPr>
                <w:sz w:val="22"/>
              </w:rPr>
              <w:t>Finalise literature review; S1 — environment, data acquisition, exploratory analysis</w:t>
            </w:r>
          </w:p>
        </w:tc>
      </w:tr>
      <w:tr w:rsidR="00816090" w14:paraId="2375C7A0" w14:textId="77777777">
        <w:tc>
          <w:tcPr>
            <w:tcW w:w="2160" w:type="dxa"/>
          </w:tcPr>
          <w:p w14:paraId="5D50A0A1" w14:textId="77777777" w:rsidR="00816090" w:rsidRDefault="00784F92">
            <w:pPr>
              <w:spacing w:after="40" w:line="240" w:lineRule="auto"/>
            </w:pPr>
            <w:r>
              <w:rPr>
                <w:sz w:val="22"/>
              </w:rPr>
              <w:t>November 2026</w:t>
            </w:r>
          </w:p>
        </w:tc>
        <w:tc>
          <w:tcPr>
            <w:tcW w:w="7200" w:type="dxa"/>
          </w:tcPr>
          <w:p w14:paraId="792F379F" w14:textId="77777777" w:rsidR="00816090" w:rsidRDefault="00784F92">
            <w:pPr>
              <w:spacing w:after="40" w:line="240" w:lineRule="auto"/>
            </w:pPr>
            <w:r>
              <w:rPr>
                <w:sz w:val="22"/>
              </w:rPr>
              <w:t>S2 — baseline models, time-ordered splits, performance benchmarking</w:t>
            </w:r>
          </w:p>
        </w:tc>
      </w:tr>
      <w:tr w:rsidR="00816090" w14:paraId="65CFF471" w14:textId="77777777">
        <w:tc>
          <w:tcPr>
            <w:tcW w:w="2160" w:type="dxa"/>
          </w:tcPr>
          <w:p w14:paraId="7877F826" w14:textId="77777777" w:rsidR="00816090" w:rsidRDefault="00784F92">
            <w:pPr>
              <w:spacing w:after="40" w:line="240" w:lineRule="auto"/>
            </w:pPr>
            <w:r>
              <w:rPr>
                <w:sz w:val="22"/>
              </w:rPr>
              <w:t>December 2026</w:t>
            </w:r>
          </w:p>
        </w:tc>
        <w:tc>
          <w:tcPr>
            <w:tcW w:w="7200" w:type="dxa"/>
          </w:tcPr>
          <w:p w14:paraId="2D77BE65" w14:textId="77777777" w:rsidR="00816090" w:rsidRDefault="00784F92">
            <w:pPr>
              <w:spacing w:after="40" w:line="240" w:lineRule="auto"/>
            </w:pPr>
            <w:r>
              <w:rPr>
                <w:sz w:val="22"/>
              </w:rPr>
              <w:t>S3 — explanation-generation pipeline; interim supervisor review</w:t>
            </w:r>
          </w:p>
        </w:tc>
      </w:tr>
      <w:tr w:rsidR="00816090" w14:paraId="5F44A236" w14:textId="77777777">
        <w:tc>
          <w:tcPr>
            <w:tcW w:w="2160" w:type="dxa"/>
          </w:tcPr>
          <w:p w14:paraId="75E18563" w14:textId="77777777" w:rsidR="00816090" w:rsidRDefault="00784F92">
            <w:pPr>
              <w:spacing w:after="40" w:line="240" w:lineRule="auto"/>
            </w:pPr>
            <w:r>
              <w:rPr>
                <w:sz w:val="22"/>
              </w:rPr>
              <w:t>January 2027</w:t>
            </w:r>
          </w:p>
        </w:tc>
        <w:tc>
          <w:tcPr>
            <w:tcW w:w="7200" w:type="dxa"/>
          </w:tcPr>
          <w:p w14:paraId="67C72E35" w14:textId="77777777" w:rsidR="00816090" w:rsidRDefault="00784F92">
            <w:pPr>
              <w:spacing w:after="40" w:line="240" w:lineRule="auto"/>
            </w:pPr>
            <w:r>
              <w:rPr>
                <w:sz w:val="22"/>
              </w:rPr>
              <w:t>S4 — metric implementation and validation on synthetic controls</w:t>
            </w:r>
          </w:p>
        </w:tc>
      </w:tr>
      <w:tr w:rsidR="00816090" w14:paraId="6FE8FAB0" w14:textId="77777777">
        <w:tc>
          <w:tcPr>
            <w:tcW w:w="2160" w:type="dxa"/>
          </w:tcPr>
          <w:p w14:paraId="670FCE3A" w14:textId="77777777" w:rsidR="00816090" w:rsidRDefault="00784F92">
            <w:pPr>
              <w:spacing w:after="40" w:line="240" w:lineRule="auto"/>
            </w:pPr>
            <w:r>
              <w:rPr>
                <w:sz w:val="22"/>
              </w:rPr>
              <w:t>February 2027</w:t>
            </w:r>
          </w:p>
        </w:tc>
        <w:tc>
          <w:tcPr>
            <w:tcW w:w="7200" w:type="dxa"/>
          </w:tcPr>
          <w:p w14:paraId="64677464" w14:textId="77777777" w:rsidR="00816090" w:rsidRDefault="00784F92">
            <w:pPr>
              <w:spacing w:after="40" w:line="240" w:lineRule="auto"/>
            </w:pPr>
            <w:r>
              <w:rPr>
                <w:sz w:val="22"/>
              </w:rPr>
              <w:t>S5 — controlled imbalance experiment</w:t>
            </w:r>
          </w:p>
        </w:tc>
      </w:tr>
      <w:tr w:rsidR="00816090" w14:paraId="55B5C7BB" w14:textId="77777777">
        <w:tc>
          <w:tcPr>
            <w:tcW w:w="2160" w:type="dxa"/>
          </w:tcPr>
          <w:p w14:paraId="57E63463" w14:textId="77777777" w:rsidR="00816090" w:rsidRDefault="00784F92">
            <w:pPr>
              <w:spacing w:after="40" w:line="240" w:lineRule="auto"/>
            </w:pPr>
            <w:r>
              <w:rPr>
                <w:sz w:val="22"/>
              </w:rPr>
              <w:t>March 2027</w:t>
            </w:r>
          </w:p>
        </w:tc>
        <w:tc>
          <w:tcPr>
            <w:tcW w:w="7200" w:type="dxa"/>
          </w:tcPr>
          <w:p w14:paraId="35749CF2" w14:textId="77777777" w:rsidR="00816090" w:rsidRDefault="00784F92">
            <w:pPr>
              <w:spacing w:after="40" w:line="240" w:lineRule="auto"/>
            </w:pPr>
            <w:r>
              <w:rPr>
                <w:sz w:val="22"/>
              </w:rPr>
              <w:t>S6 — semantic actionability study and rubric rating</w:t>
            </w:r>
          </w:p>
        </w:tc>
      </w:tr>
      <w:tr w:rsidR="00816090" w14:paraId="055F7EE6" w14:textId="77777777">
        <w:tc>
          <w:tcPr>
            <w:tcW w:w="2160" w:type="dxa"/>
          </w:tcPr>
          <w:p w14:paraId="39BC2647" w14:textId="77777777" w:rsidR="00816090" w:rsidRDefault="00784F92">
            <w:pPr>
              <w:spacing w:after="40" w:line="240" w:lineRule="auto"/>
            </w:pPr>
            <w:r>
              <w:rPr>
                <w:sz w:val="22"/>
              </w:rPr>
              <w:t>April 2027</w:t>
            </w:r>
          </w:p>
        </w:tc>
        <w:tc>
          <w:tcPr>
            <w:tcW w:w="7200" w:type="dxa"/>
          </w:tcPr>
          <w:p w14:paraId="0215475D" w14:textId="77777777" w:rsidR="00816090" w:rsidRDefault="00784F92">
            <w:pPr>
              <w:spacing w:after="40" w:line="240" w:lineRule="auto"/>
            </w:pPr>
            <w:r>
              <w:rPr>
                <w:sz w:val="22"/>
              </w:rPr>
              <w:t>S7 — statistical analysis, error analysis, results chapters</w:t>
            </w:r>
          </w:p>
        </w:tc>
      </w:tr>
      <w:tr w:rsidR="00816090" w14:paraId="64076435" w14:textId="77777777">
        <w:tc>
          <w:tcPr>
            <w:tcW w:w="2160" w:type="dxa"/>
          </w:tcPr>
          <w:p w14:paraId="3B93F54E" w14:textId="77777777" w:rsidR="00816090" w:rsidRDefault="00784F92">
            <w:pPr>
              <w:spacing w:after="40" w:line="240" w:lineRule="auto"/>
            </w:pPr>
            <w:r>
              <w:rPr>
                <w:sz w:val="22"/>
              </w:rPr>
              <w:t>May 2027</w:t>
            </w:r>
          </w:p>
        </w:tc>
        <w:tc>
          <w:tcPr>
            <w:tcW w:w="7200" w:type="dxa"/>
          </w:tcPr>
          <w:p w14:paraId="36368133" w14:textId="77777777" w:rsidR="00816090" w:rsidRDefault="00784F92">
            <w:pPr>
              <w:spacing w:after="40" w:line="240" w:lineRule="auto"/>
            </w:pPr>
            <w:r>
              <w:rPr>
                <w:sz w:val="22"/>
              </w:rPr>
              <w:t>Full draft, revision following supervisor feedback</w:t>
            </w:r>
          </w:p>
        </w:tc>
      </w:tr>
      <w:tr w:rsidR="00816090" w14:paraId="455A6C5D" w14:textId="77777777">
        <w:tc>
          <w:tcPr>
            <w:tcW w:w="2160" w:type="dxa"/>
          </w:tcPr>
          <w:p w14:paraId="0A9C2790" w14:textId="77777777" w:rsidR="00816090" w:rsidRDefault="00784F92">
            <w:pPr>
              <w:spacing w:after="40" w:line="240" w:lineRule="auto"/>
            </w:pPr>
            <w:r>
              <w:rPr>
                <w:sz w:val="22"/>
              </w:rPr>
              <w:t>June 2027</w:t>
            </w:r>
          </w:p>
        </w:tc>
        <w:tc>
          <w:tcPr>
            <w:tcW w:w="7200" w:type="dxa"/>
          </w:tcPr>
          <w:p w14:paraId="23A67EC7" w14:textId="77777777" w:rsidR="00816090" w:rsidRDefault="00784F92">
            <w:pPr>
              <w:spacing w:after="40" w:line="240" w:lineRule="auto"/>
            </w:pPr>
            <w:r>
              <w:rPr>
                <w:sz w:val="22"/>
              </w:rPr>
              <w:t>Final submission and defence</w:t>
            </w:r>
          </w:p>
        </w:tc>
      </w:tr>
    </w:tbl>
    <w:p w14:paraId="38FBFDFB" w14:textId="77777777" w:rsidR="00816090" w:rsidRDefault="00816090"/>
    <w:p w14:paraId="364B69FD" w14:textId="77777777" w:rsidR="00816090" w:rsidRDefault="00784F92">
      <w:pPr>
        <w:pStyle w:val="Heading2"/>
      </w:pPr>
      <w:r>
        <w:t>4.3 Limitations</w:t>
      </w:r>
    </w:p>
    <w:p w14:paraId="5B6E65EE" w14:textId="1105C073" w:rsidR="00681279" w:rsidRPr="00681279" w:rsidRDefault="00681279" w:rsidP="00681279">
      <w:r>
        <w:t>The major restriction is intentional and needs to be clearly expressed. The review revealed that the most compelling missing evidence is whether explanations help in the process of recruitment of professional fraud analysts, which is not a possibility in a master's project. This study thus gauges proxy properties — fidelity, stability, agreement and rubric-scored actionability. These are sufficient conditions for being useful but not necessary. That is, if an explanation is unfaithful or unstable it can't be useful, but an explanation that is faithful and stable can be useful, but it is not necessarily so. The results do not just resolve the field's claims, they limit them.</w:t>
      </w:r>
    </w:p>
    <w:p w14:paraId="5B6E65EE" w14:textId="1105C073" w:rsidR="00681279" w:rsidRPr="00681279" w:rsidRDefault="00681279" w:rsidP="00681279">
      <w:r>
        <w:t>Other constraints are next from the data. The ULB dataset spans two days in 2013 and will not be representative of fraud today; IEEE-CIS is only for e-commerce. Both are not live production streams and results about any temporal drift are based on a sample. This work focuses on the use of explainers after the fact by reference to opaque models, and only appears as a comparison point in the form of inherently interpretable alternatives (Rudin, 2019).</w:t>
      </w:r>
    </w:p>
    <w:p w14:paraId="5B6E65EE" w14:textId="1105C073" w:rsidR="00681279" w:rsidRPr="00681279" w:rsidRDefault="00681279" w:rsidP="00681279">
      <w:r>
        <w:t>Lastly, KernelSHAP is computationally intensive, and model-agnostic analyses will take advantage of sampled instances of which confidence intervals have been reported, rather than computing exhaustively.</w:t>
      </w:r>
    </w:p>
    <w:p w14:paraId="6C4276AF" w14:textId="77777777" w:rsidR="00816090" w:rsidRDefault="00784F92">
      <w:pPr>
        <w:pStyle w:val="Heading2"/>
      </w:pPr>
      <w:r>
        <w:t>4.4 Ethical considerations</w:t>
      </w:r>
    </w:p>
    <w:p w14:paraId="541A1D60" w14:textId="6892404F" w:rsidR="00816090" w:rsidRDefault="00681279">
      <w:r>
        <w:rPr>
          <w:b/>
        </w:rPr>
        <w:t>No human subjects will be solicited</w:t>
      </w:r>
      <w:r>
        <w:t xml:space="preserve"> nor be collected any personal information. The datasets will be sourced public, de-identified at source (ULB via PCA transformation, IEEE-CIS via anonymisation by data provider) and neither will there be any attempt at re-identification.</w:t>
      </w:r>
    </w:p>
    <w:p w14:paraId="541A1D60" w14:textId="6892404F" w:rsidR="00816090" w:rsidRDefault="00681279">
      <w:r>
        <w:t>The ULB data is distributed under the Open Database License with its data distributed under the Database Contents License, and the IEEE-CIS data will be distributed under the terms of the Kaggle competition, without redistribution of data. For Objective 4, the rubric-based assessment is not human subjects research since it is conducted with machine-generated explanations instead of human subjects, but ADA University will consult its ethics guidance and formal approval will be requested if deemed necessary by the institution.</w:t>
      </w:r>
    </w:p>
    <w:p w14:paraId="541A1D60" w14:textId="6892404F" w:rsidR="00816090" w:rsidRDefault="00681279">
      <w:r>
        <w:t xml:space="preserve">A </w:t>
      </w:r>
      <w:r>
        <w:rPr>
          <w:b/>
        </w:rPr>
        <w:t>single use consideration</w:t>
      </w:r>
      <w:r>
        <w:t xml:space="preserve"> applies. It is information about resampling distorting explanations or about the fragility of explanations under perturbations that in principle can help an adversary to evade detection. The reporting will thus focus on measurement and mitigation, as opposed to exploitation, as suggested by Slack et al. (2020).</w:t>
      </w:r>
    </w:p>
    <w:p w14:paraId="541A1D60" w14:textId="6892404F" w:rsidR="00816090" w:rsidRDefault="00681279">
      <w:r>
        <w:t>Finally, the issue of releasing code and seeds is explored not only as a methodological necessity, but also as an ethical imperative, because the argument of the review lies with claims that are hard to verify.</w:t>
      </w:r>
    </w:p>
    <w:p w14:paraId="70D09B4E" w14:textId="77777777" w:rsidR="00816090" w:rsidRDefault="00784F92">
      <w:pPr>
        <w:pStyle w:val="Heading1"/>
        <w:jc w:val="center"/>
      </w:pPr>
      <w:r>
        <w:t>References</w:t>
      </w:r>
    </w:p>
    <w:p w14:paraId="0DE302D7" w14:textId="77777777" w:rsidR="00816090" w:rsidRDefault="00784F92">
      <w:r>
        <w:t xml:space="preserve">Jesus, S., Belém, C., Balayan, V., Bento, J., Saleiro, P., Bizarro, P., &amp; Gama, J. (2021). How can I choose an explainer? An application-grounded evaluation of post-hoc explanations. </w:t>
      </w:r>
      <w:r>
        <w:rPr>
          <w:i/>
        </w:rPr>
        <w:t>Proceedings of FAccT 2021</w:t>
      </w:r>
      <w:r>
        <w:t>, 805–815.</w:t>
      </w:r>
    </w:p>
    <w:p w14:paraId="58F09D30" w14:textId="77777777" w:rsidR="00816090" w:rsidRDefault="00784F92">
      <w:r>
        <w:t xml:space="preserve">Rudin, C. (2019). Stop explaining black box machine learning models for high stakes decisions and use interpretable models instead. </w:t>
      </w:r>
      <w:r>
        <w:rPr>
          <w:i/>
        </w:rPr>
        <w:t>Nature Machine Intelligence</w:t>
      </w:r>
      <w:r>
        <w:t>, 1, 206–215.</w:t>
      </w:r>
    </w:p>
    <w:p w14:paraId="21CB254A" w14:textId="77777777" w:rsidR="00816090" w:rsidRDefault="00784F92">
      <w:r>
        <w:t xml:space="preserve">Slack, D., Hilgard, S., Jia, E., Singh, S., &amp; Lakkaraju, H. (2020). Fooling LIME and SHAP: Adversarial attacks on post hoc explanation methods. </w:t>
      </w:r>
      <w:r>
        <w:rPr>
          <w:i/>
        </w:rPr>
        <w:t>Proceedings of AIES 2020</w:t>
      </w:r>
      <w:r>
        <w:t>, 180–186.</w:t>
      </w:r>
    </w:p>
    <w:p w14:paraId="09623C1D" w14:textId="77777777" w:rsidR="00816090" w:rsidRDefault="00784F92">
      <w:r>
        <w:t xml:space="preserve">Weerts, H. J. P., van Ipenburg, W., &amp; Pechenizkiy, M. (2019). A human-grounded evaluation of SHAP for alert processing. </w:t>
      </w:r>
      <w:r>
        <w:rPr>
          <w:i/>
        </w:rPr>
        <w:t>arXiv:1907.03324</w:t>
      </w:r>
      <w:r>
        <w:t>.</w:t>
      </w:r>
    </w:p>
    <w:sectPr w:rsidR="00816090" w:rsidSect="009032D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CF34C" w14:textId="77777777" w:rsidR="00784F92" w:rsidRDefault="00784F92" w:rsidP="009032D7">
      <w:pPr>
        <w:spacing w:after="0" w:line="240" w:lineRule="auto"/>
      </w:pPr>
      <w:r>
        <w:separator/>
      </w:r>
    </w:p>
  </w:endnote>
  <w:endnote w:type="continuationSeparator" w:id="0">
    <w:p w14:paraId="6F70FE58" w14:textId="77777777" w:rsidR="00784F92" w:rsidRDefault="00784F92" w:rsidP="00903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C49F" w14:textId="77777777" w:rsidR="009032D7" w:rsidRDefault="009032D7" w:rsidP="00A92E28">
    <w:pPr>
      <w:pStyle w:val="Footer"/>
      <w:framePr w:wrap="around"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CBFEFB0" w14:textId="77777777" w:rsidR="009032D7" w:rsidRDefault="009032D7" w:rsidP="009032D7">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7243D" w14:textId="77777777" w:rsidR="009032D7" w:rsidRDefault="009032D7" w:rsidP="00A92E28">
    <w:pPr>
      <w:pStyle w:val="Footer"/>
      <w:framePr w:wrap="around"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425D9BB" w14:textId="77777777" w:rsidR="009032D7" w:rsidRDefault="009032D7" w:rsidP="009032D7">
    <w:pPr>
      <w:pStyle w:val="Footer"/>
      <w:ind w:right="360"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3024" w14:textId="77777777" w:rsidR="009032D7" w:rsidRDefault="00903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0C4ED" w14:textId="77777777" w:rsidR="00784F92" w:rsidRDefault="00784F92" w:rsidP="009032D7">
      <w:pPr>
        <w:spacing w:after="0" w:line="240" w:lineRule="auto"/>
      </w:pPr>
      <w:r>
        <w:separator/>
      </w:r>
    </w:p>
  </w:footnote>
  <w:footnote w:type="continuationSeparator" w:id="0">
    <w:p w14:paraId="5647E2B8" w14:textId="77777777" w:rsidR="00784F92" w:rsidRDefault="00784F92" w:rsidP="00903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28D3" w14:textId="77777777" w:rsidR="009032D7" w:rsidRDefault="009032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EF6B2" w14:textId="77777777" w:rsidR="009032D7" w:rsidRDefault="009032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2167C" w14:textId="77777777" w:rsidR="009032D7" w:rsidRDefault="009032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56036"/>
    <w:multiLevelType w:val="singleLevel"/>
    <w:tmpl w:val="0409000F"/>
    <w:lvl w:ilvl="0">
      <w:start w:val="1"/>
      <w:numFmt w:val="decimal"/>
      <w:lvlText w:val="%1."/>
      <w:lvlJc w:val="left"/>
      <w:pPr>
        <w:ind w:left="720" w:hanging="360"/>
      </w:pPr>
    </w:lvl>
  </w:abstractNum>
  <w:abstractNum w:abstractNumId="1" w15:restartNumberingAfterBreak="0">
    <w:nsid w:val="6EE52850"/>
    <w:multiLevelType w:val="hybridMultilevel"/>
    <w:tmpl w:val="21041B68"/>
    <w:lvl w:ilvl="0" w:tplc="88B4C1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8005519">
    <w:abstractNumId w:val="0"/>
  </w:num>
  <w:num w:numId="2" w16cid:durableId="1094473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2D7"/>
    <w:rsid w:val="00013C86"/>
    <w:rsid w:val="00103D8B"/>
    <w:rsid w:val="002C358F"/>
    <w:rsid w:val="00324A56"/>
    <w:rsid w:val="00471560"/>
    <w:rsid w:val="004F4967"/>
    <w:rsid w:val="00517BF6"/>
    <w:rsid w:val="00525B6F"/>
    <w:rsid w:val="005F63CA"/>
    <w:rsid w:val="00681279"/>
    <w:rsid w:val="00733100"/>
    <w:rsid w:val="00775625"/>
    <w:rsid w:val="00784F92"/>
    <w:rsid w:val="00816090"/>
    <w:rsid w:val="008308B2"/>
    <w:rsid w:val="0084081B"/>
    <w:rsid w:val="00856AB9"/>
    <w:rsid w:val="009032D7"/>
    <w:rsid w:val="00A465C3"/>
    <w:rsid w:val="00B05854"/>
    <w:rsid w:val="00B21D10"/>
    <w:rsid w:val="00B52BC5"/>
    <w:rsid w:val="00BB0EC0"/>
    <w:rsid w:val="00C4568F"/>
    <w:rsid w:val="00D23C1F"/>
    <w:rsid w:val="00E30A58"/>
    <w:rsid w:val="00E95C35"/>
    <w:rsid w:val="00EC10DF"/>
    <w:rsid w:val="00FA2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AA474C"/>
  <w15:chartTrackingRefBased/>
  <w15:docId w15:val="{49867992-F943-4D35-B78B-36C0216EA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s="Times New Roman"/>
    </w:rPr>
  </w:style>
  <w:style w:type="paragraph" w:styleId="Heading1">
    <w:name w:val="heading 1"/>
    <w:basedOn w:val="Normal"/>
    <w:next w:val="Normal"/>
    <w:link w:val="Heading1Char"/>
    <w:uiPriority w:val="9"/>
    <w:qFormat/>
    <w:rsid w:val="009032D7"/>
    <w:pPr>
      <w:keepNext/>
      <w:keepLines/>
      <w:spacing w:before="360" w:after="80"/>
      <w:outlineLvl w:val="0"/>
    </w:pPr>
    <w:rPr>
      <w:rFonts w:eastAsiaTheme="majorEastAsia"/>
      <w:color w:val="000000"/>
      <w:sz w:val="28"/>
      <w:szCs w:val="40"/>
    </w:rPr>
  </w:style>
  <w:style w:type="paragraph" w:styleId="Heading2">
    <w:name w:val="heading 2"/>
    <w:basedOn w:val="Normal"/>
    <w:next w:val="Normal"/>
    <w:link w:val="Heading2Char"/>
    <w:uiPriority w:val="9"/>
    <w:unhideWhenUsed/>
    <w:qFormat/>
    <w:rsid w:val="009032D7"/>
    <w:pPr>
      <w:keepNext/>
      <w:keepLines/>
      <w:spacing w:before="160" w:after="80"/>
      <w:outlineLvl w:val="1"/>
    </w:pPr>
    <w:rPr>
      <w:rFonts w:eastAsiaTheme="majorEastAsia"/>
      <w:color w:val="000000"/>
      <w:sz w:val="25"/>
      <w:szCs w:val="32"/>
    </w:rPr>
  </w:style>
  <w:style w:type="paragraph" w:styleId="Heading3">
    <w:name w:val="heading 3"/>
    <w:basedOn w:val="Normal"/>
    <w:next w:val="Normal"/>
    <w:link w:val="Heading3Char"/>
    <w:uiPriority w:val="9"/>
    <w:semiHidden/>
    <w:unhideWhenUsed/>
    <w:qFormat/>
    <w:rsid w:val="009032D7"/>
    <w:pPr>
      <w:keepNext/>
      <w:keepLines/>
      <w:spacing w:before="160" w:after="80"/>
      <w:outlineLvl w:val="2"/>
    </w:pPr>
    <w:rPr>
      <w:rFonts w:eastAsiaTheme="majorEastAsia"/>
      <w:color w:val="000000"/>
      <w:sz w:val="28"/>
      <w:szCs w:val="28"/>
    </w:rPr>
  </w:style>
  <w:style w:type="paragraph" w:styleId="Heading4">
    <w:name w:val="heading 4"/>
    <w:basedOn w:val="Normal"/>
    <w:next w:val="Normal"/>
    <w:link w:val="Heading4Char"/>
    <w:uiPriority w:val="9"/>
    <w:semiHidden/>
    <w:unhideWhenUsed/>
    <w:qFormat/>
    <w:rsid w:val="00903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2D7"/>
    <w:rPr>
      <w:rFonts w:ascii="Times New Roman" w:eastAsiaTheme="majorEastAsia" w:hAnsi="Times New Roman" w:cs="Times New Roman"/>
      <w:color w:val="000000"/>
      <w:sz w:val="28"/>
      <w:szCs w:val="40"/>
    </w:rPr>
  </w:style>
  <w:style w:type="character" w:customStyle="1" w:styleId="Heading2Char">
    <w:name w:val="Heading 2 Char"/>
    <w:basedOn w:val="DefaultParagraphFont"/>
    <w:link w:val="Heading2"/>
    <w:uiPriority w:val="9"/>
    <w:rsid w:val="009032D7"/>
    <w:rPr>
      <w:rFonts w:ascii="Times New Roman" w:eastAsiaTheme="majorEastAsia" w:hAnsi="Times New Roman" w:cs="Times New Roman"/>
      <w:color w:val="000000"/>
      <w:sz w:val="25"/>
      <w:szCs w:val="32"/>
    </w:rPr>
  </w:style>
  <w:style w:type="character" w:customStyle="1" w:styleId="Heading3Char">
    <w:name w:val="Heading 3 Char"/>
    <w:basedOn w:val="DefaultParagraphFont"/>
    <w:link w:val="Heading3"/>
    <w:uiPriority w:val="9"/>
    <w:semiHidden/>
    <w:rsid w:val="009032D7"/>
    <w:rPr>
      <w:rFonts w:ascii="Times New Roman" w:eastAsiaTheme="majorEastAsia" w:hAnsi="Times New Roman" w:cs="Times New Roman"/>
      <w:color w:val="000000"/>
      <w:sz w:val="28"/>
      <w:szCs w:val="28"/>
    </w:rPr>
  </w:style>
  <w:style w:type="character" w:customStyle="1" w:styleId="Heading4Char">
    <w:name w:val="Heading 4 Char"/>
    <w:basedOn w:val="DefaultParagraphFont"/>
    <w:link w:val="Heading4"/>
    <w:uiPriority w:val="9"/>
    <w:semiHidden/>
    <w:rsid w:val="00903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2D7"/>
    <w:rPr>
      <w:rFonts w:eastAsiaTheme="majorEastAsia" w:cstheme="majorBidi"/>
      <w:color w:val="272727" w:themeColor="text1" w:themeTint="D8"/>
    </w:rPr>
  </w:style>
  <w:style w:type="paragraph" w:styleId="Title">
    <w:name w:val="Title"/>
    <w:basedOn w:val="Normal"/>
    <w:next w:val="Normal"/>
    <w:link w:val="TitleChar"/>
    <w:uiPriority w:val="10"/>
    <w:qFormat/>
    <w:rsid w:val="009032D7"/>
    <w:pPr>
      <w:spacing w:after="80" w:line="240" w:lineRule="auto"/>
      <w:contextualSpacing/>
    </w:pPr>
    <w:rPr>
      <w:rFonts w:eastAsiaTheme="majorEastAsia"/>
      <w:color w:val="000000"/>
      <w:spacing w:val="-10"/>
      <w:kern w:val="28"/>
      <w:sz w:val="32"/>
      <w:szCs w:val="56"/>
    </w:rPr>
  </w:style>
  <w:style w:type="character" w:customStyle="1" w:styleId="TitleChar">
    <w:name w:val="Title Char"/>
    <w:basedOn w:val="DefaultParagraphFont"/>
    <w:link w:val="Title"/>
    <w:uiPriority w:val="10"/>
    <w:rsid w:val="009032D7"/>
    <w:rPr>
      <w:rFonts w:ascii="Times New Roman" w:eastAsiaTheme="majorEastAsia" w:hAnsi="Times New Roman" w:cs="Times New Roman"/>
      <w:color w:val="000000"/>
      <w:spacing w:val="-10"/>
      <w:kern w:val="28"/>
      <w:sz w:val="32"/>
      <w:szCs w:val="56"/>
    </w:rPr>
  </w:style>
  <w:style w:type="paragraph" w:styleId="Subtitle">
    <w:name w:val="Subtitle"/>
    <w:basedOn w:val="Normal"/>
    <w:next w:val="Normal"/>
    <w:link w:val="SubtitleChar"/>
    <w:uiPriority w:val="11"/>
    <w:qFormat/>
    <w:rsid w:val="00903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2D7"/>
    <w:pPr>
      <w:spacing w:before="160"/>
      <w:jc w:val="center"/>
    </w:pPr>
    <w:rPr>
      <w:i/>
      <w:iCs/>
      <w:color w:val="404040" w:themeColor="text1" w:themeTint="BF"/>
    </w:rPr>
  </w:style>
  <w:style w:type="character" w:customStyle="1" w:styleId="QuoteChar">
    <w:name w:val="Quote Char"/>
    <w:basedOn w:val="DefaultParagraphFont"/>
    <w:link w:val="Quote"/>
    <w:uiPriority w:val="29"/>
    <w:rsid w:val="009032D7"/>
    <w:rPr>
      <w:i/>
      <w:iCs/>
      <w:color w:val="404040" w:themeColor="text1" w:themeTint="BF"/>
    </w:rPr>
  </w:style>
  <w:style w:type="paragraph" w:styleId="ListParagraph">
    <w:name w:val="List Paragraph"/>
    <w:basedOn w:val="Normal"/>
    <w:uiPriority w:val="34"/>
    <w:qFormat/>
    <w:rsid w:val="009032D7"/>
    <w:pPr>
      <w:ind w:left="720"/>
      <w:contextualSpacing/>
    </w:pPr>
  </w:style>
  <w:style w:type="character" w:styleId="IntenseEmphasis">
    <w:name w:val="Intense Emphasis"/>
    <w:basedOn w:val="DefaultParagraphFont"/>
    <w:uiPriority w:val="21"/>
    <w:qFormat/>
    <w:rsid w:val="009032D7"/>
    <w:rPr>
      <w:i/>
      <w:iCs/>
      <w:color w:val="0F4761" w:themeColor="accent1" w:themeShade="BF"/>
    </w:rPr>
  </w:style>
  <w:style w:type="paragraph" w:styleId="IntenseQuote">
    <w:name w:val="Intense Quote"/>
    <w:basedOn w:val="Normal"/>
    <w:next w:val="Normal"/>
    <w:link w:val="IntenseQuoteChar"/>
    <w:uiPriority w:val="30"/>
    <w:qFormat/>
    <w:rsid w:val="00903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2D7"/>
    <w:rPr>
      <w:i/>
      <w:iCs/>
      <w:color w:val="0F4761" w:themeColor="accent1" w:themeShade="BF"/>
    </w:rPr>
  </w:style>
  <w:style w:type="character" w:styleId="IntenseReference">
    <w:name w:val="Intense Reference"/>
    <w:basedOn w:val="DefaultParagraphFont"/>
    <w:uiPriority w:val="32"/>
    <w:qFormat/>
    <w:rsid w:val="009032D7"/>
    <w:rPr>
      <w:b/>
      <w:bCs/>
      <w:smallCaps/>
      <w:color w:val="0F4761" w:themeColor="accent1" w:themeShade="BF"/>
      <w:spacing w:val="5"/>
    </w:rPr>
  </w:style>
  <w:style w:type="paragraph" w:styleId="Header">
    <w:name w:val="header"/>
    <w:basedOn w:val="Normal"/>
    <w:link w:val="HeaderChar"/>
    <w:uiPriority w:val="99"/>
    <w:unhideWhenUsed/>
    <w:rsid w:val="009032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2D7"/>
    <w:rPr>
      <w:rFonts w:ascii="Times New Roman" w:hAnsi="Times New Roman" w:cs="Times New Roman"/>
    </w:rPr>
  </w:style>
  <w:style w:type="paragraph" w:styleId="Footer">
    <w:name w:val="footer"/>
    <w:basedOn w:val="Normal"/>
    <w:link w:val="FooterChar"/>
    <w:uiPriority w:val="99"/>
    <w:unhideWhenUsed/>
    <w:rsid w:val="009032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2D7"/>
    <w:rPr>
      <w:rFonts w:ascii="Times New Roman" w:hAnsi="Times New Roman" w:cs="Times New Roman"/>
    </w:rPr>
  </w:style>
  <w:style w:type="character" w:styleId="PageNumber">
    <w:name w:val="page number"/>
    <w:basedOn w:val="DefaultParagraphFont"/>
    <w:uiPriority w:val="99"/>
    <w:semiHidden/>
    <w:unhideWhenUsed/>
    <w:rsid w:val="009032D7"/>
  </w:style>
  <w:style w:type="paragraph" w:styleId="Revision">
    <w:name w:val="Revision"/>
    <w:hidden/>
    <w:uiPriority w:val="99"/>
    <w:semiHidden/>
    <w:rsid w:val="00775625"/>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2284</Words>
  <Characters>13025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Namig Planov</dc:creator>
  <cp:keywords/>
  <dc:description/>
  <cp:lastModifiedBy>Namig Planov</cp:lastModifiedBy>
  <cp:revision>2</cp:revision>
  <cp:lastPrinted>2026-09-20T06:12:00Z</cp:lastPrinted>
  <dcterms:created xsi:type="dcterms:W3CDTF">2026-10-10T23:44:00Z</dcterms:created>
  <dcterms:modified xsi:type="dcterms:W3CDTF">2026-10-10T23:44:00Z</dcterms:modified>
</cp:coreProperties>
</file>