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8E1F" w14:textId="607C8939" w:rsidR="00847C6B" w:rsidRDefault="00F256FF" w:rsidP="00F256FF">
      <w:pPr>
        <w:pStyle w:val="Titolo"/>
        <w:jc w:val="center"/>
        <w:rPr>
          <w:color w:val="FF0000"/>
        </w:rPr>
      </w:pPr>
      <w:r w:rsidRPr="00F256FF">
        <w:rPr>
          <w:color w:val="FF0000"/>
        </w:rPr>
        <w:t>R</w:t>
      </w:r>
      <w:r w:rsidRPr="00F256FF">
        <w:rPr>
          <w:color w:val="FF0000"/>
        </w:rPr>
        <w:t>elazione</w:t>
      </w:r>
    </w:p>
    <w:p w14:paraId="69AEF474" w14:textId="5C9D6238" w:rsidR="00B4180D" w:rsidRDefault="00F256FF" w:rsidP="00886083">
      <w:pPr>
        <w:pStyle w:val="Sottotitolo"/>
        <w:jc w:val="center"/>
      </w:pPr>
      <w:r w:rsidRPr="00F256FF">
        <w:t>sulle tecniche di accesso al canale fisico</w:t>
      </w:r>
    </w:p>
    <w:p w14:paraId="77E4EE47" w14:textId="77777777" w:rsidR="00B4180D" w:rsidRDefault="00B4180D" w:rsidP="00B4180D">
      <w:r>
        <w:t>Introduzione:</w:t>
      </w:r>
    </w:p>
    <w:p w14:paraId="24961D25" w14:textId="77777777" w:rsidR="00B4180D" w:rsidRDefault="00B4180D" w:rsidP="00B4180D">
      <w:pPr>
        <w:ind w:left="708"/>
      </w:pPr>
      <w:r>
        <w:t>Nel contesto delle reti di comunicazione, l'accesso al canale fisico è un aspetto fondamentale che regola la condivisione delle risorse per la trasmissione dei dati. Esistono diverse tecniche di accesso al canale fisico, ognuna con le proprie caratteristiche e modalità di funzionamento. In questa relazione, analizzeremo le differenze tra l'accesso non alla pari e l'accesso alla pari, descriveremo la tecnica di Poll/</w:t>
      </w:r>
      <w:proofErr w:type="spellStart"/>
      <w:r>
        <w:t>select</w:t>
      </w:r>
      <w:proofErr w:type="spellEnd"/>
      <w:r>
        <w:t xml:space="preserve">, esamineremo le varie tecniche Token, parleremo di CSMA/CD e le sue componenti chiave, come JAM, </w:t>
      </w:r>
      <w:proofErr w:type="spellStart"/>
      <w:r>
        <w:t>Binary</w:t>
      </w:r>
      <w:proofErr w:type="spellEnd"/>
      <w:r>
        <w:t xml:space="preserve"> </w:t>
      </w:r>
      <w:proofErr w:type="spellStart"/>
      <w:r>
        <w:t>Exponential</w:t>
      </w:r>
      <w:proofErr w:type="spellEnd"/>
      <w:r>
        <w:t xml:space="preserve"> </w:t>
      </w:r>
      <w:proofErr w:type="spellStart"/>
      <w:r>
        <w:t>Backoff</w:t>
      </w:r>
      <w:proofErr w:type="spellEnd"/>
      <w:r>
        <w:t xml:space="preserve"> e tempo di attesa, e infine esploreremo le due versioni del protocollo ALOHA.</w:t>
      </w:r>
    </w:p>
    <w:p w14:paraId="2DE8D7F4" w14:textId="77777777" w:rsidR="00B4180D" w:rsidRDefault="00B4180D" w:rsidP="00B4180D"/>
    <w:p w14:paraId="58B1785E" w14:textId="77777777" w:rsidR="00B4180D" w:rsidRDefault="00B4180D" w:rsidP="00B4180D">
      <w:r>
        <w:t>Differenza tra accesso non alla pari e accesso alla pari:</w:t>
      </w:r>
    </w:p>
    <w:p w14:paraId="2B6387FD" w14:textId="77777777" w:rsidR="00B4180D" w:rsidRDefault="00B4180D" w:rsidP="00B4180D">
      <w:pPr>
        <w:ind w:left="708"/>
      </w:pPr>
      <w:r>
        <w:t>L'accesso non alla pari e l'accesso alla pari sono due modi in cui le entità di rete condividono il canale fisico per trasmettere dati. Nell'accesso non alla pari, un'entità di rete chiamata "master" o "nodo primario" controlla l'accesso al canale e decide quali altre entità, chiamate "slave" o "nodi secondari", possono trasmettere. Il master assegna un tempo di trasmissione ai nodi secondari, consentendo loro di trasmettere solo durante intervalli specifici assegnati. Al contrario, nell'accesso alla pari, tutte le entità di rete hanno gli stessi diritti per accedere al canale fisico e possono trasmettere indipendentemente senza un controllo centrale.</w:t>
      </w:r>
    </w:p>
    <w:p w14:paraId="2671E209" w14:textId="77777777" w:rsidR="0059317B" w:rsidRDefault="0059317B" w:rsidP="00B4180D">
      <w:pPr>
        <w:ind w:left="708"/>
      </w:pPr>
    </w:p>
    <w:p w14:paraId="49231B85" w14:textId="77777777" w:rsidR="00B4180D" w:rsidRDefault="00B4180D" w:rsidP="00B4180D">
      <w:r>
        <w:t>Tecnica Poll/</w:t>
      </w:r>
      <w:proofErr w:type="spellStart"/>
      <w:r>
        <w:t>select</w:t>
      </w:r>
      <w:proofErr w:type="spellEnd"/>
      <w:r>
        <w:t>:</w:t>
      </w:r>
    </w:p>
    <w:p w14:paraId="5D28BEC6" w14:textId="0577A62F" w:rsidR="0089185F" w:rsidRDefault="0089185F" w:rsidP="00B4180D">
      <w:pPr>
        <w:ind w:left="708"/>
      </w:pPr>
      <w:r>
        <w:rPr>
          <w:noProof/>
        </w:rPr>
        <w:drawing>
          <wp:anchor distT="0" distB="0" distL="114300" distR="114300" simplePos="0" relativeHeight="251658240" behindDoc="1" locked="0" layoutInCell="1" allowOverlap="1" wp14:anchorId="132E4A88" wp14:editId="3E923766">
            <wp:simplePos x="0" y="0"/>
            <wp:positionH relativeFrom="column">
              <wp:posOffset>3440430</wp:posOffset>
            </wp:positionH>
            <wp:positionV relativeFrom="paragraph">
              <wp:posOffset>5715</wp:posOffset>
            </wp:positionV>
            <wp:extent cx="3139440" cy="2472690"/>
            <wp:effectExtent l="0" t="0" r="3810" b="3810"/>
            <wp:wrapTight wrapText="bothSides">
              <wp:wrapPolygon edited="0">
                <wp:start x="0" y="0"/>
                <wp:lineTo x="0" y="21467"/>
                <wp:lineTo x="21495" y="21467"/>
                <wp:lineTo x="21495" y="0"/>
                <wp:lineTo x="0" y="0"/>
              </wp:wrapPolygon>
            </wp:wrapTight>
            <wp:docPr id="1016011008" name="Immagine 1" descr="Immagine che contiene testo, diagramm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1008" name="Immagine 1" descr="Immagine che contiene testo, diagramma, Disegno tecnico, Pian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440"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0D">
        <w:t>La tecnica di Poll/</w:t>
      </w:r>
      <w:proofErr w:type="spellStart"/>
      <w:r w:rsidR="00B4180D">
        <w:t>select</w:t>
      </w:r>
      <w:proofErr w:type="spellEnd"/>
      <w:r w:rsidR="00B4180D">
        <w:t xml:space="preserve"> è un metodo utilizzato per coordinare l'accesso al canale fisico in una rete. In questa tecnica, un nodo centrale chiamato "nodo di controllo" o "supervisore" interroga i nodi per determinare se hanno dati da trasmettere. Il nodo di controllo invia un messaggio di interrogazione, specificando gli identificatori dei nodi che devono rispondere. I nodi selezionati rispondono al nodo di controllo con un messaggio di risposta contenente i dati da trasmettere. Il nodo di controllo può quindi gestire l'accesso al canale, consentendo a un nodo alla volta di trasmettere i propri dati.</w:t>
      </w:r>
    </w:p>
    <w:p w14:paraId="4B54A63A" w14:textId="77777777" w:rsidR="00B4180D" w:rsidRDefault="00B4180D" w:rsidP="00B4180D">
      <w:r>
        <w:t>Tecniche Token:</w:t>
      </w:r>
    </w:p>
    <w:p w14:paraId="0979DFF5" w14:textId="77777777" w:rsidR="00B4180D" w:rsidRDefault="00B4180D" w:rsidP="00B4180D">
      <w:pPr>
        <w:ind w:left="708"/>
      </w:pPr>
      <w:r>
        <w:t>Le tecniche Token sono utilizzate per controllare l'accesso al canale fisico mediante l'utilizzo di un token. Un token è un messaggio speciale che circola tra i nodi della rete. Solo il nodo che possiede il token ha il diritto di trasmettere. Una volta che un nodo ha completato la sua trasmissione, passa il token al nodo successivo nella sequenza prestabilita. Ci sono diverse varianti delle tecniche Token, tra cui Token Ring e Token Bus.</w:t>
      </w:r>
    </w:p>
    <w:p w14:paraId="23916829" w14:textId="77777777" w:rsidR="00B4180D" w:rsidRDefault="00B4180D" w:rsidP="00B4180D"/>
    <w:p w14:paraId="50AD1545" w14:textId="04F2ED42" w:rsidR="00F256FF" w:rsidRDefault="00B4180D" w:rsidP="00B4180D">
      <w:pPr>
        <w:ind w:left="708"/>
      </w:pPr>
      <w:r>
        <w:lastRenderedPageBreak/>
        <w:t>Token Ring: In una rete Token Ring, i nodi sono collegati in una topologia ad anello. Il token circola in senso orario tra i nodi. Quando un nodo detiene il token, ha il diritto di trasmettere i propri dati. Una volta completata la trasmissione, il token viene</w:t>
      </w:r>
      <w:r w:rsidR="00DA5F74">
        <w:t xml:space="preserve"> passato al seguente nodo dell’anello.</w:t>
      </w:r>
    </w:p>
    <w:p w14:paraId="1EE8D0B5" w14:textId="1A5E6A8F" w:rsidR="00236A6A" w:rsidRPr="00F256FF" w:rsidRDefault="00236A6A" w:rsidP="00236A6A">
      <w:pPr>
        <w:ind w:left="708"/>
        <w:jc w:val="center"/>
      </w:pPr>
      <w:r>
        <w:rPr>
          <w:noProof/>
        </w:rPr>
        <w:drawing>
          <wp:inline distT="0" distB="0" distL="0" distR="0" wp14:anchorId="5F03FB3E" wp14:editId="608FB59A">
            <wp:extent cx="3573780" cy="2006861"/>
            <wp:effectExtent l="0" t="0" r="7620" b="0"/>
            <wp:docPr id="2019259346" name="Immagine 2" descr="IEEE 802.5 | Token ring - definition, explanation, &amp; history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EE 802.5 | Token ring - definition, explanation, &amp; history - ION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798" cy="2011364"/>
                    </a:xfrm>
                    <a:prstGeom prst="rect">
                      <a:avLst/>
                    </a:prstGeom>
                    <a:noFill/>
                    <a:ln>
                      <a:noFill/>
                    </a:ln>
                  </pic:spPr>
                </pic:pic>
              </a:graphicData>
            </a:graphic>
          </wp:inline>
        </w:drawing>
      </w:r>
    </w:p>
    <w:sectPr w:rsidR="00236A6A" w:rsidRPr="00F256FF">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A8DD" w14:textId="77777777" w:rsidR="00EB1842" w:rsidRDefault="00EB1842" w:rsidP="003D4373">
      <w:pPr>
        <w:spacing w:after="0" w:line="240" w:lineRule="auto"/>
      </w:pPr>
      <w:r>
        <w:separator/>
      </w:r>
    </w:p>
  </w:endnote>
  <w:endnote w:type="continuationSeparator" w:id="0">
    <w:p w14:paraId="6062FED9" w14:textId="77777777" w:rsidR="00EB1842" w:rsidRDefault="00EB1842" w:rsidP="003D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38D6" w14:textId="77777777" w:rsidR="00EB1842" w:rsidRDefault="00EB1842" w:rsidP="003D4373">
      <w:pPr>
        <w:spacing w:after="0" w:line="240" w:lineRule="auto"/>
      </w:pPr>
      <w:r>
        <w:separator/>
      </w:r>
    </w:p>
  </w:footnote>
  <w:footnote w:type="continuationSeparator" w:id="0">
    <w:p w14:paraId="2041862C" w14:textId="77777777" w:rsidR="00EB1842" w:rsidRDefault="00EB1842" w:rsidP="003D4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D88C" w14:textId="145EAF08" w:rsidR="003D4373" w:rsidRPr="003D4373" w:rsidRDefault="003D4373" w:rsidP="003D4373">
    <w:pPr>
      <w:pStyle w:val="Intestazione"/>
      <w:jc w:val="right"/>
      <w:rPr>
        <w:lang w:val="es-ES"/>
      </w:rPr>
    </w:pPr>
    <w:r>
      <w:rPr>
        <w:lang w:val="es-ES"/>
      </w:rPr>
      <w:t>Maccione Marco Luigi 4CI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FF"/>
    <w:rsid w:val="0002043D"/>
    <w:rsid w:val="00236A6A"/>
    <w:rsid w:val="003D4373"/>
    <w:rsid w:val="0059317B"/>
    <w:rsid w:val="00773CA0"/>
    <w:rsid w:val="007D26F8"/>
    <w:rsid w:val="00847C6B"/>
    <w:rsid w:val="00886083"/>
    <w:rsid w:val="0089185F"/>
    <w:rsid w:val="00B4180D"/>
    <w:rsid w:val="00DA5F74"/>
    <w:rsid w:val="00EB1842"/>
    <w:rsid w:val="00F256FF"/>
    <w:rsid w:val="00F267B8"/>
    <w:rsid w:val="00F51C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254F"/>
  <w15:chartTrackingRefBased/>
  <w15:docId w15:val="{03F32640-9A23-4977-BAAA-D6202AAB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25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56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56F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256FF"/>
    <w:rPr>
      <w:rFonts w:eastAsiaTheme="minorEastAsia"/>
      <w:color w:val="5A5A5A" w:themeColor="text1" w:themeTint="A5"/>
      <w:spacing w:val="15"/>
    </w:rPr>
  </w:style>
  <w:style w:type="character" w:styleId="Collegamentoipertestuale">
    <w:name w:val="Hyperlink"/>
    <w:basedOn w:val="Carpredefinitoparagrafo"/>
    <w:uiPriority w:val="99"/>
    <w:unhideWhenUsed/>
    <w:rsid w:val="0089185F"/>
    <w:rPr>
      <w:color w:val="0563C1" w:themeColor="hyperlink"/>
      <w:u w:val="single"/>
    </w:rPr>
  </w:style>
  <w:style w:type="character" w:styleId="Menzionenonrisolta">
    <w:name w:val="Unresolved Mention"/>
    <w:basedOn w:val="Carpredefinitoparagrafo"/>
    <w:uiPriority w:val="99"/>
    <w:semiHidden/>
    <w:unhideWhenUsed/>
    <w:rsid w:val="0089185F"/>
    <w:rPr>
      <w:color w:val="605E5C"/>
      <w:shd w:val="clear" w:color="auto" w:fill="E1DFDD"/>
    </w:rPr>
  </w:style>
  <w:style w:type="paragraph" w:styleId="Intestazione">
    <w:name w:val="header"/>
    <w:basedOn w:val="Normale"/>
    <w:link w:val="IntestazioneCarattere"/>
    <w:uiPriority w:val="99"/>
    <w:unhideWhenUsed/>
    <w:rsid w:val="003D43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4373"/>
  </w:style>
  <w:style w:type="paragraph" w:styleId="Pidipagina">
    <w:name w:val="footer"/>
    <w:basedOn w:val="Normale"/>
    <w:link w:val="PidipaginaCarattere"/>
    <w:uiPriority w:val="99"/>
    <w:unhideWhenUsed/>
    <w:rsid w:val="003D43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4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12</cp:revision>
  <dcterms:created xsi:type="dcterms:W3CDTF">2023-05-21T17:52:00Z</dcterms:created>
  <dcterms:modified xsi:type="dcterms:W3CDTF">2023-05-21T18:38:00Z</dcterms:modified>
</cp:coreProperties>
</file>