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B5E20"/>
          <w:sz w:val="40"/>
          <w:szCs w:val="40"/>
        </w:rPr>
        <w:t xml:space="preserve">Manufacturing</w:t>
      </w:r>
    </w:p>
    <w:p>
      <w:pPr>
        <w:spacing w:after="4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Section 13  •  Painting Robot Project</w:t>
      </w:r>
    </w:p>
    <w:p>
      <w:pPr>
        <w:pBdr>
          <w:bottom w:val="single" w:color="1B5E20" w:sz="8"/>
        </w:pBdr>
        <w:spacing w:after="300"/>
      </w:pPr>
    </w:p>
    <w:p>
      <w:pPr>
        <w:pStyle w:val="Heading1"/>
        <w:spacing w:after="160" w:before="200"/>
      </w:pPr>
      <w:r>
        <w:rPr>
          <w:rFonts w:ascii="Arial" w:cs="Arial" w:eastAsia="Arial" w:hAnsi="Arial"/>
          <w:b/>
          <w:bCs/>
          <w:color w:val="1B5E20"/>
          <w:sz w:val="28"/>
          <w:szCs w:val="28"/>
        </w:rPr>
        <w:t xml:space="preserve">Overview</w:t>
      </w:r>
    </w:p>
    <w:p>
      <w:pPr>
        <w:spacing w:after="300"/>
      </w:pPr>
      <w:r>
        <w:rPr>
          <w:rFonts w:ascii="Arial" w:cs="Arial" w:eastAsia="Arial" w:hAnsi="Arial"/>
          <w:sz w:val="22"/>
          <w:szCs w:val="22"/>
        </w:rPr>
        <w:t xml:space="preserve">Fabrication files and guides for producing all physical parts of the robot.</w:t>
      </w:r>
    </w:p>
    <w:p>
      <w:pPr>
        <w:pStyle w:val="Heading1"/>
        <w:spacing w:after="200" w:before="200"/>
      </w:pPr>
      <w:r>
        <w:rPr>
          <w:rFonts w:ascii="Arial" w:cs="Arial" w:eastAsia="Arial" w:hAnsi="Arial"/>
          <w:b/>
          <w:bCs/>
          <w:color w:val="1B5E20"/>
          <w:sz w:val="28"/>
          <w:szCs w:val="28"/>
        </w:rPr>
        <w:t xml:space="preserve">Sub-Folders /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Folder Name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Contents / Purpose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CNC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G-code programs and toolpaths for CNC milling of structural parts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3D_Printing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STL/3MF files and slicer profiles for printed brackets and prototypes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Laser_Cutting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DXF/SVG files for laser-cut sheet metal and acrylic parts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Assembly_Guides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Step-by-step illustrated assembly instructions with torque specs</w:t>
            </w:r>
          </w:p>
        </w:tc>
      </w:tr>
    </w:tbl>
    <w:p>
      <w:pPr>
        <w:spacing w:after="300"/>
      </w:pPr>
    </w:p>
    <w:p>
      <w:pPr>
        <w:pStyle w:val="Heading1"/>
        <w:spacing w:after="200" w:before="200"/>
      </w:pPr>
      <w:r>
        <w:rPr>
          <w:rFonts w:ascii="Arial" w:cs="Arial" w:eastAsia="Arial" w:hAnsi="Arial"/>
          <w:b/>
          <w:bCs/>
          <w:color w:val="1B5E20"/>
          <w:sz w:val="28"/>
          <w:szCs w:val="28"/>
        </w:rPr>
        <w:t xml:space="preserve">Key Notes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Verify material certifications for structural parts.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3D-printed parts should use 40%+ infill for load-bearing applications.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Assembly guides must include torque values for all critical fasteners.</w:t>
      </w:r>
    </w:p>
    <w:p>
      <w:pPr>
        <w:spacing w:before="400"/>
      </w:pPr>
    </w:p>
    <w:p>
      <w:pPr>
        <w:pBdr>
          <w:top w:val="single" w:color="CCCCCC" w:sz="4"/>
        </w:pBdr>
        <w:spacing w:before="16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Painting Robot Project  |  Manufacturing  |  Document Auto-Generated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B5E2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2026-06-03T18:02:23.246Z</dcterms:created>
  <dcterms:modified xsi:type="dcterms:W3CDTF">2026-06-03T18:02:23.246Z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