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02 — Motors</w:t>
      </w:r>
    </w:p>
    <w:p>
      <w:pPr>
        <w:spacing w:after="80" w:before="0"/>
        <w:jc w:val="center"/>
      </w:pPr>
      <w:r>
        <w:rPr>
          <w:rFonts w:ascii="Arial" w:cs="Arial" w:eastAsia="Arial" w:hAnsi="Arial"/>
          <w:i/>
          <w:iCs/>
          <w:color w:val="555555"/>
          <w:sz w:val="26"/>
          <w:szCs w:val="26"/>
        </w:rPr>
        <w:t xml:space="preserve">Palletizing Robot | Servo, Stepper, BLDC Motors &amp; Gearboxes</w:t>
      </w:r>
    </w:p>
    <w:p>
      <w:pPr>
        <w:pBdr>
          <w:bottom w:val="single" w:color="1F4E79" w:sz="8" w:space="1"/>
        </w:pBdr>
        <w:spacing w:after="480" w:before="120"/>
      </w:pPr>
      <w:r>
        <w:t xml:space="preserve"/>
      </w:r>
    </w:p>
    <w:p>
      <w:pPr>
        <w:pStyle w:val="Heading1"/>
        <w:spacing w:after="120" w:before="360"/>
      </w:pPr>
      <w:r>
        <w:rPr>
          <w:rFonts w:ascii="Arial" w:cs="Arial" w:eastAsia="Arial" w:hAnsi="Arial"/>
          <w:b/>
          <w:bCs/>
          <w:color w:val="1F4E79"/>
          <w:sz w:val="32"/>
          <w:szCs w:val="32"/>
        </w:rPr>
        <w:t xml:space="preserve">Motor Selection Overview</w:t>
      </w:r>
    </w:p>
    <w:p>
      <w:pPr>
        <w:spacing w:after="120" w:before="60"/>
      </w:pPr>
      <w:r>
        <w:rPr>
          <w:rFonts w:ascii="Arial" w:cs="Arial" w:eastAsia="Arial" w:hAnsi="Arial"/>
          <w:sz w:val="22"/>
          <w:szCs w:val="22"/>
        </w:rPr>
        <w:t xml:space="preserve">Motor selection is one of the most critical decisions in Delta robot design. The motor must provide sufficient torque to accelerate the arm rapidly while maintaining positional accuracy. Three motors of identical specification are required for the symmetric delta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Motor 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Motor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torque, closed-loop, high 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Expensive, complex driver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choice for precision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Stepper Motor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no encoder needed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Open-loop, loses steps at high speed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Low-cost / low-speed builds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BLDC Motor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speed, efficient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encoder + FOC control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 high-performance builds</w:t>
            </w:r>
          </w:p>
        </w:tc>
      </w:tr>
    </w:tbl>
    <w:p>
      <w:pPr>
        <w:spacing w:after="0" w:before="120"/>
      </w:pPr>
      <w:r>
        <w:t xml:space="preserve"/>
      </w:r>
    </w:p>
    <w:p>
      <w:pPr>
        <w:pStyle w:val="Heading1"/>
        <w:spacing w:after="120" w:before="360"/>
      </w:pPr>
      <w:r>
        <w:rPr>
          <w:rFonts w:ascii="Arial" w:cs="Arial" w:eastAsia="Arial" w:hAnsi="Arial"/>
          <w:b/>
          <w:bCs/>
          <w:color w:val="1F4E79"/>
          <w:sz w:val="32"/>
          <w:szCs w:val="32"/>
        </w:rPr>
        <w:t xml:space="preserve">Servo Motors</w:t>
      </w:r>
    </w:p>
    <w:p>
      <w:pPr>
        <w:spacing w:after="120" w:before="60"/>
      </w:pPr>
      <w:r>
        <w:rPr>
          <w:rFonts w:ascii="Arial" w:cs="Arial" w:eastAsia="Arial" w:hAnsi="Arial"/>
          <w:sz w:val="22"/>
          <w:szCs w:val="22"/>
        </w:rPr>
        <w:t xml:space="preserve">Servo motors with integrated encoders are the industry-standard choice for Delta robots in palletizing. They provide closed-loop position control, enabling high accuracy and the ability to detect and correct errors.</w:t>
      </w:r>
    </w:p>
    <w:p>
      <w:pPr>
        <w:pStyle w:val="ListParagraph"/>
        <w:numPr>
          <w:ilvl w:val="0"/>
          <w:numId w:val="2"/>
        </w:numPr>
        <w:spacing w:after="40" w:before="40"/>
      </w:pPr>
      <w:r>
        <w:rPr>
          <w:rFonts w:ascii="Arial" w:cs="Arial" w:eastAsia="Arial" w:hAnsi="Arial"/>
          <w:sz w:val="22"/>
          <w:szCs w:val="22"/>
        </w:rPr>
        <w:t xml:space="preserve">Typical frame size: 60 mm or 80 mm flange (NEMA 23/34 equivalent)</w:t>
      </w:r>
    </w:p>
    <w:p>
      <w:pPr>
        <w:pStyle w:val="ListParagraph"/>
        <w:numPr>
          <w:ilvl w:val="0"/>
          <w:numId w:val="2"/>
        </w:numPr>
        <w:spacing w:after="40" w:before="40"/>
      </w:pPr>
      <w:r>
        <w:rPr>
          <w:rFonts w:ascii="Arial" w:cs="Arial" w:eastAsia="Arial" w:hAnsi="Arial"/>
          <w:sz w:val="22"/>
          <w:szCs w:val="22"/>
        </w:rPr>
        <w:t xml:space="preserve">Rated torque: 2–10 Nm depending on arm length and payload</w:t>
      </w:r>
    </w:p>
    <w:p>
      <w:pPr>
        <w:pStyle w:val="ListParagraph"/>
        <w:numPr>
          <w:ilvl w:val="0"/>
          <w:numId w:val="2"/>
        </w:numPr>
        <w:spacing w:after="40" w:before="40"/>
      </w:pPr>
      <w:r>
        <w:rPr>
          <w:rFonts w:ascii="Arial" w:cs="Arial" w:eastAsia="Arial" w:hAnsi="Arial"/>
          <w:sz w:val="22"/>
          <w:szCs w:val="22"/>
        </w:rPr>
        <w:t xml:space="preserve">Encoder resolution: 2500 PPR incremental or 17-bit absolute</w:t>
      </w:r>
    </w:p>
    <w:p>
      <w:pPr>
        <w:pStyle w:val="ListParagraph"/>
        <w:numPr>
          <w:ilvl w:val="0"/>
          <w:numId w:val="2"/>
        </w:numPr>
        <w:spacing w:after="40" w:before="40"/>
      </w:pPr>
      <w:r>
        <w:rPr>
          <w:rFonts w:ascii="Arial" w:cs="Arial" w:eastAsia="Arial" w:hAnsi="Arial"/>
          <w:sz w:val="22"/>
          <w:szCs w:val="22"/>
        </w:rPr>
        <w:t xml:space="preserve">Communication: Pulse/Direction, CANopen, EtherCAT</w:t>
      </w:r>
    </w:p>
    <w:p>
      <w:pPr>
        <w:pStyle w:val="ListParagraph"/>
        <w:numPr>
          <w:ilvl w:val="0"/>
          <w:numId w:val="2"/>
        </w:numPr>
        <w:spacing w:after="40" w:before="40"/>
      </w:pPr>
      <w:r>
        <w:rPr>
          <w:rFonts w:ascii="Arial" w:cs="Arial" w:eastAsia="Arial" w:hAnsi="Arial"/>
          <w:sz w:val="22"/>
          <w:szCs w:val="22"/>
        </w:rPr>
        <w:t xml:space="preserve">Brands: Mitsubishi, Delta Electronics, Leadshine, Yaskawa</w:t>
      </w:r>
    </w:p>
    <w:p>
      <w:pPr>
        <w:pStyle w:val="Heading1"/>
        <w:spacing w:after="120" w:before="360"/>
      </w:pPr>
      <w:r>
        <w:rPr>
          <w:rFonts w:ascii="Arial" w:cs="Arial" w:eastAsia="Arial" w:hAnsi="Arial"/>
          <w:b/>
          <w:bCs/>
          <w:color w:val="1F4E79"/>
          <w:sz w:val="32"/>
          <w:szCs w:val="32"/>
        </w:rPr>
        <w:t xml:space="preserve">Stepper Motors</w:t>
      </w:r>
    </w:p>
    <w:p>
      <w:pPr>
        <w:spacing w:after="120" w:before="60"/>
      </w:pPr>
      <w:r>
        <w:rPr>
          <w:rFonts w:ascii="Arial" w:cs="Arial" w:eastAsia="Arial" w:hAnsi="Arial"/>
          <w:sz w:val="22"/>
          <w:szCs w:val="22"/>
        </w:rPr>
        <w:t xml:space="preserve">Stepper motors are used in lower-budget or educational Delta robot builds. They operate open-loop (no feedback), meaning missed steps can cause positional error under load or at high acceleration.</w:t>
      </w:r>
    </w:p>
    <w:p>
      <w:pPr>
        <w:pStyle w:val="ListParagraph"/>
        <w:numPr>
          <w:ilvl w:val="0"/>
          <w:numId w:val="2"/>
        </w:numPr>
        <w:spacing w:after="40" w:before="40"/>
      </w:pPr>
      <w:r>
        <w:rPr>
          <w:rFonts w:ascii="Arial" w:cs="Arial" w:eastAsia="Arial" w:hAnsi="Arial"/>
          <w:sz w:val="22"/>
          <w:szCs w:val="22"/>
        </w:rPr>
        <w:t xml:space="preserve">Standard NEMA 23 (57 mm) or NEMA 34 (86 mm) frame</w:t>
      </w:r>
    </w:p>
    <w:p>
      <w:pPr>
        <w:pStyle w:val="ListParagraph"/>
        <w:numPr>
          <w:ilvl w:val="0"/>
          <w:numId w:val="2"/>
        </w:numPr>
        <w:spacing w:after="40" w:before="40"/>
      </w:pPr>
      <w:r>
        <w:rPr>
          <w:rFonts w:ascii="Arial" w:cs="Arial" w:eastAsia="Arial" w:hAnsi="Arial"/>
          <w:sz w:val="22"/>
          <w:szCs w:val="22"/>
        </w:rPr>
        <w:t xml:space="preserve">Step angle: 1.8° (200 steps/rev) or 0.9° (400 steps/rev)</w:t>
      </w:r>
    </w:p>
    <w:p>
      <w:pPr>
        <w:pStyle w:val="ListParagraph"/>
        <w:numPr>
          <w:ilvl w:val="0"/>
          <w:numId w:val="2"/>
        </w:numPr>
        <w:spacing w:after="40" w:before="40"/>
      </w:pPr>
      <w:r>
        <w:rPr>
          <w:rFonts w:ascii="Arial" w:cs="Arial" w:eastAsia="Arial" w:hAnsi="Arial"/>
          <w:sz w:val="22"/>
          <w:szCs w:val="22"/>
        </w:rPr>
        <w:t xml:space="preserve">Microstepping: 1/16 to 1/256 for smoother motion</w:t>
      </w:r>
    </w:p>
    <w:p>
      <w:pPr>
        <w:pStyle w:val="ListParagraph"/>
        <w:numPr>
          <w:ilvl w:val="0"/>
          <w:numId w:val="2"/>
        </w:numPr>
        <w:spacing w:after="40" w:before="40"/>
      </w:pPr>
      <w:r>
        <w:rPr>
          <w:rFonts w:ascii="Arial" w:cs="Arial" w:eastAsia="Arial" w:hAnsi="Arial"/>
          <w:sz w:val="22"/>
          <w:szCs w:val="22"/>
        </w:rPr>
        <w:t xml:space="preserve">Best used with closed-loop stepper drivers (encoder feedback)</w:t>
      </w:r>
    </w:p>
    <w:p>
      <w:pPr>
        <w:pStyle w:val="Heading1"/>
        <w:spacing w:after="120" w:before="360"/>
      </w:pPr>
      <w:r>
        <w:rPr>
          <w:rFonts w:ascii="Arial" w:cs="Arial" w:eastAsia="Arial" w:hAnsi="Arial"/>
          <w:b/>
          <w:bCs/>
          <w:color w:val="1F4E79"/>
          <w:sz w:val="32"/>
          <w:szCs w:val="32"/>
        </w:rPr>
        <w:t xml:space="preserve">BLDC Motors</w:t>
      </w:r>
    </w:p>
    <w:p>
      <w:pPr>
        <w:spacing w:after="120" w:before="60"/>
      </w:pPr>
      <w:r>
        <w:rPr>
          <w:rFonts w:ascii="Arial" w:cs="Arial" w:eastAsia="Arial" w:hAnsi="Arial"/>
          <w:sz w:val="22"/>
          <w:szCs w:val="22"/>
        </w:rPr>
        <w:t xml:space="preserve">Brushless DC motors offer the highest power density and speed but require sophisticated Field-Oriented Control (FOC) algorithms. Used in advanced research Delta robots.</w:t>
      </w:r>
    </w:p>
    <w:p>
      <w:pPr>
        <w:pStyle w:val="ListParagraph"/>
        <w:numPr>
          <w:ilvl w:val="0"/>
          <w:numId w:val="2"/>
        </w:numPr>
        <w:spacing w:after="40" w:before="40"/>
      </w:pPr>
      <w:r>
        <w:rPr>
          <w:rFonts w:ascii="Arial" w:cs="Arial" w:eastAsia="Arial" w:hAnsi="Arial"/>
          <w:sz w:val="22"/>
          <w:szCs w:val="22"/>
        </w:rPr>
        <w:t xml:space="preserve">Very high RPM capability (3000–10000 RPM)</w:t>
      </w:r>
    </w:p>
    <w:p>
      <w:pPr>
        <w:pStyle w:val="ListParagraph"/>
        <w:numPr>
          <w:ilvl w:val="0"/>
          <w:numId w:val="2"/>
        </w:numPr>
        <w:spacing w:after="40" w:before="40"/>
      </w:pPr>
      <w:r>
        <w:rPr>
          <w:rFonts w:ascii="Arial" w:cs="Arial" w:eastAsia="Arial" w:hAnsi="Arial"/>
          <w:sz w:val="22"/>
          <w:szCs w:val="22"/>
        </w:rPr>
        <w:t xml:space="preserve">Requires Hall-effect sensors or encoder for commutation</w:t>
      </w:r>
    </w:p>
    <w:p>
      <w:pPr>
        <w:pStyle w:val="ListParagraph"/>
        <w:numPr>
          <w:ilvl w:val="0"/>
          <w:numId w:val="2"/>
        </w:numPr>
        <w:spacing w:after="40" w:before="40"/>
      </w:pPr>
      <w:r>
        <w:rPr>
          <w:rFonts w:ascii="Arial" w:cs="Arial" w:eastAsia="Arial" w:hAnsi="Arial"/>
          <w:sz w:val="22"/>
          <w:szCs w:val="22"/>
        </w:rPr>
        <w:t xml:space="preserve">FOC control for torque smoothness</w:t>
      </w:r>
    </w:p>
    <w:p>
      <w:pPr>
        <w:pStyle w:val="ListParagraph"/>
        <w:numPr>
          <w:ilvl w:val="0"/>
          <w:numId w:val="2"/>
        </w:numPr>
        <w:spacing w:after="40" w:before="40"/>
      </w:pPr>
      <w:r>
        <w:rPr>
          <w:rFonts w:ascii="Arial" w:cs="Arial" w:eastAsia="Arial" w:hAnsi="Arial"/>
          <w:sz w:val="22"/>
          <w:szCs w:val="22"/>
        </w:rPr>
        <w:t xml:space="preserve">Suitable for ultra-high-speed pick-and-place (&gt;150 picks/min)</w:t>
      </w:r>
    </w:p>
    <w:p>
      <w:pPr>
        <w:pStyle w:val="Heading1"/>
        <w:spacing w:after="120" w:before="360"/>
      </w:pPr>
      <w:r>
        <w:rPr>
          <w:rFonts w:ascii="Arial" w:cs="Arial" w:eastAsia="Arial" w:hAnsi="Arial"/>
          <w:b/>
          <w:bCs/>
          <w:color w:val="1F4E79"/>
          <w:sz w:val="32"/>
          <w:szCs w:val="32"/>
        </w:rPr>
        <w:t xml:space="preserve">Gearboxes</w:t>
      </w:r>
    </w:p>
    <w:p>
      <w:pPr>
        <w:spacing w:after="120" w:before="60"/>
      </w:pPr>
      <w:r>
        <w:rPr>
          <w:rFonts w:ascii="Arial" w:cs="Arial" w:eastAsia="Arial" w:hAnsi="Arial"/>
          <w:sz w:val="22"/>
          <w:szCs w:val="22"/>
        </w:rPr>
        <w:t xml:space="preserve">Gearboxes may be used to increase motor torque while reducing speed — useful when smaller motors are selected. However, gearboxes add backlash, weight, and complexity.</w:t>
      </w:r>
    </w:p>
    <w:p>
      <w:pPr>
        <w:pStyle w:val="ListParagraph"/>
        <w:numPr>
          <w:ilvl w:val="0"/>
          <w:numId w:val="2"/>
        </w:numPr>
        <w:spacing w:after="40" w:before="40"/>
      </w:pPr>
      <w:r>
        <w:rPr>
          <w:rFonts w:ascii="Arial" w:cs="Arial" w:eastAsia="Arial" w:hAnsi="Arial"/>
          <w:sz w:val="22"/>
          <w:szCs w:val="22"/>
        </w:rPr>
        <w:t xml:space="preserve">Planetary gearbox: compact, high torque density, low backlash</w:t>
      </w:r>
    </w:p>
    <w:p>
      <w:pPr>
        <w:pStyle w:val="ListParagraph"/>
        <w:numPr>
          <w:ilvl w:val="0"/>
          <w:numId w:val="2"/>
        </w:numPr>
        <w:spacing w:after="40" w:before="40"/>
      </w:pPr>
      <w:r>
        <w:rPr>
          <w:rFonts w:ascii="Arial" w:cs="Arial" w:eastAsia="Arial" w:hAnsi="Arial"/>
          <w:sz w:val="22"/>
          <w:szCs w:val="22"/>
        </w:rPr>
        <w:t xml:space="preserve">Ratio typically 5:1 to 20:1 for servo Delta applications</w:t>
      </w:r>
    </w:p>
    <w:p>
      <w:pPr>
        <w:pStyle w:val="ListParagraph"/>
        <w:numPr>
          <w:ilvl w:val="0"/>
          <w:numId w:val="2"/>
        </w:numPr>
        <w:spacing w:after="40" w:before="40"/>
      </w:pPr>
      <w:r>
        <w:rPr>
          <w:rFonts w:ascii="Arial" w:cs="Arial" w:eastAsia="Arial" w:hAnsi="Arial"/>
          <w:sz w:val="22"/>
          <w:szCs w:val="22"/>
        </w:rPr>
        <w:t xml:space="preserve">Zero-backlash gearboxes (e.g. Neugart, Apex) for precision</w:t>
      </w:r>
    </w:p>
    <w:p>
      <w:pPr>
        <w:pStyle w:val="ListParagraph"/>
        <w:numPr>
          <w:ilvl w:val="0"/>
          <w:numId w:val="2"/>
        </w:numPr>
        <w:spacing w:after="40" w:before="40"/>
      </w:pPr>
      <w:r>
        <w:rPr>
          <w:rFonts w:ascii="Arial" w:cs="Arial" w:eastAsia="Arial" w:hAnsi="Arial"/>
          <w:sz w:val="22"/>
          <w:szCs w:val="22"/>
        </w:rPr>
        <w:t xml:space="preserve">Direct-drive preferred when motor torque is sufficient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2026-06-03T08:42:05.587Z</dcterms:created>
  <dcterms:modified xsi:type="dcterms:W3CDTF">2026-06-03T08:42:05.587Z</dcterms:modified>
</cp:coreProperties>
</file>

<file path=docProps/custom.xml><?xml version="1.0" encoding="utf-8"?>
<Properties xmlns="http://schemas.openxmlformats.org/officeDocument/2006/custom-properties" xmlns:vt="http://schemas.openxmlformats.org/officeDocument/2006/docPropsVTypes"/>
</file>