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color w:val="f6821f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color w:val="f6821f"/>
          <w:sz w:val="48"/>
          <w:szCs w:val="48"/>
          <w:rtl w:val="0"/>
        </w:rPr>
        <w:t xml:space="preserve">Web Design &amp; Development I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color w:val="f6821f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color w:val="f6821f"/>
          <w:sz w:val="48"/>
          <w:szCs w:val="48"/>
          <w:rtl w:val="0"/>
        </w:rPr>
        <w:t xml:space="preserve">IDD103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color w:val="002060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2060"/>
          <w:sz w:val="44"/>
          <w:szCs w:val="44"/>
          <w:rtl w:val="0"/>
        </w:rPr>
        <w:t xml:space="preserve">HTML Text-Level Semantics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48"/>
          <w:szCs w:val="48"/>
        </w:rPr>
        <w:drawing>
          <wp:inline distB="114300" distT="114300" distL="114300" distR="114300">
            <wp:extent cx="1438275" cy="1438275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Prepared by Mr. Kinley Tshering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2060"/>
          <w:sz w:val="28"/>
          <w:szCs w:val="28"/>
          <w:rtl w:val="0"/>
        </w:rPr>
        <w:t xml:space="preserve">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c1wtouumjl6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Semantic Element?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76bq970ej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em element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9yeof2bllp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strong element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a8up58dpm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small element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znbrj3kxs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 element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whggimrchxi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cite and q element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309t9546tc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dfn element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nqq6rn3auk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abbr element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7xsi5i2rke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time element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30e82kco6z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code element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7wudck264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var element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s9vlap619o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samp element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llack8gjigp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kbd element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3z3d77uplq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sub and sup element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aowbu79t2y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i, b and u element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ls63ud1vmy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mark element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sdxrunqlk3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ruby and rt element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ex1qpney0h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bdi and bdo element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lvxi4en79y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br element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color w:val="00206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c1wtouumjl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What is a Semantic Element?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Semantic elements = elements with a meaning.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semantic element clearly describes its meaning to both the browser and the developer.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Examples of non-semantic elements: </w:t>
      </w:r>
    </w:p>
    <w:p w:rsidR="00000000" w:rsidDel="00000000" w:rsidP="00000000" w:rsidRDefault="00000000" w:rsidRPr="00000000" w14:paraId="00000021">
      <w:pPr>
        <w:ind w:left="144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&lt;div&gt; and &lt;span&gt;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Tells nothing about its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Examples of semantic elements: </w:t>
      </w:r>
    </w:p>
    <w:p w:rsidR="00000000" w:rsidDel="00000000" w:rsidP="00000000" w:rsidRDefault="00000000" w:rsidRPr="00000000" w14:paraId="00000024">
      <w:pPr>
        <w:ind w:left="144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&lt;form&gt;, &lt;table&gt;, and &lt;article&gt;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Clearly defines its content.</w:t>
      </w:r>
    </w:p>
    <w:p w:rsidR="00000000" w:rsidDel="00000000" w:rsidP="00000000" w:rsidRDefault="00000000" w:rsidRPr="00000000" w14:paraId="00000026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176bq970ejau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em element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em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element represents the stress emphasis of its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placement of stress emphasis changes the meaning of the sentence.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 By emphasizing the word, the statement implies that the kind of animal under dissicision is a question (maybe someone is asserting that cats are cute)</w:t>
      </w:r>
    </w:p>
    <w:tbl>
      <w:tblPr>
        <w:tblStyle w:val="Table1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4335"/>
        <w:tblGridChange w:id="0">
          <w:tblGrid>
            <w:gridCol w:w="4755"/>
            <w:gridCol w:w="4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em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dogs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em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are cute animals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2519363" cy="479463"/>
                  <wp:effectExtent b="0" l="0" r="0" t="0"/>
                  <wp:docPr id="4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63" cy="479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9yeof2bllpmf" w:id="2"/>
      <w:bookmarkEnd w:id="2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strong element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element represents strong importance, seriousness, or urgency for its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 The text is really “AI, BlockChain, and FullStack”, but the author has added a light-hearted addition to the heading. The strong element is thus used to mark up the first part to distinguish it from the later part.</w:t>
      </w:r>
    </w:p>
    <w:tbl>
      <w:tblPr>
        <w:tblStyle w:val="Table2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5340"/>
        <w:tblGridChange w:id="0">
          <w:tblGrid>
            <w:gridCol w:w="3750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AI, BlockChain and FullStack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 and other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3232596" cy="340892"/>
                  <wp:effectExtent b="0" l="0" r="0" t="0"/>
                  <wp:docPr id="4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596" cy="3408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  <w:color w:val="00206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4a8up58dpm74" w:id="3"/>
      <w:bookmarkEnd w:id="3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small element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small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element represents side comments such as small 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small element should not be used for extended spans of text, multiple paragraphs, list or section of text.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 The small element is used for a side comment in an article.</w:t>
      </w:r>
    </w:p>
    <w:tbl>
      <w:tblPr>
        <w:tblStyle w:val="Table3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080"/>
        <w:tblGridChange w:id="0">
          <w:tblGrid>
            <w:gridCol w:w="50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Single room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300BTN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small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breakfast included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small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dd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2481263" cy="493350"/>
                  <wp:effectExtent b="0" l="0" r="0" t="0"/>
                  <wp:docPr id="4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49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1znbrj3kxse2" w:id="4"/>
      <w:bookmarkEnd w:id="4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s element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element represents contents that are no longer accurate or no longer relevant.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 Recommended retail price has been marked as no longer relevant as the product in question has a new sale price.</w:t>
      </w:r>
    </w:p>
    <w:tbl>
      <w:tblPr>
        <w:tblStyle w:val="Table4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080"/>
        <w:tblGridChange w:id="0">
          <w:tblGrid>
            <w:gridCol w:w="50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8"/>
                <w:szCs w:val="18"/>
                <w:rtl w:val="0"/>
              </w:rPr>
              <w:t xml:space="preserve">Buy our milk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8"/>
                <w:szCs w:val="18"/>
                <w:rtl w:val="0"/>
              </w:rPr>
              <w:t xml:space="preserve">Recommended retail price: Nu.40 per bottle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8"/>
                <w:szCs w:val="18"/>
                <w:rtl w:val="0"/>
              </w:rPr>
              <w:t xml:space="preserve">Now selling for just Nu.35 per bottle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2457450" cy="787400"/>
                  <wp:effectExtent b="0" l="0" r="0" t="0"/>
                  <wp:docPr id="4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whggimrchxif" w:id="5"/>
      <w:bookmarkEnd w:id="5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cite and q element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cite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a reference to a creative work. It must include the title of the work or the name of the author.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q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some phrasing content quoted from another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 The author of a quote referenced using the cite and q  element</w:t>
      </w:r>
    </w:p>
    <w:tbl>
      <w:tblPr>
        <w:tblStyle w:val="Table5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In the words of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Theodore Roosevell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 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Believe you can and you're halfway there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Output</w:t>
      </w:r>
    </w:p>
    <w:tbl>
      <w:tblPr>
        <w:tblStyle w:val="Table6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5629275" cy="381000"/>
                  <wp:effectExtent b="0" l="0" r="0" t="0"/>
                  <wp:docPr id="4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309t9546tcf0" w:id="6"/>
      <w:bookmarkEnd w:id="6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dfn element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dfn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stands for the definition element and it specifies a term that is going to be defined within the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</w:t>
      </w:r>
    </w:p>
    <w:tbl>
      <w:tblPr>
        <w:tblStyle w:val="Table7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dfn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dfn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 is the standard markup language for creating web pages.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5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Output</w:t>
      </w:r>
    </w:p>
    <w:tbl>
      <w:tblPr>
        <w:tblStyle w:val="Table8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5272088" cy="392507"/>
                  <wp:effectExtent b="0" l="0" r="0" t="0"/>
                  <wp:docPr id="4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088" cy="3925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nqq6rn3aukc0" w:id="7"/>
      <w:bookmarkEnd w:id="7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abbr element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abbr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an abbreviation or acronym,  optional with its expansion.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Use the global title attribute to show the description for the abbreviation/acronym when you mouse over the element.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</w:t>
      </w:r>
    </w:p>
    <w:tbl>
      <w:tblPr>
        <w:tblStyle w:val="Table9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abbr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9"/>
                <w:szCs w:val="19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9"/>
                <w:szCs w:val="19"/>
                <w:rtl w:val="0"/>
              </w:rPr>
              <w:t xml:space="preserve">"Gyalpozhing College of Information Technology"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GCIT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abbr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Output</w:t>
      </w:r>
    </w:p>
    <w:tbl>
      <w:tblPr>
        <w:tblStyle w:val="Table10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9050" distT="19050" distL="19050" distR="19050">
                  <wp:extent cx="3976688" cy="837661"/>
                  <wp:effectExtent b="0" l="0" r="0" t="0"/>
                  <wp:docPr id="4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688" cy="8376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g09119x39g3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7xsi5i2rke0f" w:id="9"/>
      <w:bookmarkEnd w:id="9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time element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time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 defines a specific time (or datetime).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datetime attribute of this element is used to translate the time into a machine-readable format so that browsers can offer to add date reminders through the user's calendar, and search engines can produce smarter search results.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</w:t>
      </w:r>
    </w:p>
    <w:tbl>
      <w:tblPr>
        <w:tblStyle w:val="Table11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I have a date on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9"/>
                <w:szCs w:val="19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9"/>
                <w:szCs w:val="19"/>
                <w:rtl w:val="0"/>
              </w:rPr>
              <w:t xml:space="preserve">"2022-02-14 20:00"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Valentines Day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30e82kco6zdb" w:id="10"/>
      <w:bookmarkEnd w:id="10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code element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code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 is used to define a piece of computer code. The content inside is displayed in the browser's default monospace font.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</w:t>
      </w:r>
    </w:p>
    <w:tbl>
      <w:tblPr>
        <w:tblStyle w:val="Table12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element  is used to define a piece of computer code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Output</w:t>
      </w:r>
    </w:p>
    <w:tbl>
      <w:tblPr>
        <w:tblStyle w:val="Table13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5629275" cy="444500"/>
                  <wp:effectExtent b="0" l="0" r="0" t="0"/>
                  <wp:docPr id="4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7wudck264s0" w:id="11"/>
      <w:bookmarkEnd w:id="11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var element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a variable in programming or in a mathematical expression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</w:t>
      </w:r>
    </w:p>
    <w:tbl>
      <w:tblPr>
        <w:tblStyle w:val="Table14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There are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numbers of books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Output</w:t>
      </w:r>
    </w:p>
    <w:tbl>
      <w:tblPr>
        <w:tblStyle w:val="Table15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3090863" cy="369186"/>
                  <wp:effectExtent b="0" l="0" r="0" t="0"/>
                  <wp:docPr id="5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863" cy="3691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s9vlap619o36" w:id="12"/>
      <w:bookmarkEnd w:id="12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samp element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samp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is used to define sample output from a computer program. The content inside is displayed in the browser's default monospace font.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 </w:t>
      </w:r>
    </w:p>
    <w:tbl>
      <w:tblPr>
        <w:tblStyle w:val="Table16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080"/>
        <w:tblGridChange w:id="0">
          <w:tblGrid>
            <w:gridCol w:w="50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The computer shows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samp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Error 404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samp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1738313" cy="734403"/>
                  <wp:effectExtent b="0" l="0" r="0" t="0"/>
                  <wp:docPr id="5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313" cy="7344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llack8gjigpg" w:id="13"/>
      <w:bookmarkEnd w:id="13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kbd element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kbd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user input, typically keyboard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 </w:t>
      </w:r>
    </w:p>
    <w:tbl>
      <w:tblPr>
        <w:tblStyle w:val="Table17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080"/>
        <w:tblGridChange w:id="0">
          <w:tblGrid>
            <w:gridCol w:w="50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press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kbd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Shift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kbd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kbd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F3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kbd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1862138" cy="392468"/>
                  <wp:effectExtent b="0" l="0" r="0" t="0"/>
                  <wp:docPr id="5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138" cy="392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3z3d77uplqhx" w:id="14"/>
      <w:bookmarkEnd w:id="14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sub and sup element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sup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a superscript and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a subscript.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</w:t>
      </w:r>
    </w:p>
    <w:tbl>
      <w:tblPr>
        <w:tblStyle w:val="Table18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sup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sup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90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Output</w:t>
      </w:r>
    </w:p>
    <w:tbl>
      <w:tblPr>
        <w:tblStyle w:val="Table19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1023938" cy="390816"/>
                  <wp:effectExtent b="0" l="0" r="0" t="0"/>
                  <wp:docPr id="5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390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aowbu79t2yv9" w:id="15"/>
      <w:bookmarkEnd w:id="15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i, b and u element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a span of text in an alternate voice or mood. The content inside is typically displayed in italic.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bold text without any extra importance.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some text that is unarticulated and styled differently from normal text. The content inside is typically displayed with an underline.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 </w:t>
      </w:r>
    </w:p>
    <w:tbl>
      <w:tblPr>
        <w:tblStyle w:val="Table20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080"/>
        <w:tblGridChange w:id="0">
          <w:tblGrid>
            <w:gridCol w:w="50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italic text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bold text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underline text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9050" distT="19050" distL="19050" distR="19050">
                  <wp:extent cx="1524000" cy="857250"/>
                  <wp:effectExtent b="0" l="0" r="0" t="0"/>
                  <wp:docPr id="5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ls63ud1vmyo2" w:id="16"/>
      <w:bookmarkEnd w:id="16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mark element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mark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a run of text in one document marked or highlighted for reference purposes, due to its relevance in another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Example:</w:t>
      </w:r>
    </w:p>
    <w:tbl>
      <w:tblPr>
        <w:tblStyle w:val="Table21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I also have some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mark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kitten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mark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s who are visiting me this days. They'are really cute.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Output</w:t>
      </w:r>
    </w:p>
    <w:tbl>
      <w:tblPr>
        <w:tblStyle w:val="Table22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5629275" cy="266700"/>
                  <wp:effectExtent b="0" l="0" r="0" t="0"/>
                  <wp:docPr id="5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sdxrunqlk3ai" w:id="17"/>
      <w:bookmarkEnd w:id="17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ruby and rt element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ruby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elements specify a ruby annotation. A ruby annotation is a small extra text, attached to the main text to indicate the pronunciation or meaning of the corresponding characters. use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&lt;ruby&gt;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together with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&lt;rt&gt;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&lt;rt&gt;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tag defines an explanation or pronunciation of characters in a ruby annotation.</w:t>
      </w:r>
      <w:r w:rsidDel="00000000" w:rsidR="00000000" w:rsidRPr="00000000">
        <w:rPr>
          <w:rtl w:val="0"/>
        </w:rPr>
      </w:r>
    </w:p>
    <w:tbl>
      <w:tblPr>
        <w:tblStyle w:val="Table23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3795"/>
        <w:tblGridChange w:id="0">
          <w:tblGrid>
            <w:gridCol w:w="5295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ruby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rt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annotation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rt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ruby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1233488" cy="645718"/>
                  <wp:effectExtent b="0" l="0" r="0" t="0"/>
                  <wp:docPr id="5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6457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ex1qpney0hgr" w:id="18"/>
      <w:bookmarkEnd w:id="18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bdi and bdo element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bdi element represents a span of text that is to be isolated from its surroundings for the purposes of bidirectional text formatting.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BDO stands for Bi-Directional Override. The &lt;bdo&gt; tag is used to override the current text direction</w:t>
      </w:r>
    </w:p>
    <w:tbl>
      <w:tblPr>
        <w:tblStyle w:val="Table24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3795"/>
        <w:tblGridChange w:id="0">
          <w:tblGrid>
            <w:gridCol w:w="5295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bdi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Kinley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bdi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bdo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"rtl"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Kinley Tshering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bdo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9050" distT="19050" distL="19050" distR="19050">
                  <wp:extent cx="1652588" cy="663801"/>
                  <wp:effectExtent b="0" l="0" r="0" t="0"/>
                  <wp:docPr id="5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588" cy="6638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Style w:val="Heading2"/>
        <w:rPr>
          <w:rFonts w:ascii="Helvetica Neue" w:cs="Helvetica Neue" w:eastAsia="Helvetica Neue" w:hAnsi="Helvetica Neue"/>
          <w:color w:val="002060"/>
        </w:rPr>
      </w:pPr>
      <w:bookmarkStart w:colFirst="0" w:colLast="0" w:name="_heading=h.lvxi4en79y85" w:id="19"/>
      <w:bookmarkEnd w:id="19"/>
      <w:r w:rsidDel="00000000" w:rsidR="00000000" w:rsidRPr="00000000">
        <w:rPr>
          <w:rFonts w:ascii="Helvetica Neue" w:cs="Helvetica Neue" w:eastAsia="Helvetica Neue" w:hAnsi="Helvetica Neue"/>
          <w:color w:val="002060"/>
          <w:rtl w:val="0"/>
        </w:rPr>
        <w:t xml:space="preserve">The br element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element represents a line break.</w:t>
      </w:r>
      <w:r w:rsidDel="00000000" w:rsidR="00000000" w:rsidRPr="00000000">
        <w:rPr>
          <w:rtl w:val="0"/>
        </w:rPr>
      </w:r>
    </w:p>
    <w:tbl>
      <w:tblPr>
        <w:tblStyle w:val="Table25"/>
        <w:tblW w:w="90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3795"/>
        <w:tblGridChange w:id="0">
          <w:tblGrid>
            <w:gridCol w:w="5295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Kinley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GCIT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Mongar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</w:rPr>
              <w:drawing>
                <wp:inline distB="114300" distT="114300" distL="114300" distR="114300">
                  <wp:extent cx="952500" cy="811967"/>
                  <wp:effectExtent b="0" l="0" r="0" t="0"/>
                  <wp:docPr id="5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119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6821f"/>
          <w:sz w:val="48"/>
          <w:szCs w:val="48"/>
          <w:rtl w:val="0"/>
        </w:rPr>
        <w:t xml:space="preserve">#####Thankyou#####</w:t>
      </w: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440" w:top="1440" w:left="990" w:right="1440" w:header="863.999999999999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ind w:hanging="990"/>
      <w:rPr/>
    </w:pPr>
    <w:r w:rsidDel="00000000" w:rsidR="00000000" w:rsidRPr="00000000">
      <w:rPr/>
      <w:drawing>
        <wp:inline distB="114300" distT="114300" distL="114300" distR="114300">
          <wp:extent cx="7753350" cy="398737"/>
          <wp:effectExtent b="0" l="0" r="0" t="0"/>
          <wp:docPr id="6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3350" cy="3987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ind w:left="-1350" w:right="-1440" w:firstLine="630"/>
      <w:rPr>
        <w:rFonts w:ascii="Comfortaa" w:cs="Comfortaa" w:eastAsia="Comfortaa" w:hAnsi="Comfortaa"/>
        <w:i w:val="1"/>
        <w:sz w:val="16"/>
        <w:szCs w:val="16"/>
      </w:rPr>
    </w:pPr>
    <w:r w:rsidDel="00000000" w:rsidR="00000000" w:rsidRPr="00000000">
      <w:rPr>
        <w:rFonts w:ascii="Comfortaa" w:cs="Comfortaa" w:eastAsia="Comfortaa" w:hAnsi="Comfortaa"/>
        <w:i w:val="1"/>
        <w:sz w:val="16"/>
        <w:szCs w:val="16"/>
        <w:rtl w:val="0"/>
      </w:rPr>
      <w:t xml:space="preserve">Web Design &amp; Development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6301740</wp:posOffset>
          </wp:positionH>
          <wp:positionV relativeFrom="paragraph">
            <wp:posOffset>-434337</wp:posOffset>
          </wp:positionV>
          <wp:extent cx="779145" cy="742623"/>
          <wp:effectExtent b="0" l="0" r="0" t="0"/>
          <wp:wrapSquare wrapText="bothSides" distB="114300" distT="114300" distL="114300" distR="114300"/>
          <wp:docPr id="5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" cy="7426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3">
    <w:pPr>
      <w:ind w:left="-1350" w:right="-1440" w:hanging="90"/>
      <w:rPr>
        <w:rFonts w:ascii="Comfortaa" w:cs="Comfortaa" w:eastAsia="Comfortaa" w:hAnsi="Comfortaa"/>
        <w:i w:val="1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2.png"/><Relationship Id="rId21" Type="http://schemas.openxmlformats.org/officeDocument/2006/relationships/image" Target="media/image3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Relationship Id="rId11" Type="http://schemas.openxmlformats.org/officeDocument/2006/relationships/image" Target="media/image10.png"/><Relationship Id="rId10" Type="http://schemas.openxmlformats.org/officeDocument/2006/relationships/image" Target="media/image19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20.png"/><Relationship Id="rId19" Type="http://schemas.openxmlformats.org/officeDocument/2006/relationships/image" Target="media/image18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fsLAcu92Uis1XW0evT3ZPHvZeA==">CgMxLjAyDmguYzF3dG91dW1qbDZhMg5oLjE3NmJxOTcwZWphdTIOaC45eWVvZjJibGxwbWYyDmguNGE4dXA1OGRwbTc0Mg5oLjF6bmJyajNreHNlMjIOaC53aGdnaW1yY2h4aWYyDmguMzA5dDk1NDZ0Y2YwMg5oLm5xcTZybjNhdWtjMDIOaC5nMDkxMTl4MzlnM20yDmguN3hzaTVpMnJrZTBmMg5oLjMwZTgya2NvNnpkYjINaC43d3VkY2syNjRzMDIOaC5zOXZsYXA2MTlvMzYyDmgubGxhY2s4Z2ppZ3BnMg5oLjN6M2Q3N3VwbHFoeDIOaC5hb3didTc5dDJ5djkyDmgubHM2M3VkMXZteW8yMg5oLnNkeHJ1bnFsazNhaTIOaC5leDFxcG5leTBoZ3IyDmgubHZ4aTRlbjc5eTg1OAByITFPNFR0LVIxMWtvc3JYa0xYaWozTDlaNkhpRFdfQ0JE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